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728" w:right="629"/>
        <w:jc w:val="center"/>
      </w:pPr>
      <w:r>
        <w:rPr/>
        <w:t>Minutes of the Meeting of the Working Group on Sterling Risk-Free Reference Rates Tuesday 7 November 2017</w:t>
      </w:r>
    </w:p>
    <w:p>
      <w:pPr>
        <w:spacing w:line="227" w:lineRule="exact" w:before="0"/>
        <w:ind w:left="727" w:right="629" w:firstLine="0"/>
        <w:jc w:val="center"/>
        <w:rPr>
          <w:b/>
          <w:sz w:val="20"/>
        </w:rPr>
      </w:pPr>
      <w:r>
        <w:rPr>
          <w:b/>
          <w:sz w:val="20"/>
        </w:rPr>
        <w:t>Barclays’ offices – 5 North Colonnade</w:t>
      </w:r>
    </w:p>
    <w:p>
      <w:pPr>
        <w:pStyle w:val="BodyText"/>
        <w:spacing w:before="8"/>
        <w:ind w:left="0"/>
        <w:rPr>
          <w:b/>
          <w:sz w:val="30"/>
        </w:rPr>
      </w:pPr>
    </w:p>
    <w:p>
      <w:pPr>
        <w:spacing w:before="0"/>
        <w:ind w:left="200" w:right="0" w:firstLine="0"/>
        <w:jc w:val="left"/>
        <w:rPr>
          <w:b/>
          <w:sz w:val="20"/>
        </w:rPr>
      </w:pPr>
      <w:r>
        <w:rPr>
          <w:b/>
          <w:sz w:val="20"/>
        </w:rPr>
        <w:t>Obligations under competition law</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380" w:firstLine="0"/>
        <w:jc w:val="left"/>
        <w:rPr>
          <w:sz w:val="20"/>
        </w:rPr>
      </w:pPr>
      <w:r>
        <w:rPr>
          <w:sz w:val="20"/>
        </w:rPr>
        <w:t>The Chair reminded all members of the Group of their responsibilities in relation to</w:t>
      </w:r>
      <w:r>
        <w:rPr>
          <w:spacing w:val="-32"/>
          <w:sz w:val="20"/>
        </w:rPr>
        <w:t> </w:t>
      </w:r>
      <w:r>
        <w:rPr>
          <w:sz w:val="20"/>
        </w:rPr>
        <w:t>compliance with competition law and the importance of taking their own independent competition law</w:t>
      </w:r>
      <w:r>
        <w:rPr>
          <w:spacing w:val="-23"/>
          <w:sz w:val="20"/>
        </w:rPr>
        <w:t> </w:t>
      </w:r>
      <w:r>
        <w:rPr>
          <w:sz w:val="20"/>
        </w:rPr>
        <w:t>advice.</w:t>
      </w:r>
    </w:p>
    <w:p>
      <w:pPr>
        <w:pStyle w:val="Heading1"/>
        <w:spacing w:before="119"/>
      </w:pPr>
      <w:r>
        <w:rPr/>
        <w:t>Minutes of previous meeting</w:t>
      </w:r>
    </w:p>
    <w:p>
      <w:pPr>
        <w:pStyle w:val="BodyText"/>
        <w:spacing w:before="6"/>
        <w:ind w:left="0"/>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The minutes of the previous meeting on 6 October were</w:t>
      </w:r>
      <w:r>
        <w:rPr>
          <w:spacing w:val="-6"/>
          <w:sz w:val="20"/>
        </w:rPr>
        <w:t> </w:t>
      </w:r>
      <w:r>
        <w:rPr>
          <w:sz w:val="20"/>
        </w:rPr>
        <w:t>approved.</w:t>
      </w:r>
    </w:p>
    <w:p>
      <w:pPr>
        <w:pStyle w:val="BodyText"/>
        <w:spacing w:before="3"/>
        <w:ind w:left="0"/>
      </w:pPr>
    </w:p>
    <w:p>
      <w:pPr>
        <w:pStyle w:val="Heading1"/>
      </w:pPr>
      <w:r>
        <w:rPr/>
        <w:t>White Paper responses summary document</w:t>
      </w:r>
    </w:p>
    <w:p>
      <w:pPr>
        <w:pStyle w:val="BodyText"/>
        <w:spacing w:before="8"/>
        <w:ind w:left="0"/>
        <w:rPr>
          <w:b/>
        </w:rPr>
      </w:pPr>
    </w:p>
    <w:p>
      <w:pPr>
        <w:pStyle w:val="ListParagraph"/>
        <w:numPr>
          <w:ilvl w:val="0"/>
          <w:numId w:val="1"/>
        </w:numPr>
        <w:tabs>
          <w:tab w:pos="627" w:val="left" w:leader="none"/>
          <w:tab w:pos="628" w:val="left" w:leader="none"/>
        </w:tabs>
        <w:spacing w:line="362" w:lineRule="auto" w:before="0" w:after="0"/>
        <w:ind w:left="200" w:right="183" w:firstLine="0"/>
        <w:jc w:val="left"/>
        <w:rPr>
          <w:sz w:val="20"/>
        </w:rPr>
      </w:pPr>
      <w:r>
        <w:rPr>
          <w:sz w:val="20"/>
        </w:rPr>
        <w:t>The Group agreed to publish a document summarising the responses to the Group’s June White Paper on SONIA as the RFR and approaches to</w:t>
      </w:r>
      <w:r>
        <w:rPr>
          <w:spacing w:val="-5"/>
          <w:sz w:val="20"/>
        </w:rPr>
        <w:t> </w:t>
      </w:r>
      <w:r>
        <w:rPr>
          <w:sz w:val="20"/>
        </w:rPr>
        <w:t>adoption.</w:t>
      </w:r>
      <w:r>
        <w:rPr>
          <w:sz w:val="20"/>
          <w:vertAlign w:val="superscript"/>
        </w:rPr>
        <w:t>1</w:t>
      </w:r>
    </w:p>
    <w:p>
      <w:pPr>
        <w:pStyle w:val="Heading1"/>
        <w:spacing w:before="113"/>
      </w:pPr>
      <w:r>
        <w:rPr/>
        <w:t>Future structure of the Working Group</w:t>
      </w:r>
    </w:p>
    <w:p>
      <w:pPr>
        <w:pStyle w:val="BodyText"/>
        <w:spacing w:before="7"/>
        <w:ind w:left="0"/>
        <w:rPr>
          <w:b/>
        </w:rPr>
      </w:pPr>
    </w:p>
    <w:p>
      <w:pPr>
        <w:pStyle w:val="ListParagraph"/>
        <w:numPr>
          <w:ilvl w:val="0"/>
          <w:numId w:val="1"/>
        </w:numPr>
        <w:tabs>
          <w:tab w:pos="627" w:val="left" w:leader="none"/>
          <w:tab w:pos="628" w:val="left" w:leader="none"/>
        </w:tabs>
        <w:spacing w:line="360" w:lineRule="auto" w:before="1" w:after="0"/>
        <w:ind w:left="200" w:right="356" w:firstLine="0"/>
        <w:jc w:val="left"/>
        <w:rPr>
          <w:sz w:val="20"/>
        </w:rPr>
      </w:pPr>
      <w:r>
        <w:rPr>
          <w:sz w:val="20"/>
        </w:rPr>
        <w:t>The Chair noted that responses to the White Paper confirmed strong support for SONIA as</w:t>
      </w:r>
      <w:r>
        <w:rPr>
          <w:spacing w:val="-30"/>
          <w:sz w:val="20"/>
        </w:rPr>
        <w:t> </w:t>
      </w:r>
      <w:r>
        <w:rPr>
          <w:sz w:val="20"/>
        </w:rPr>
        <w:t>the preferred alternative to sterling Libor, and that this marked a milestone in the Group’s</w:t>
      </w:r>
      <w:r>
        <w:rPr>
          <w:spacing w:val="-16"/>
          <w:sz w:val="20"/>
        </w:rPr>
        <w:t> </w:t>
      </w:r>
      <w:r>
        <w:rPr>
          <w:sz w:val="20"/>
        </w:rPr>
        <w:t>work.</w:t>
      </w:r>
    </w:p>
    <w:p>
      <w:pPr>
        <w:pStyle w:val="ListParagraph"/>
        <w:numPr>
          <w:ilvl w:val="0"/>
          <w:numId w:val="1"/>
        </w:numPr>
        <w:tabs>
          <w:tab w:pos="627" w:val="left" w:leader="none"/>
          <w:tab w:pos="628" w:val="left" w:leader="none"/>
        </w:tabs>
        <w:spacing w:line="360" w:lineRule="auto" w:before="121" w:after="0"/>
        <w:ind w:left="200" w:right="367" w:firstLine="0"/>
        <w:jc w:val="left"/>
        <w:rPr>
          <w:sz w:val="20"/>
        </w:rPr>
      </w:pPr>
      <w:r>
        <w:rPr>
          <w:sz w:val="20"/>
        </w:rPr>
        <w:t>The Chair proposed that an extension to the Group’s mandate, and a broadening of its membership, could facilitate the next stage of work. The proposed mandate would be to catalyse a transition in bond, loan and derivative markets so that SONIA is established as the primary sterling interest rate benchmark by end-2021. The proposed new membership would include investment managers, non-financial corporates, other sterling issuers, infrastructure firms, and trade associations, alongside banks and broker</w:t>
      </w:r>
      <w:r>
        <w:rPr>
          <w:spacing w:val="-5"/>
          <w:sz w:val="20"/>
        </w:rPr>
        <w:t> </w:t>
      </w:r>
      <w:r>
        <w:rPr>
          <w:sz w:val="20"/>
        </w:rPr>
        <w:t>dealers.</w:t>
      </w:r>
    </w:p>
    <w:p>
      <w:pPr>
        <w:pStyle w:val="ListParagraph"/>
        <w:numPr>
          <w:ilvl w:val="0"/>
          <w:numId w:val="1"/>
        </w:numPr>
        <w:tabs>
          <w:tab w:pos="627" w:val="left" w:leader="none"/>
          <w:tab w:pos="628" w:val="left" w:leader="none"/>
        </w:tabs>
        <w:spacing w:line="360" w:lineRule="auto" w:before="119" w:after="0"/>
        <w:ind w:left="200" w:right="234" w:firstLine="0"/>
        <w:jc w:val="left"/>
        <w:rPr>
          <w:sz w:val="20"/>
        </w:rPr>
      </w:pPr>
      <w:r>
        <w:rPr>
          <w:sz w:val="20"/>
        </w:rPr>
        <w:t>Existing sub-groups – which already include participation across relevant sectors and markets – would continue their work on technical transition issues and make recommendations to the newly constituted Group. Additional sub-groups would be created as necessary and constituted with an appropriate cross-section of market</w:t>
      </w:r>
      <w:r>
        <w:rPr>
          <w:spacing w:val="-5"/>
          <w:sz w:val="20"/>
        </w:rPr>
        <w:t> </w:t>
      </w:r>
      <w:r>
        <w:rPr>
          <w:sz w:val="20"/>
        </w:rPr>
        <w:t>participants.</w:t>
      </w:r>
    </w:p>
    <w:p>
      <w:pPr>
        <w:pStyle w:val="ListParagraph"/>
        <w:numPr>
          <w:ilvl w:val="0"/>
          <w:numId w:val="1"/>
        </w:numPr>
        <w:tabs>
          <w:tab w:pos="627" w:val="left" w:leader="none"/>
          <w:tab w:pos="628" w:val="left" w:leader="none"/>
        </w:tabs>
        <w:spacing w:line="360" w:lineRule="auto" w:before="120" w:after="0"/>
        <w:ind w:left="200" w:right="721" w:firstLine="0"/>
        <w:jc w:val="left"/>
        <w:rPr>
          <w:sz w:val="20"/>
        </w:rPr>
      </w:pPr>
      <w:r>
        <w:rPr>
          <w:sz w:val="20"/>
        </w:rPr>
        <w:t>The Chair also suggested that discussion forums focussed on particular user groups</w:t>
      </w:r>
      <w:r>
        <w:rPr>
          <w:spacing w:val="-22"/>
          <w:sz w:val="20"/>
        </w:rPr>
        <w:t> </w:t>
      </w:r>
      <w:r>
        <w:rPr>
          <w:sz w:val="20"/>
        </w:rPr>
        <w:t>could facilitate two-way communication between the new Group and the broadest possible set of stakeholders.</w:t>
      </w:r>
    </w:p>
    <w:p>
      <w:pPr>
        <w:pStyle w:val="ListParagraph"/>
        <w:numPr>
          <w:ilvl w:val="0"/>
          <w:numId w:val="1"/>
        </w:numPr>
        <w:tabs>
          <w:tab w:pos="627" w:val="left" w:leader="none"/>
          <w:tab w:pos="628" w:val="left" w:leader="none"/>
        </w:tabs>
        <w:spacing w:line="360" w:lineRule="auto" w:before="120" w:after="0"/>
        <w:ind w:left="200" w:right="108" w:firstLine="0"/>
        <w:jc w:val="left"/>
        <w:rPr>
          <w:sz w:val="20"/>
        </w:rPr>
      </w:pPr>
      <w:r>
        <w:rPr>
          <w:sz w:val="20"/>
        </w:rPr>
        <w:t>There was broad support in the Group for the need to reach out to a wider range of market participants and for the reconstitution of the Group. It was recognised and accepted that an implication of bringing in new members was that some existing members would have to stand down from the Group in order for it to remain at a manageable and effective size. There would nevertheless be scope for all current members to be involved through discussion forums and technical sub-groups. Members were asked to provide comments on the proposed changes after consulting with</w:t>
      </w:r>
      <w:r>
        <w:rPr>
          <w:spacing w:val="-18"/>
          <w:sz w:val="20"/>
        </w:rPr>
        <w:t> </w:t>
      </w:r>
      <w:r>
        <w:rPr>
          <w:sz w:val="20"/>
        </w:rPr>
        <w:t>their</w:t>
      </w:r>
    </w:p>
    <w:p>
      <w:pPr>
        <w:pStyle w:val="BodyText"/>
        <w:ind w:left="0"/>
      </w:pPr>
    </w:p>
    <w:p>
      <w:pPr>
        <w:pStyle w:val="BodyText"/>
        <w:ind w:left="0"/>
      </w:pPr>
    </w:p>
    <w:p>
      <w:pPr>
        <w:pStyle w:val="BodyText"/>
        <w:spacing w:before="10"/>
        <w:ind w:left="0"/>
        <w:rPr>
          <w:sz w:val="13"/>
        </w:rPr>
      </w:pPr>
      <w:r>
        <w:rPr/>
        <w:pict>
          <v:shape style="position:absolute;margin-left:72.024002pt;margin-top:10.366818pt;width:144.050pt;height:.1pt;mso-position-horizontal-relative:page;mso-position-vertical-relative:paragraph;z-index:-251658240;mso-wrap-distance-left:0;mso-wrap-distance-right:0" coordorigin="1440,207" coordsize="2881,0" path="m1440,207l4321,207e" filled="false" stroked="true" strokeweight=".71997pt" strokecolor="#000000">
            <v:path arrowok="t"/>
            <v:stroke dashstyle="solid"/>
            <w10:wrap type="topAndBottom"/>
          </v:shape>
        </w:pict>
      </w:r>
    </w:p>
    <w:p>
      <w:pPr>
        <w:pStyle w:val="BodyText"/>
        <w:spacing w:before="36"/>
      </w:pPr>
      <w:r>
        <w:rPr>
          <w:position w:val="10"/>
          <w:sz w:val="13"/>
        </w:rPr>
        <w:t>1 </w:t>
      </w:r>
      <w:r>
        <w:rPr/>
        <w:t>The published document can be found </w:t>
      </w:r>
      <w:hyperlink r:id="rId5">
        <w:r>
          <w:rPr>
            <w:color w:val="0000FF"/>
            <w:u w:val="single" w:color="0000FF"/>
          </w:rPr>
          <w:t>here</w:t>
        </w:r>
      </w:hyperlink>
    </w:p>
    <w:p>
      <w:pPr>
        <w:spacing w:after="0"/>
        <w:sectPr>
          <w:type w:val="continuous"/>
          <w:pgSz w:w="11910" w:h="16840"/>
          <w:pgMar w:top="1340" w:bottom="280" w:left="1240" w:right="1340"/>
        </w:sectPr>
      </w:pPr>
    </w:p>
    <w:p>
      <w:pPr>
        <w:pStyle w:val="BodyText"/>
        <w:spacing w:line="360" w:lineRule="auto" w:before="79"/>
        <w:ind w:right="363"/>
        <w:jc w:val="both"/>
      </w:pPr>
      <w:r>
        <w:rPr/>
        <w:t>internal stakeholders. The Chair and the authorities were working toward a public announcement</w:t>
      </w:r>
      <w:r>
        <w:rPr>
          <w:spacing w:val="-33"/>
        </w:rPr>
        <w:t> </w:t>
      </w:r>
      <w:r>
        <w:rPr/>
        <w:t>of the new mandate and</w:t>
      </w:r>
      <w:r>
        <w:rPr>
          <w:spacing w:val="-5"/>
        </w:rPr>
        <w:t> </w:t>
      </w:r>
      <w:r>
        <w:rPr/>
        <w:t>membership.</w:t>
      </w:r>
      <w:r>
        <w:rPr>
          <w:vertAlign w:val="superscript"/>
        </w:rPr>
        <w:t>2</w:t>
      </w:r>
    </w:p>
    <w:p>
      <w:pPr>
        <w:pStyle w:val="Heading1"/>
        <w:spacing w:before="116"/>
        <w:jc w:val="both"/>
      </w:pPr>
      <w:r>
        <w:rPr/>
        <w:t>Update from US Alternative Reference Rates Committee (ARRC) roundtable</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644" w:firstLine="0"/>
        <w:jc w:val="left"/>
        <w:rPr>
          <w:sz w:val="20"/>
        </w:rPr>
      </w:pPr>
      <w:r>
        <w:rPr>
          <w:sz w:val="20"/>
        </w:rPr>
        <w:t>The Bank of England provided a summary of the key issues raised at the ARRC</w:t>
      </w:r>
      <w:r>
        <w:rPr>
          <w:spacing w:val="-25"/>
          <w:sz w:val="20"/>
        </w:rPr>
        <w:t> </w:t>
      </w:r>
      <w:r>
        <w:rPr>
          <w:sz w:val="20"/>
        </w:rPr>
        <w:t>roundtable which had taken place the previous</w:t>
      </w:r>
      <w:r>
        <w:rPr>
          <w:spacing w:val="2"/>
          <w:sz w:val="20"/>
        </w:rPr>
        <w:t> </w:t>
      </w:r>
      <w:r>
        <w:rPr>
          <w:sz w:val="20"/>
        </w:rPr>
        <w:t>week</w:t>
      </w:r>
      <w:r>
        <w:rPr>
          <w:sz w:val="20"/>
          <w:vertAlign w:val="superscript"/>
        </w:rPr>
        <w:t>3</w:t>
      </w:r>
      <w:r>
        <w:rPr>
          <w:sz w:val="20"/>
          <w:vertAlign w:val="baseline"/>
        </w:rPr>
        <w:t>.</w:t>
      </w:r>
    </w:p>
    <w:p>
      <w:pPr>
        <w:pStyle w:val="ListParagraph"/>
        <w:numPr>
          <w:ilvl w:val="0"/>
          <w:numId w:val="1"/>
        </w:numPr>
        <w:tabs>
          <w:tab w:pos="627" w:val="left" w:leader="none"/>
          <w:tab w:pos="628" w:val="left" w:leader="none"/>
        </w:tabs>
        <w:spacing w:line="360" w:lineRule="auto" w:before="122" w:after="0"/>
        <w:ind w:left="200" w:right="115" w:firstLine="0"/>
        <w:jc w:val="left"/>
        <w:rPr>
          <w:sz w:val="20"/>
        </w:rPr>
      </w:pPr>
      <w:r>
        <w:rPr>
          <w:sz w:val="20"/>
        </w:rPr>
        <w:t>Awareness of work on RFR adoption had significantly increased across a wide range of market participants following Andrew Bailey’s speech in July on the future of Libor</w:t>
      </w:r>
      <w:r>
        <w:rPr>
          <w:sz w:val="20"/>
          <w:vertAlign w:val="superscript"/>
        </w:rPr>
        <w:t>4</w:t>
      </w:r>
      <w:r>
        <w:rPr>
          <w:sz w:val="20"/>
          <w:vertAlign w:val="baseline"/>
        </w:rPr>
        <w:t>. The Federal Reserve had announced a revised ARRC structure which involved representation from a wider range of</w:t>
      </w:r>
      <w:r>
        <w:rPr>
          <w:spacing w:val="-23"/>
          <w:sz w:val="20"/>
          <w:vertAlign w:val="baseline"/>
        </w:rPr>
        <w:t> </w:t>
      </w:r>
      <w:r>
        <w:rPr>
          <w:sz w:val="20"/>
          <w:vertAlign w:val="baseline"/>
        </w:rPr>
        <w:t>sectors.</w:t>
      </w:r>
    </w:p>
    <w:p>
      <w:pPr>
        <w:pStyle w:val="ListParagraph"/>
        <w:numPr>
          <w:ilvl w:val="0"/>
          <w:numId w:val="1"/>
        </w:numPr>
        <w:tabs>
          <w:tab w:pos="628" w:val="left" w:leader="none"/>
        </w:tabs>
        <w:spacing w:line="360" w:lineRule="auto" w:before="119" w:after="0"/>
        <w:ind w:left="200" w:right="363" w:firstLine="0"/>
        <w:jc w:val="both"/>
        <w:rPr>
          <w:sz w:val="20"/>
        </w:rPr>
      </w:pPr>
      <w:r>
        <w:rPr>
          <w:sz w:val="20"/>
        </w:rPr>
        <w:t>Other issues discussed at the roundtable included fallback arrangements for bonds and loans; the paced transition plan for the Secured Overnight Financing Rate (SOFR) which is the USD</w:t>
      </w:r>
      <w:r>
        <w:rPr>
          <w:spacing w:val="-32"/>
          <w:sz w:val="20"/>
        </w:rPr>
        <w:t> </w:t>
      </w:r>
      <w:r>
        <w:rPr>
          <w:sz w:val="20"/>
        </w:rPr>
        <w:t>RFR; and the potential for a term RFR to facilitate</w:t>
      </w:r>
      <w:r>
        <w:rPr>
          <w:spacing w:val="-6"/>
          <w:sz w:val="20"/>
        </w:rPr>
        <w:t> </w:t>
      </w:r>
      <w:r>
        <w:rPr>
          <w:sz w:val="20"/>
        </w:rPr>
        <w:t>adoption.</w:t>
      </w:r>
    </w:p>
    <w:p>
      <w:pPr>
        <w:pStyle w:val="Heading1"/>
        <w:spacing w:before="118"/>
        <w:jc w:val="both"/>
      </w:pPr>
      <w:r>
        <w:rPr/>
        <w:t>Update from sub-groups and other developments since the previous meeting</w:t>
      </w:r>
    </w:p>
    <w:p>
      <w:pPr>
        <w:pStyle w:val="BodyText"/>
        <w:spacing w:before="5"/>
        <w:ind w:left="0"/>
        <w:rPr>
          <w:b/>
        </w:rPr>
      </w:pPr>
    </w:p>
    <w:p>
      <w:pPr>
        <w:spacing w:before="0"/>
        <w:ind w:left="200" w:right="0" w:firstLine="0"/>
        <w:jc w:val="both"/>
        <w:rPr>
          <w:i/>
          <w:sz w:val="20"/>
        </w:rPr>
      </w:pPr>
      <w:r>
        <w:rPr>
          <w:i/>
          <w:sz w:val="20"/>
        </w:rPr>
        <w:t>Futures sub-group</w:t>
      </w:r>
    </w:p>
    <w:p>
      <w:pPr>
        <w:pStyle w:val="BodyText"/>
        <w:spacing w:before="8"/>
        <w:ind w:left="0"/>
        <w:rPr>
          <w:i/>
        </w:rPr>
      </w:pPr>
    </w:p>
    <w:p>
      <w:pPr>
        <w:pStyle w:val="ListParagraph"/>
        <w:numPr>
          <w:ilvl w:val="0"/>
          <w:numId w:val="1"/>
        </w:numPr>
        <w:tabs>
          <w:tab w:pos="627" w:val="left" w:leader="none"/>
          <w:tab w:pos="628" w:val="left" w:leader="none"/>
        </w:tabs>
        <w:spacing w:line="360" w:lineRule="auto" w:before="1" w:after="0"/>
        <w:ind w:left="200" w:right="157" w:firstLine="0"/>
        <w:jc w:val="left"/>
        <w:rPr>
          <w:sz w:val="20"/>
        </w:rPr>
      </w:pPr>
      <w:r>
        <w:rPr>
          <w:sz w:val="20"/>
        </w:rPr>
        <w:t>The sub-group had made progress on agreeing design preferences for a SONIA future. The next steps would be to discuss these preferences with relevant exchanges over the coming weeks. A key objective of the sub-group would be to identify pros and cons of potential designs for facilitating adoption and meeting end-users needs. The Group had agreed that, whilst it would be helpful to</w:t>
      </w:r>
      <w:r>
        <w:rPr>
          <w:spacing w:val="-32"/>
          <w:sz w:val="20"/>
        </w:rPr>
        <w:t> </w:t>
      </w:r>
      <w:r>
        <w:rPr>
          <w:sz w:val="20"/>
        </w:rPr>
        <w:t>have a consensus on a single preferred contract design, if different competing products were to be launched which met end-users’ needs, this would also be welcome.</w:t>
      </w:r>
    </w:p>
    <w:p>
      <w:pPr>
        <w:pStyle w:val="ListParagraph"/>
        <w:numPr>
          <w:ilvl w:val="0"/>
          <w:numId w:val="1"/>
        </w:numPr>
        <w:tabs>
          <w:tab w:pos="627" w:val="left" w:leader="none"/>
          <w:tab w:pos="628" w:val="left" w:leader="none"/>
        </w:tabs>
        <w:spacing w:line="360" w:lineRule="auto" w:before="118" w:after="0"/>
        <w:ind w:left="200" w:right="173" w:firstLine="0"/>
        <w:jc w:val="left"/>
        <w:rPr>
          <w:sz w:val="20"/>
        </w:rPr>
      </w:pPr>
      <w:r>
        <w:rPr>
          <w:sz w:val="20"/>
        </w:rPr>
        <w:t>The sub-group believed that a 3-month contract, which settled on IMM dates (thereby mirroring existing 3-month sterling Libor futures), might best facilitate building liquidity in the contract.</w:t>
      </w:r>
      <w:r>
        <w:rPr>
          <w:spacing w:val="-34"/>
          <w:sz w:val="20"/>
        </w:rPr>
        <w:t> </w:t>
      </w:r>
      <w:r>
        <w:rPr>
          <w:sz w:val="20"/>
        </w:rPr>
        <w:t>However, many members felt that 1-month contracts would also be welcome, although preferences for whether these should settle on month-end or monthly IMM dates were still under</w:t>
      </w:r>
      <w:r>
        <w:rPr>
          <w:spacing w:val="-12"/>
          <w:sz w:val="20"/>
        </w:rPr>
        <w:t> </w:t>
      </w:r>
      <w:r>
        <w:rPr>
          <w:sz w:val="20"/>
        </w:rPr>
        <w:t>discussion.</w:t>
      </w:r>
    </w:p>
    <w:p>
      <w:pPr>
        <w:pStyle w:val="ListParagraph"/>
        <w:numPr>
          <w:ilvl w:val="0"/>
          <w:numId w:val="1"/>
        </w:numPr>
        <w:tabs>
          <w:tab w:pos="627" w:val="left" w:leader="none"/>
          <w:tab w:pos="628" w:val="left" w:leader="none"/>
        </w:tabs>
        <w:spacing w:line="360" w:lineRule="auto" w:before="121" w:after="0"/>
        <w:ind w:left="200" w:right="252" w:firstLine="0"/>
        <w:jc w:val="left"/>
        <w:rPr>
          <w:sz w:val="20"/>
        </w:rPr>
      </w:pPr>
      <w:r>
        <w:rPr>
          <w:sz w:val="20"/>
        </w:rPr>
        <w:t>In addition, the sub-group had agreed that, in terms of preferred design, the futures settlement price should be on the realised SONIA rate. However, discussions were continuing as to the sub- group’s preference for SONIA settlement on a compound interest basis or simple averaging basis. The sub-group chair asked for members to submit views on these points so that the sub-group could consider the issues fully.</w:t>
      </w:r>
    </w:p>
    <w:p>
      <w:pPr>
        <w:pStyle w:val="ListParagraph"/>
        <w:numPr>
          <w:ilvl w:val="0"/>
          <w:numId w:val="1"/>
        </w:numPr>
        <w:tabs>
          <w:tab w:pos="627" w:val="left" w:leader="none"/>
          <w:tab w:pos="628" w:val="left" w:leader="none"/>
        </w:tabs>
        <w:spacing w:line="357" w:lineRule="auto" w:before="121" w:after="0"/>
        <w:ind w:left="200" w:right="833" w:firstLine="0"/>
        <w:jc w:val="left"/>
        <w:rPr>
          <w:sz w:val="20"/>
        </w:rPr>
      </w:pPr>
      <w:r>
        <w:rPr>
          <w:sz w:val="20"/>
        </w:rPr>
        <w:t>It was queried whether the design of SONIA futures should be aligned with those of</w:t>
      </w:r>
      <w:r>
        <w:rPr>
          <w:spacing w:val="-30"/>
          <w:sz w:val="20"/>
        </w:rPr>
        <w:t> </w:t>
      </w:r>
      <w:r>
        <w:rPr>
          <w:sz w:val="20"/>
        </w:rPr>
        <w:t>other currency RFRs. The sub-group chair agreed to raise this issue for further</w:t>
      </w:r>
      <w:r>
        <w:rPr>
          <w:spacing w:val="-19"/>
          <w:sz w:val="20"/>
        </w:rPr>
        <w:t> </w:t>
      </w:r>
      <w:r>
        <w:rPr>
          <w:sz w:val="20"/>
        </w:rPr>
        <w:t>consideration.</w:t>
      </w:r>
    </w:p>
    <w:p>
      <w:pPr>
        <w:spacing w:before="121"/>
        <w:ind w:left="200" w:right="0" w:firstLine="0"/>
        <w:jc w:val="left"/>
        <w:rPr>
          <w:i/>
          <w:sz w:val="20"/>
        </w:rPr>
      </w:pPr>
      <w:r>
        <w:rPr>
          <w:i/>
          <w:sz w:val="20"/>
        </w:rPr>
        <w:t>Term Reference Rate sub-Group</w:t>
      </w:r>
    </w:p>
    <w:p>
      <w:pPr>
        <w:pStyle w:val="BodyText"/>
        <w:spacing w:before="8"/>
        <w:ind w:left="0"/>
        <w:rPr>
          <w:i/>
        </w:rPr>
      </w:pPr>
    </w:p>
    <w:p>
      <w:pPr>
        <w:pStyle w:val="ListParagraph"/>
        <w:numPr>
          <w:ilvl w:val="0"/>
          <w:numId w:val="1"/>
        </w:numPr>
        <w:tabs>
          <w:tab w:pos="628" w:val="left" w:leader="none"/>
        </w:tabs>
        <w:spacing w:line="360" w:lineRule="auto" w:before="0" w:after="0"/>
        <w:ind w:left="200" w:right="355" w:firstLine="0"/>
        <w:jc w:val="both"/>
        <w:rPr>
          <w:sz w:val="20"/>
        </w:rPr>
      </w:pPr>
      <w:r>
        <w:rPr>
          <w:sz w:val="20"/>
        </w:rPr>
        <w:t>The sub-group had agreed its Terms of Reference and was working to identify all potential</w:t>
      </w:r>
      <w:r>
        <w:rPr>
          <w:spacing w:val="-28"/>
          <w:sz w:val="20"/>
        </w:rPr>
        <w:t> </w:t>
      </w:r>
      <w:r>
        <w:rPr>
          <w:sz w:val="20"/>
        </w:rPr>
        <w:t>use cases for term benchmarks. The sub-group chair had reached out to a broad cross-section</w:t>
      </w:r>
      <w:r>
        <w:rPr>
          <w:spacing w:val="-11"/>
          <w:sz w:val="20"/>
        </w:rPr>
        <w:t> </w:t>
      </w:r>
      <w:r>
        <w:rPr>
          <w:sz w:val="20"/>
        </w:rPr>
        <w:t>of</w:t>
      </w:r>
    </w:p>
    <w:p>
      <w:pPr>
        <w:pStyle w:val="BodyText"/>
        <w:spacing w:before="9"/>
        <w:ind w:left="0"/>
        <w:rPr>
          <w:sz w:val="22"/>
        </w:rPr>
      </w:pPr>
      <w:r>
        <w:rPr/>
        <w:pict>
          <v:shape style="position:absolute;margin-left:72.024002pt;margin-top:15.480258pt;width:144.050pt;height:.1pt;mso-position-horizontal-relative:page;mso-position-vertical-relative:paragraph;z-index:-251657216;mso-wrap-distance-left:0;mso-wrap-distance-right:0" coordorigin="1440,310" coordsize="2881,0" path="m1440,310l4321,310e" filled="false" stroked="true" strokeweight=".72003pt" strokecolor="#000000">
            <v:path arrowok="t"/>
            <v:stroke dashstyle="solid"/>
            <w10:wrap type="topAndBottom"/>
          </v:shape>
        </w:pict>
      </w:r>
    </w:p>
    <w:p>
      <w:pPr>
        <w:pStyle w:val="BodyText"/>
        <w:spacing w:line="253" w:lineRule="exact" w:before="39"/>
      </w:pPr>
      <w:r>
        <w:rPr>
          <w:rFonts w:ascii="Calibri"/>
          <w:position w:val="10"/>
          <w:sz w:val="13"/>
        </w:rPr>
        <w:t>2 </w:t>
      </w:r>
      <w:r>
        <w:rPr/>
        <w:t>The subsequent press release announcing the new structure can be found </w:t>
      </w:r>
      <w:hyperlink r:id="rId6">
        <w:r>
          <w:rPr>
            <w:color w:val="0000FF"/>
            <w:u w:val="single" w:color="0000FF"/>
          </w:rPr>
          <w:t>here</w:t>
        </w:r>
      </w:hyperlink>
    </w:p>
    <w:p>
      <w:pPr>
        <w:pStyle w:val="BodyText"/>
        <w:spacing w:line="235" w:lineRule="exact"/>
      </w:pPr>
      <w:r>
        <w:rPr>
          <w:position w:val="10"/>
          <w:sz w:val="13"/>
        </w:rPr>
        <w:t>3  </w:t>
      </w:r>
      <w:r>
        <w:rPr/>
        <w:t>Materials presented at the roundtable can be found</w:t>
      </w:r>
      <w:r>
        <w:rPr>
          <w:spacing w:val="-28"/>
        </w:rPr>
        <w:t> </w:t>
      </w:r>
      <w:hyperlink r:id="rId7">
        <w:r>
          <w:rPr>
            <w:color w:val="0000FF"/>
            <w:u w:val="single" w:color="0000FF"/>
          </w:rPr>
          <w:t>here</w:t>
        </w:r>
      </w:hyperlink>
    </w:p>
    <w:p>
      <w:pPr>
        <w:pStyle w:val="BodyText"/>
        <w:spacing w:line="251" w:lineRule="exact"/>
      </w:pPr>
      <w:r>
        <w:rPr>
          <w:rFonts w:ascii="Calibri"/>
          <w:position w:val="10"/>
          <w:sz w:val="13"/>
        </w:rPr>
        <w:t>4</w:t>
      </w:r>
      <w:r>
        <w:rPr>
          <w:rFonts w:ascii="Calibri"/>
          <w:spacing w:val="2"/>
          <w:position w:val="10"/>
          <w:sz w:val="13"/>
        </w:rPr>
        <w:t> </w:t>
      </w:r>
      <w:hyperlink r:id="rId8">
        <w:r>
          <w:rPr>
            <w:color w:val="0000FF"/>
            <w:u w:val="single" w:color="0000FF"/>
          </w:rPr>
          <w:t>https://www.fca.org.uk/news/speeches/the-future-of-libor</w:t>
        </w:r>
      </w:hyperlink>
    </w:p>
    <w:p>
      <w:pPr>
        <w:spacing w:after="0" w:line="251" w:lineRule="exact"/>
        <w:sectPr>
          <w:pgSz w:w="11910" w:h="16840"/>
          <w:pgMar w:top="1340" w:bottom="280" w:left="1240" w:right="1340"/>
        </w:sectPr>
      </w:pPr>
    </w:p>
    <w:p>
      <w:pPr>
        <w:pStyle w:val="BodyText"/>
        <w:spacing w:line="360" w:lineRule="auto" w:before="79"/>
        <w:ind w:right="134"/>
      </w:pPr>
      <w:r>
        <w:rPr/>
        <w:t>interested parties, including the Loan Market Association (LMA) and the Association of Corporate Treasurers (ACT), and invited them to actively participate in sub-group meetings. The sub-group had come to the initial view that there was not a use case for term benchmarks in cleared swap markets for new business activity.</w:t>
      </w:r>
    </w:p>
    <w:p>
      <w:pPr>
        <w:pStyle w:val="ListParagraph"/>
        <w:numPr>
          <w:ilvl w:val="0"/>
          <w:numId w:val="1"/>
        </w:numPr>
        <w:tabs>
          <w:tab w:pos="627" w:val="left" w:leader="none"/>
          <w:tab w:pos="628" w:val="left" w:leader="none"/>
        </w:tabs>
        <w:spacing w:line="360" w:lineRule="auto" w:before="120" w:after="0"/>
        <w:ind w:left="200" w:right="200" w:firstLine="0"/>
        <w:jc w:val="left"/>
        <w:rPr>
          <w:rFonts w:ascii="Calibri"/>
          <w:sz w:val="22"/>
        </w:rPr>
      </w:pPr>
      <w:r>
        <w:rPr>
          <w:sz w:val="20"/>
        </w:rPr>
        <w:t>Going forward, the sub-group planned to assess the potential underlying data sources and</w:t>
      </w:r>
      <w:r>
        <w:rPr>
          <w:spacing w:val="-30"/>
          <w:sz w:val="20"/>
        </w:rPr>
        <w:t> </w:t>
      </w:r>
      <w:r>
        <w:rPr>
          <w:sz w:val="20"/>
        </w:rPr>
        <w:t>fixing methodologies which could support robust term SONIA benchmarks. The sub-group planned to provide written recommendations in Q1 which could form the basis for a market</w:t>
      </w:r>
      <w:r>
        <w:rPr>
          <w:spacing w:val="-12"/>
          <w:sz w:val="20"/>
        </w:rPr>
        <w:t> </w:t>
      </w:r>
      <w:r>
        <w:rPr>
          <w:sz w:val="20"/>
        </w:rPr>
        <w:t>consultation</w:t>
      </w:r>
      <w:r>
        <w:rPr>
          <w:rFonts w:ascii="Calibri"/>
          <w:sz w:val="22"/>
        </w:rPr>
        <w:t>.</w:t>
      </w:r>
    </w:p>
    <w:p>
      <w:pPr>
        <w:spacing w:before="117"/>
        <w:ind w:left="200" w:right="0" w:firstLine="0"/>
        <w:jc w:val="left"/>
        <w:rPr>
          <w:i/>
          <w:sz w:val="20"/>
        </w:rPr>
      </w:pPr>
      <w:r>
        <w:rPr>
          <w:i/>
          <w:sz w:val="20"/>
        </w:rPr>
        <w:t>Prospective Pensions and Insurance sub-group</w:t>
      </w:r>
    </w:p>
    <w:p>
      <w:pPr>
        <w:pStyle w:val="BodyText"/>
        <w:spacing w:before="8"/>
        <w:ind w:left="0"/>
        <w:rPr>
          <w:i/>
        </w:rPr>
      </w:pPr>
    </w:p>
    <w:p>
      <w:pPr>
        <w:pStyle w:val="ListParagraph"/>
        <w:numPr>
          <w:ilvl w:val="0"/>
          <w:numId w:val="1"/>
        </w:numPr>
        <w:tabs>
          <w:tab w:pos="627" w:val="left" w:leader="none"/>
          <w:tab w:pos="628" w:val="left" w:leader="none"/>
        </w:tabs>
        <w:spacing w:line="360" w:lineRule="auto" w:before="0" w:after="0"/>
        <w:ind w:left="200" w:right="114" w:firstLine="0"/>
        <w:jc w:val="left"/>
        <w:rPr>
          <w:sz w:val="20"/>
        </w:rPr>
      </w:pPr>
      <w:r>
        <w:rPr>
          <w:sz w:val="20"/>
        </w:rPr>
        <w:t>There had been an initial information gathering meeting with a group of Pension Fund managers to discuss potential issues with regard to RFR transition. Issues raised included the use of Libor for benchmarking pension funds; the need to engage pension fund trustees on the topic of RFR</w:t>
      </w:r>
      <w:r>
        <w:rPr>
          <w:spacing w:val="-33"/>
          <w:sz w:val="20"/>
        </w:rPr>
        <w:t> </w:t>
      </w:r>
      <w:r>
        <w:rPr>
          <w:sz w:val="20"/>
        </w:rPr>
        <w:t>adoption; the issue of whether SONIA referencing swaps were treated the same way as Libor swaps under regulations such as EMIR and MIFID II; and how a fair conversion rate would be determined for legacy Libor</w:t>
      </w:r>
      <w:r>
        <w:rPr>
          <w:spacing w:val="-6"/>
          <w:sz w:val="20"/>
        </w:rPr>
        <w:t> </w:t>
      </w:r>
      <w:r>
        <w:rPr>
          <w:sz w:val="20"/>
        </w:rPr>
        <w:t>products.</w:t>
      </w:r>
    </w:p>
    <w:p>
      <w:pPr>
        <w:pStyle w:val="ListParagraph"/>
        <w:numPr>
          <w:ilvl w:val="0"/>
          <w:numId w:val="1"/>
        </w:numPr>
        <w:tabs>
          <w:tab w:pos="627" w:val="left" w:leader="none"/>
          <w:tab w:pos="628" w:val="left" w:leader="none"/>
        </w:tabs>
        <w:spacing w:line="360" w:lineRule="auto" w:before="119" w:after="0"/>
        <w:ind w:left="200" w:right="279" w:firstLine="0"/>
        <w:jc w:val="left"/>
        <w:rPr>
          <w:sz w:val="20"/>
        </w:rPr>
      </w:pPr>
      <w:r>
        <w:rPr>
          <w:sz w:val="20"/>
        </w:rPr>
        <w:t>Pension fund attendees were asked to provide use cases for a term reference rate which</w:t>
      </w:r>
      <w:r>
        <w:rPr>
          <w:spacing w:val="-31"/>
          <w:sz w:val="20"/>
        </w:rPr>
        <w:t> </w:t>
      </w:r>
      <w:r>
        <w:rPr>
          <w:sz w:val="20"/>
        </w:rPr>
        <w:t>would then be passed on to the term reference rate sub-group. The Working Group would draft an initial Terms of Reference and workplan for a pension and insurance sub-group over the coming</w:t>
      </w:r>
      <w:r>
        <w:rPr>
          <w:spacing w:val="-19"/>
          <w:sz w:val="20"/>
        </w:rPr>
        <w:t> </w:t>
      </w:r>
      <w:r>
        <w:rPr>
          <w:sz w:val="20"/>
        </w:rPr>
        <w:t>weeks.</w:t>
      </w:r>
    </w:p>
    <w:p>
      <w:pPr>
        <w:spacing w:before="120"/>
        <w:ind w:left="200" w:right="0" w:firstLine="0"/>
        <w:jc w:val="left"/>
        <w:rPr>
          <w:i/>
          <w:sz w:val="20"/>
        </w:rPr>
      </w:pPr>
      <w:r>
        <w:rPr>
          <w:i/>
          <w:sz w:val="20"/>
        </w:rPr>
        <w:t>Santander roundtable event</w:t>
      </w:r>
    </w:p>
    <w:p>
      <w:pPr>
        <w:pStyle w:val="BodyText"/>
        <w:spacing w:before="5"/>
        <w:ind w:left="0"/>
        <w:rPr>
          <w:i/>
        </w:rPr>
      </w:pPr>
    </w:p>
    <w:p>
      <w:pPr>
        <w:pStyle w:val="ListParagraph"/>
        <w:numPr>
          <w:ilvl w:val="0"/>
          <w:numId w:val="1"/>
        </w:numPr>
        <w:tabs>
          <w:tab w:pos="627" w:val="left" w:leader="none"/>
          <w:tab w:pos="628" w:val="left" w:leader="none"/>
        </w:tabs>
        <w:spacing w:line="360" w:lineRule="auto" w:before="1" w:after="0"/>
        <w:ind w:left="200" w:right="137" w:firstLine="0"/>
        <w:jc w:val="left"/>
        <w:rPr>
          <w:sz w:val="20"/>
        </w:rPr>
      </w:pPr>
      <w:r>
        <w:rPr>
          <w:sz w:val="20"/>
        </w:rPr>
        <w:t>Since the previous Working Group meeting, Santander had hosted an end-user roundtable event on impacts of SONIA adoption in which attendees were invited to take part in an interactive questionnaire. Headline questionnaire results included: approximately 80% preferred that Libor was discontinued at some point in the future rather than existing indefinitely; most attendees already used SONIA for discounting purposes and the majority planned to use it for hedging going forward; a majority felt it would be possible to develop a robust term SONIA reference rate, but attendees were divided on the preferred tenor for this benchmark; approximately 80% of attendees felt that it was not important to have a benchmark which captured credit premia, as Libor currently</w:t>
      </w:r>
      <w:r>
        <w:rPr>
          <w:spacing w:val="-10"/>
          <w:sz w:val="20"/>
        </w:rPr>
        <w:t> </w:t>
      </w:r>
      <w:r>
        <w:rPr>
          <w:sz w:val="20"/>
        </w:rPr>
        <w:t>does.</w:t>
      </w:r>
    </w:p>
    <w:p>
      <w:pPr>
        <w:pStyle w:val="Heading1"/>
        <w:spacing w:before="118"/>
      </w:pPr>
      <w:r>
        <w:rPr/>
        <w:t>Engagement with ISDA Working Group</w:t>
      </w:r>
    </w:p>
    <w:p>
      <w:pPr>
        <w:pStyle w:val="BodyText"/>
        <w:spacing w:before="8"/>
        <w:ind w:left="0"/>
        <w:rPr>
          <w:b/>
        </w:rPr>
      </w:pPr>
    </w:p>
    <w:p>
      <w:pPr>
        <w:pStyle w:val="ListParagraph"/>
        <w:numPr>
          <w:ilvl w:val="0"/>
          <w:numId w:val="1"/>
        </w:numPr>
        <w:tabs>
          <w:tab w:pos="627" w:val="left" w:leader="none"/>
          <w:tab w:pos="628" w:val="left" w:leader="none"/>
        </w:tabs>
        <w:spacing w:line="360" w:lineRule="auto" w:before="0" w:after="0"/>
        <w:ind w:left="200" w:right="181" w:firstLine="0"/>
        <w:jc w:val="left"/>
        <w:rPr>
          <w:sz w:val="20"/>
        </w:rPr>
      </w:pPr>
      <w:r>
        <w:rPr>
          <w:sz w:val="20"/>
        </w:rPr>
        <w:t>At the previous meeting, the Chair had asked the Group to consider how best to engage with</w:t>
      </w:r>
      <w:r>
        <w:rPr>
          <w:spacing w:val="-33"/>
          <w:sz w:val="20"/>
        </w:rPr>
        <w:t> </w:t>
      </w:r>
      <w:r>
        <w:rPr>
          <w:sz w:val="20"/>
        </w:rPr>
        <w:t>the ISDA working group on fallback</w:t>
      </w:r>
      <w:r>
        <w:rPr>
          <w:spacing w:val="2"/>
          <w:sz w:val="20"/>
        </w:rPr>
        <w:t> </w:t>
      </w:r>
      <w:r>
        <w:rPr>
          <w:sz w:val="20"/>
        </w:rPr>
        <w:t>arrangements.</w:t>
      </w:r>
    </w:p>
    <w:p>
      <w:pPr>
        <w:pStyle w:val="ListParagraph"/>
        <w:numPr>
          <w:ilvl w:val="0"/>
          <w:numId w:val="1"/>
        </w:numPr>
        <w:tabs>
          <w:tab w:pos="627" w:val="left" w:leader="none"/>
          <w:tab w:pos="628" w:val="left" w:leader="none"/>
        </w:tabs>
        <w:spacing w:line="360" w:lineRule="auto" w:before="121" w:after="0"/>
        <w:ind w:left="200" w:right="777" w:firstLine="0"/>
        <w:jc w:val="left"/>
        <w:rPr>
          <w:sz w:val="20"/>
        </w:rPr>
      </w:pPr>
      <w:r>
        <w:rPr>
          <w:sz w:val="20"/>
        </w:rPr>
        <w:t>It was agreed that the membership of the ISDA Working Group was appropriate but that coordination was needed on areas it was working on. The Chair agreed to take this forward for clarification with ISDA and would update the Group at the next</w:t>
      </w:r>
      <w:r>
        <w:rPr>
          <w:spacing w:val="-8"/>
          <w:sz w:val="20"/>
        </w:rPr>
        <w:t> </w:t>
      </w:r>
      <w:r>
        <w:rPr>
          <w:sz w:val="20"/>
        </w:rPr>
        <w:t>meeting.</w:t>
      </w:r>
    </w:p>
    <w:p>
      <w:pPr>
        <w:spacing w:after="0" w:line="360" w:lineRule="auto"/>
        <w:jc w:val="left"/>
        <w:rPr>
          <w:sz w:val="20"/>
        </w:rPr>
        <w:sectPr>
          <w:pgSz w:w="11910" w:h="16840"/>
          <w:pgMar w:top="1340" w:bottom="280" w:left="1240" w:right="1340"/>
        </w:sectPr>
      </w:pPr>
    </w:p>
    <w:p>
      <w:pPr>
        <w:pStyle w:val="Heading1"/>
        <w:spacing w:before="76"/>
      </w:pPr>
      <w:r>
        <w:rPr/>
        <w:t>Private sector</w:t>
      </w:r>
      <w:r>
        <w:rPr>
          <w:spacing w:val="-11"/>
        </w:rPr>
        <w:t> </w:t>
      </w:r>
      <w:r>
        <w:rPr/>
        <w:t>attendees</w:t>
      </w:r>
    </w:p>
    <w:p>
      <w:pPr>
        <w:pStyle w:val="BodyText"/>
        <w:spacing w:before="1"/>
        <w:ind w:left="0"/>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1"/>
        <w:gridCol w:w="2973"/>
      </w:tblGrid>
      <w:tr>
        <w:trPr>
          <w:trHeight w:val="262" w:hRule="atLeast"/>
        </w:trPr>
        <w:tc>
          <w:tcPr>
            <w:tcW w:w="2831" w:type="dxa"/>
          </w:tcPr>
          <w:p>
            <w:pPr>
              <w:pStyle w:val="TableParagraph"/>
              <w:spacing w:line="225" w:lineRule="exact" w:before="0"/>
              <w:rPr>
                <w:sz w:val="20"/>
              </w:rPr>
            </w:pPr>
            <w:r>
              <w:rPr>
                <w:sz w:val="20"/>
              </w:rPr>
              <w:t>Francois Jourdain</w:t>
            </w:r>
          </w:p>
        </w:tc>
        <w:tc>
          <w:tcPr>
            <w:tcW w:w="2973" w:type="dxa"/>
          </w:tcPr>
          <w:p>
            <w:pPr>
              <w:pStyle w:val="TableParagraph"/>
              <w:spacing w:line="223" w:lineRule="exact" w:before="0"/>
              <w:ind w:left="489"/>
              <w:rPr>
                <w:b/>
                <w:sz w:val="20"/>
              </w:rPr>
            </w:pPr>
            <w:r>
              <w:rPr>
                <w:b/>
                <w:sz w:val="20"/>
              </w:rPr>
              <w:t>Barclays (Chair)</w:t>
            </w:r>
          </w:p>
        </w:tc>
      </w:tr>
      <w:tr>
        <w:trPr>
          <w:trHeight w:val="300" w:hRule="atLeast"/>
        </w:trPr>
        <w:tc>
          <w:tcPr>
            <w:tcW w:w="2831" w:type="dxa"/>
          </w:tcPr>
          <w:p>
            <w:pPr>
              <w:pStyle w:val="TableParagraph"/>
              <w:rPr>
                <w:sz w:val="20"/>
              </w:rPr>
            </w:pPr>
            <w:r>
              <w:rPr>
                <w:sz w:val="20"/>
              </w:rPr>
              <w:t>Andreas Giannopoulos</w:t>
            </w:r>
          </w:p>
        </w:tc>
        <w:tc>
          <w:tcPr>
            <w:tcW w:w="2973" w:type="dxa"/>
          </w:tcPr>
          <w:p>
            <w:pPr>
              <w:pStyle w:val="TableParagraph"/>
              <w:spacing w:before="30"/>
              <w:ind w:left="489"/>
              <w:rPr>
                <w:b/>
                <w:sz w:val="20"/>
              </w:rPr>
            </w:pPr>
            <w:r>
              <w:rPr>
                <w:b/>
                <w:sz w:val="20"/>
              </w:rPr>
              <w:t>Barclays (Chair’s office)</w:t>
            </w:r>
          </w:p>
        </w:tc>
      </w:tr>
      <w:tr>
        <w:trPr>
          <w:trHeight w:val="300" w:hRule="atLeast"/>
        </w:trPr>
        <w:tc>
          <w:tcPr>
            <w:tcW w:w="2831" w:type="dxa"/>
          </w:tcPr>
          <w:p>
            <w:pPr>
              <w:pStyle w:val="TableParagraph"/>
              <w:rPr>
                <w:sz w:val="20"/>
              </w:rPr>
            </w:pPr>
            <w:r>
              <w:rPr>
                <w:sz w:val="20"/>
              </w:rPr>
              <w:t>Mike Manna</w:t>
            </w:r>
          </w:p>
        </w:tc>
        <w:tc>
          <w:tcPr>
            <w:tcW w:w="2973" w:type="dxa"/>
          </w:tcPr>
          <w:p>
            <w:pPr>
              <w:pStyle w:val="TableParagraph"/>
              <w:spacing w:before="30"/>
              <w:ind w:left="489"/>
              <w:rPr>
                <w:b/>
                <w:sz w:val="20"/>
              </w:rPr>
            </w:pPr>
            <w:r>
              <w:rPr>
                <w:b/>
                <w:sz w:val="20"/>
              </w:rPr>
              <w:t>Barclays</w:t>
            </w:r>
          </w:p>
        </w:tc>
      </w:tr>
      <w:tr>
        <w:trPr>
          <w:trHeight w:val="300" w:hRule="atLeast"/>
        </w:trPr>
        <w:tc>
          <w:tcPr>
            <w:tcW w:w="2831" w:type="dxa"/>
          </w:tcPr>
          <w:p>
            <w:pPr>
              <w:pStyle w:val="TableParagraph"/>
              <w:rPr>
                <w:sz w:val="20"/>
              </w:rPr>
            </w:pPr>
            <w:r>
              <w:rPr>
                <w:sz w:val="20"/>
              </w:rPr>
              <w:t>Nick Saggers</w:t>
            </w:r>
          </w:p>
        </w:tc>
        <w:tc>
          <w:tcPr>
            <w:tcW w:w="2973" w:type="dxa"/>
          </w:tcPr>
          <w:p>
            <w:pPr>
              <w:pStyle w:val="TableParagraph"/>
              <w:spacing w:before="30"/>
              <w:ind w:left="489"/>
              <w:rPr>
                <w:b/>
                <w:sz w:val="20"/>
              </w:rPr>
            </w:pPr>
            <w:r>
              <w:rPr>
                <w:b/>
                <w:sz w:val="20"/>
              </w:rPr>
              <w:t>BAML</w:t>
            </w:r>
          </w:p>
        </w:tc>
      </w:tr>
      <w:tr>
        <w:trPr>
          <w:trHeight w:val="300" w:hRule="atLeast"/>
        </w:trPr>
        <w:tc>
          <w:tcPr>
            <w:tcW w:w="2831" w:type="dxa"/>
          </w:tcPr>
          <w:p>
            <w:pPr>
              <w:pStyle w:val="TableParagraph"/>
              <w:rPr>
                <w:sz w:val="20"/>
              </w:rPr>
            </w:pPr>
            <w:r>
              <w:rPr>
                <w:sz w:val="20"/>
              </w:rPr>
              <w:t>Frederic Macquet</w:t>
            </w:r>
          </w:p>
        </w:tc>
        <w:tc>
          <w:tcPr>
            <w:tcW w:w="2973" w:type="dxa"/>
          </w:tcPr>
          <w:p>
            <w:pPr>
              <w:pStyle w:val="TableParagraph"/>
              <w:spacing w:before="30"/>
              <w:ind w:left="489"/>
              <w:rPr>
                <w:b/>
                <w:sz w:val="20"/>
              </w:rPr>
            </w:pPr>
            <w:r>
              <w:rPr>
                <w:b/>
                <w:sz w:val="20"/>
              </w:rPr>
              <w:t>BNP Paribas</w:t>
            </w:r>
          </w:p>
        </w:tc>
      </w:tr>
      <w:tr>
        <w:trPr>
          <w:trHeight w:val="300" w:hRule="atLeast"/>
        </w:trPr>
        <w:tc>
          <w:tcPr>
            <w:tcW w:w="2831" w:type="dxa"/>
          </w:tcPr>
          <w:p>
            <w:pPr>
              <w:pStyle w:val="TableParagraph"/>
              <w:rPr>
                <w:sz w:val="20"/>
              </w:rPr>
            </w:pPr>
            <w:r>
              <w:rPr>
                <w:sz w:val="20"/>
              </w:rPr>
              <w:t>Alain Verdickt</w:t>
            </w:r>
          </w:p>
        </w:tc>
        <w:tc>
          <w:tcPr>
            <w:tcW w:w="2973" w:type="dxa"/>
          </w:tcPr>
          <w:p>
            <w:pPr>
              <w:pStyle w:val="TableParagraph"/>
              <w:spacing w:before="30"/>
              <w:ind w:left="489"/>
              <w:rPr>
                <w:b/>
                <w:sz w:val="20"/>
              </w:rPr>
            </w:pPr>
            <w:r>
              <w:rPr>
                <w:b/>
                <w:sz w:val="20"/>
              </w:rPr>
              <w:t>Citigroup</w:t>
            </w:r>
          </w:p>
        </w:tc>
      </w:tr>
      <w:tr>
        <w:trPr>
          <w:trHeight w:val="300" w:hRule="atLeast"/>
        </w:trPr>
        <w:tc>
          <w:tcPr>
            <w:tcW w:w="2831" w:type="dxa"/>
          </w:tcPr>
          <w:p>
            <w:pPr>
              <w:pStyle w:val="TableParagraph"/>
              <w:rPr>
                <w:sz w:val="20"/>
              </w:rPr>
            </w:pPr>
            <w:r>
              <w:rPr>
                <w:sz w:val="20"/>
              </w:rPr>
              <w:t>Alistair Sharp</w:t>
            </w:r>
          </w:p>
        </w:tc>
        <w:tc>
          <w:tcPr>
            <w:tcW w:w="2973" w:type="dxa"/>
          </w:tcPr>
          <w:p>
            <w:pPr>
              <w:pStyle w:val="TableParagraph"/>
              <w:spacing w:before="30"/>
              <w:ind w:left="489"/>
              <w:rPr>
                <w:b/>
                <w:sz w:val="20"/>
              </w:rPr>
            </w:pPr>
            <w:r>
              <w:rPr>
                <w:b/>
                <w:sz w:val="20"/>
              </w:rPr>
              <w:t>Credit Suisse</w:t>
            </w:r>
          </w:p>
        </w:tc>
      </w:tr>
      <w:tr>
        <w:trPr>
          <w:trHeight w:val="300" w:hRule="atLeast"/>
        </w:trPr>
        <w:tc>
          <w:tcPr>
            <w:tcW w:w="2831" w:type="dxa"/>
          </w:tcPr>
          <w:p>
            <w:pPr>
              <w:pStyle w:val="TableParagraph"/>
              <w:rPr>
                <w:sz w:val="20"/>
              </w:rPr>
            </w:pPr>
            <w:r>
              <w:rPr>
                <w:sz w:val="20"/>
              </w:rPr>
              <w:t>Arif Merali</w:t>
            </w:r>
          </w:p>
        </w:tc>
        <w:tc>
          <w:tcPr>
            <w:tcW w:w="2973" w:type="dxa"/>
          </w:tcPr>
          <w:p>
            <w:pPr>
              <w:pStyle w:val="TableParagraph"/>
              <w:spacing w:before="30"/>
              <w:ind w:left="489"/>
              <w:rPr>
                <w:b/>
                <w:sz w:val="20"/>
              </w:rPr>
            </w:pPr>
            <w:r>
              <w:rPr>
                <w:b/>
                <w:sz w:val="20"/>
              </w:rPr>
              <w:t>Credit Suisse</w:t>
            </w:r>
          </w:p>
        </w:tc>
      </w:tr>
      <w:tr>
        <w:trPr>
          <w:trHeight w:val="300" w:hRule="atLeast"/>
        </w:trPr>
        <w:tc>
          <w:tcPr>
            <w:tcW w:w="2831" w:type="dxa"/>
          </w:tcPr>
          <w:p>
            <w:pPr>
              <w:pStyle w:val="TableParagraph"/>
              <w:rPr>
                <w:sz w:val="20"/>
              </w:rPr>
            </w:pPr>
            <w:r>
              <w:rPr>
                <w:sz w:val="20"/>
              </w:rPr>
              <w:t>Nick Gray</w:t>
            </w:r>
          </w:p>
        </w:tc>
        <w:tc>
          <w:tcPr>
            <w:tcW w:w="2973" w:type="dxa"/>
          </w:tcPr>
          <w:p>
            <w:pPr>
              <w:pStyle w:val="TableParagraph"/>
              <w:spacing w:before="30"/>
              <w:ind w:left="489"/>
              <w:rPr>
                <w:b/>
                <w:sz w:val="20"/>
              </w:rPr>
            </w:pPr>
            <w:r>
              <w:rPr>
                <w:b/>
                <w:sz w:val="20"/>
              </w:rPr>
              <w:t>Deutsche Bank</w:t>
            </w:r>
          </w:p>
        </w:tc>
      </w:tr>
      <w:tr>
        <w:trPr>
          <w:trHeight w:val="300" w:hRule="atLeast"/>
        </w:trPr>
        <w:tc>
          <w:tcPr>
            <w:tcW w:w="2831" w:type="dxa"/>
          </w:tcPr>
          <w:p>
            <w:pPr>
              <w:pStyle w:val="TableParagraph"/>
              <w:rPr>
                <w:sz w:val="20"/>
              </w:rPr>
            </w:pPr>
            <w:r>
              <w:rPr>
                <w:sz w:val="20"/>
              </w:rPr>
              <w:t>Susanne Louis</w:t>
            </w:r>
          </w:p>
        </w:tc>
        <w:tc>
          <w:tcPr>
            <w:tcW w:w="2973" w:type="dxa"/>
          </w:tcPr>
          <w:p>
            <w:pPr>
              <w:pStyle w:val="TableParagraph"/>
              <w:spacing w:before="30"/>
              <w:ind w:left="489"/>
              <w:rPr>
                <w:b/>
                <w:sz w:val="20"/>
              </w:rPr>
            </w:pPr>
            <w:r>
              <w:rPr>
                <w:b/>
                <w:sz w:val="20"/>
              </w:rPr>
              <w:t>Deutsche Bank</w:t>
            </w:r>
          </w:p>
        </w:tc>
      </w:tr>
      <w:tr>
        <w:trPr>
          <w:trHeight w:val="300" w:hRule="atLeast"/>
        </w:trPr>
        <w:tc>
          <w:tcPr>
            <w:tcW w:w="2831" w:type="dxa"/>
          </w:tcPr>
          <w:p>
            <w:pPr>
              <w:pStyle w:val="TableParagraph"/>
              <w:rPr>
                <w:sz w:val="20"/>
              </w:rPr>
            </w:pPr>
            <w:r>
              <w:rPr>
                <w:sz w:val="20"/>
              </w:rPr>
              <w:t>Chirag Dave</w:t>
            </w:r>
          </w:p>
        </w:tc>
        <w:tc>
          <w:tcPr>
            <w:tcW w:w="2973" w:type="dxa"/>
          </w:tcPr>
          <w:p>
            <w:pPr>
              <w:pStyle w:val="TableParagraph"/>
              <w:spacing w:before="30"/>
              <w:ind w:left="489"/>
              <w:rPr>
                <w:b/>
                <w:sz w:val="20"/>
              </w:rPr>
            </w:pPr>
            <w:r>
              <w:rPr>
                <w:b/>
                <w:sz w:val="20"/>
              </w:rPr>
              <w:t>Goldman Sachs</w:t>
            </w:r>
          </w:p>
        </w:tc>
      </w:tr>
      <w:tr>
        <w:trPr>
          <w:trHeight w:val="300" w:hRule="atLeast"/>
        </w:trPr>
        <w:tc>
          <w:tcPr>
            <w:tcW w:w="2831" w:type="dxa"/>
          </w:tcPr>
          <w:p>
            <w:pPr>
              <w:pStyle w:val="TableParagraph"/>
              <w:rPr>
                <w:sz w:val="20"/>
              </w:rPr>
            </w:pPr>
            <w:r>
              <w:rPr>
                <w:sz w:val="20"/>
              </w:rPr>
              <w:t>Glenn Handley</w:t>
            </w:r>
          </w:p>
        </w:tc>
        <w:tc>
          <w:tcPr>
            <w:tcW w:w="2973" w:type="dxa"/>
          </w:tcPr>
          <w:p>
            <w:pPr>
              <w:pStyle w:val="TableParagraph"/>
              <w:spacing w:before="30"/>
              <w:ind w:left="489"/>
              <w:rPr>
                <w:b/>
                <w:sz w:val="20"/>
              </w:rPr>
            </w:pPr>
            <w:r>
              <w:rPr>
                <w:b/>
                <w:sz w:val="20"/>
              </w:rPr>
              <w:t>HSBC</w:t>
            </w:r>
          </w:p>
        </w:tc>
      </w:tr>
      <w:tr>
        <w:trPr>
          <w:trHeight w:val="300" w:hRule="atLeast"/>
        </w:trPr>
        <w:tc>
          <w:tcPr>
            <w:tcW w:w="2831" w:type="dxa"/>
          </w:tcPr>
          <w:p>
            <w:pPr>
              <w:pStyle w:val="TableParagraph"/>
              <w:spacing w:before="33"/>
              <w:rPr>
                <w:sz w:val="20"/>
              </w:rPr>
            </w:pPr>
            <w:r>
              <w:rPr>
                <w:sz w:val="20"/>
              </w:rPr>
              <w:t>Kari Hallgrimsson</w:t>
            </w:r>
          </w:p>
        </w:tc>
        <w:tc>
          <w:tcPr>
            <w:tcW w:w="2973" w:type="dxa"/>
          </w:tcPr>
          <w:p>
            <w:pPr>
              <w:pStyle w:val="TableParagraph"/>
              <w:spacing w:before="30"/>
              <w:ind w:left="489"/>
              <w:rPr>
                <w:b/>
                <w:sz w:val="20"/>
              </w:rPr>
            </w:pPr>
            <w:r>
              <w:rPr>
                <w:b/>
                <w:sz w:val="20"/>
              </w:rPr>
              <w:t>JP Morgan</w:t>
            </w:r>
          </w:p>
        </w:tc>
      </w:tr>
      <w:tr>
        <w:trPr>
          <w:trHeight w:val="300" w:hRule="atLeast"/>
        </w:trPr>
        <w:tc>
          <w:tcPr>
            <w:tcW w:w="2831" w:type="dxa"/>
          </w:tcPr>
          <w:p>
            <w:pPr>
              <w:pStyle w:val="TableParagraph"/>
              <w:rPr>
                <w:sz w:val="20"/>
              </w:rPr>
            </w:pPr>
            <w:r>
              <w:rPr>
                <w:sz w:val="20"/>
              </w:rPr>
              <w:t>Steve Bullock</w:t>
            </w:r>
          </w:p>
        </w:tc>
        <w:tc>
          <w:tcPr>
            <w:tcW w:w="2973" w:type="dxa"/>
          </w:tcPr>
          <w:p>
            <w:pPr>
              <w:pStyle w:val="TableParagraph"/>
              <w:spacing w:before="30"/>
              <w:ind w:left="489"/>
              <w:rPr>
                <w:b/>
                <w:sz w:val="20"/>
              </w:rPr>
            </w:pPr>
            <w:r>
              <w:rPr>
                <w:b/>
                <w:sz w:val="20"/>
              </w:rPr>
              <w:t>Lloyds</w:t>
            </w:r>
          </w:p>
        </w:tc>
      </w:tr>
      <w:tr>
        <w:trPr>
          <w:trHeight w:val="300" w:hRule="atLeast"/>
        </w:trPr>
        <w:tc>
          <w:tcPr>
            <w:tcW w:w="2831" w:type="dxa"/>
          </w:tcPr>
          <w:p>
            <w:pPr>
              <w:pStyle w:val="TableParagraph"/>
              <w:rPr>
                <w:sz w:val="20"/>
              </w:rPr>
            </w:pPr>
            <w:r>
              <w:rPr>
                <w:sz w:val="20"/>
              </w:rPr>
              <w:t>Vinay Dhanuka</w:t>
            </w:r>
          </w:p>
        </w:tc>
        <w:tc>
          <w:tcPr>
            <w:tcW w:w="2973" w:type="dxa"/>
          </w:tcPr>
          <w:p>
            <w:pPr>
              <w:pStyle w:val="TableParagraph"/>
              <w:spacing w:before="30"/>
              <w:ind w:left="489"/>
              <w:rPr>
                <w:b/>
                <w:sz w:val="20"/>
              </w:rPr>
            </w:pPr>
            <w:r>
              <w:rPr>
                <w:b/>
                <w:sz w:val="20"/>
              </w:rPr>
              <w:t>Morgan Stanley</w:t>
            </w:r>
          </w:p>
        </w:tc>
      </w:tr>
      <w:tr>
        <w:trPr>
          <w:trHeight w:val="300" w:hRule="atLeast"/>
        </w:trPr>
        <w:tc>
          <w:tcPr>
            <w:tcW w:w="2831" w:type="dxa"/>
          </w:tcPr>
          <w:p>
            <w:pPr>
              <w:pStyle w:val="TableParagraph"/>
              <w:rPr>
                <w:sz w:val="20"/>
              </w:rPr>
            </w:pPr>
            <w:r>
              <w:rPr>
                <w:sz w:val="20"/>
              </w:rPr>
              <w:t>Mark Thommason</w:t>
            </w:r>
          </w:p>
        </w:tc>
        <w:tc>
          <w:tcPr>
            <w:tcW w:w="2973" w:type="dxa"/>
          </w:tcPr>
          <w:p>
            <w:pPr>
              <w:pStyle w:val="TableParagraph"/>
              <w:spacing w:before="30"/>
              <w:ind w:left="489"/>
              <w:rPr>
                <w:b/>
                <w:sz w:val="20"/>
              </w:rPr>
            </w:pPr>
            <w:r>
              <w:rPr>
                <w:b/>
                <w:sz w:val="20"/>
              </w:rPr>
              <w:t>RBS</w:t>
            </w:r>
          </w:p>
        </w:tc>
      </w:tr>
      <w:tr>
        <w:trPr>
          <w:trHeight w:val="300" w:hRule="atLeast"/>
        </w:trPr>
        <w:tc>
          <w:tcPr>
            <w:tcW w:w="2831" w:type="dxa"/>
          </w:tcPr>
          <w:p>
            <w:pPr>
              <w:pStyle w:val="TableParagraph"/>
              <w:rPr>
                <w:sz w:val="20"/>
              </w:rPr>
            </w:pPr>
            <w:r>
              <w:rPr>
                <w:sz w:val="20"/>
              </w:rPr>
              <w:t>Toby Stevenson</w:t>
            </w:r>
          </w:p>
        </w:tc>
        <w:tc>
          <w:tcPr>
            <w:tcW w:w="2973" w:type="dxa"/>
          </w:tcPr>
          <w:p>
            <w:pPr>
              <w:pStyle w:val="TableParagraph"/>
              <w:spacing w:before="30"/>
              <w:ind w:left="489"/>
              <w:rPr>
                <w:b/>
                <w:sz w:val="20"/>
              </w:rPr>
            </w:pPr>
            <w:r>
              <w:rPr>
                <w:b/>
                <w:sz w:val="20"/>
              </w:rPr>
              <w:t>RBS</w:t>
            </w:r>
          </w:p>
        </w:tc>
      </w:tr>
      <w:tr>
        <w:trPr>
          <w:trHeight w:val="300" w:hRule="atLeast"/>
        </w:trPr>
        <w:tc>
          <w:tcPr>
            <w:tcW w:w="2831" w:type="dxa"/>
          </w:tcPr>
          <w:p>
            <w:pPr>
              <w:pStyle w:val="TableParagraph"/>
              <w:rPr>
                <w:sz w:val="20"/>
              </w:rPr>
            </w:pPr>
            <w:r>
              <w:rPr>
                <w:sz w:val="20"/>
              </w:rPr>
              <w:t>Mark Deniston</w:t>
            </w:r>
          </w:p>
        </w:tc>
        <w:tc>
          <w:tcPr>
            <w:tcW w:w="2973" w:type="dxa"/>
          </w:tcPr>
          <w:p>
            <w:pPr>
              <w:pStyle w:val="TableParagraph"/>
              <w:spacing w:before="30"/>
              <w:ind w:left="489"/>
              <w:rPr>
                <w:b/>
                <w:sz w:val="20"/>
              </w:rPr>
            </w:pPr>
            <w:r>
              <w:rPr>
                <w:b/>
                <w:sz w:val="20"/>
              </w:rPr>
              <w:t>RBS</w:t>
            </w:r>
          </w:p>
        </w:tc>
      </w:tr>
      <w:tr>
        <w:trPr>
          <w:trHeight w:val="300" w:hRule="atLeast"/>
        </w:trPr>
        <w:tc>
          <w:tcPr>
            <w:tcW w:w="2831" w:type="dxa"/>
          </w:tcPr>
          <w:p>
            <w:pPr>
              <w:pStyle w:val="TableParagraph"/>
              <w:rPr>
                <w:sz w:val="20"/>
              </w:rPr>
            </w:pPr>
            <w:r>
              <w:rPr>
                <w:sz w:val="20"/>
              </w:rPr>
              <w:t>Paul Barnes</w:t>
            </w:r>
          </w:p>
        </w:tc>
        <w:tc>
          <w:tcPr>
            <w:tcW w:w="2973" w:type="dxa"/>
          </w:tcPr>
          <w:p>
            <w:pPr>
              <w:pStyle w:val="TableParagraph"/>
              <w:spacing w:before="30"/>
              <w:ind w:left="489"/>
              <w:rPr>
                <w:b/>
                <w:sz w:val="20"/>
              </w:rPr>
            </w:pPr>
            <w:r>
              <w:rPr>
                <w:b/>
                <w:sz w:val="20"/>
              </w:rPr>
              <w:t>Santander</w:t>
            </w:r>
          </w:p>
        </w:tc>
      </w:tr>
      <w:tr>
        <w:trPr>
          <w:trHeight w:val="300" w:hRule="atLeast"/>
        </w:trPr>
        <w:tc>
          <w:tcPr>
            <w:tcW w:w="2831" w:type="dxa"/>
          </w:tcPr>
          <w:p>
            <w:pPr>
              <w:pStyle w:val="TableParagraph"/>
              <w:rPr>
                <w:sz w:val="20"/>
              </w:rPr>
            </w:pPr>
            <w:r>
              <w:rPr>
                <w:sz w:val="20"/>
              </w:rPr>
              <w:t>Beatrice Devillon Cohen</w:t>
            </w:r>
          </w:p>
        </w:tc>
        <w:tc>
          <w:tcPr>
            <w:tcW w:w="2973" w:type="dxa"/>
          </w:tcPr>
          <w:p>
            <w:pPr>
              <w:pStyle w:val="TableParagraph"/>
              <w:spacing w:before="30"/>
              <w:ind w:left="489"/>
              <w:rPr>
                <w:b/>
                <w:sz w:val="20"/>
              </w:rPr>
            </w:pPr>
            <w:r>
              <w:rPr>
                <w:b/>
                <w:sz w:val="20"/>
              </w:rPr>
              <w:t>Societe Generale</w:t>
            </w:r>
          </w:p>
        </w:tc>
      </w:tr>
      <w:tr>
        <w:trPr>
          <w:trHeight w:val="300" w:hRule="atLeast"/>
        </w:trPr>
        <w:tc>
          <w:tcPr>
            <w:tcW w:w="2831" w:type="dxa"/>
          </w:tcPr>
          <w:p>
            <w:pPr>
              <w:pStyle w:val="TableParagraph"/>
              <w:rPr>
                <w:sz w:val="20"/>
              </w:rPr>
            </w:pPr>
            <w:r>
              <w:rPr>
                <w:sz w:val="20"/>
              </w:rPr>
              <w:t>Andrew Sacre</w:t>
            </w:r>
          </w:p>
        </w:tc>
        <w:tc>
          <w:tcPr>
            <w:tcW w:w="2973" w:type="dxa"/>
          </w:tcPr>
          <w:p>
            <w:pPr>
              <w:pStyle w:val="TableParagraph"/>
              <w:spacing w:before="30"/>
              <w:ind w:left="489"/>
              <w:rPr>
                <w:b/>
                <w:sz w:val="20"/>
              </w:rPr>
            </w:pPr>
            <w:r>
              <w:rPr>
                <w:b/>
                <w:sz w:val="20"/>
              </w:rPr>
              <w:t>Societe Generale</w:t>
            </w:r>
          </w:p>
        </w:tc>
      </w:tr>
      <w:tr>
        <w:trPr>
          <w:trHeight w:val="300" w:hRule="atLeast"/>
        </w:trPr>
        <w:tc>
          <w:tcPr>
            <w:tcW w:w="2831" w:type="dxa"/>
          </w:tcPr>
          <w:p>
            <w:pPr>
              <w:pStyle w:val="TableParagraph"/>
              <w:rPr>
                <w:sz w:val="20"/>
              </w:rPr>
            </w:pPr>
            <w:r>
              <w:rPr>
                <w:sz w:val="20"/>
              </w:rPr>
              <w:t>Phil Whitehurst</w:t>
            </w:r>
          </w:p>
        </w:tc>
        <w:tc>
          <w:tcPr>
            <w:tcW w:w="2973" w:type="dxa"/>
          </w:tcPr>
          <w:p>
            <w:pPr>
              <w:pStyle w:val="TableParagraph"/>
              <w:spacing w:before="30"/>
              <w:ind w:left="489"/>
              <w:rPr>
                <w:b/>
                <w:sz w:val="20"/>
              </w:rPr>
            </w:pPr>
            <w:r>
              <w:rPr>
                <w:b/>
                <w:sz w:val="20"/>
              </w:rPr>
              <w:t>LCH ltd (Observer)</w:t>
            </w:r>
          </w:p>
        </w:tc>
      </w:tr>
      <w:tr>
        <w:trPr>
          <w:trHeight w:val="300" w:hRule="atLeast"/>
        </w:trPr>
        <w:tc>
          <w:tcPr>
            <w:tcW w:w="2831" w:type="dxa"/>
          </w:tcPr>
          <w:p>
            <w:pPr>
              <w:pStyle w:val="TableParagraph"/>
              <w:rPr>
                <w:sz w:val="20"/>
              </w:rPr>
            </w:pPr>
            <w:r>
              <w:rPr>
                <w:sz w:val="20"/>
              </w:rPr>
              <w:t>David Horner</w:t>
            </w:r>
          </w:p>
        </w:tc>
        <w:tc>
          <w:tcPr>
            <w:tcW w:w="2973" w:type="dxa"/>
          </w:tcPr>
          <w:p>
            <w:pPr>
              <w:pStyle w:val="TableParagraph"/>
              <w:spacing w:before="30"/>
              <w:ind w:left="489"/>
              <w:rPr>
                <w:b/>
                <w:sz w:val="20"/>
              </w:rPr>
            </w:pPr>
            <w:r>
              <w:rPr>
                <w:b/>
                <w:sz w:val="20"/>
              </w:rPr>
              <w:t>LCH ltd (Observer)</w:t>
            </w:r>
          </w:p>
        </w:tc>
      </w:tr>
      <w:tr>
        <w:trPr>
          <w:trHeight w:val="262" w:hRule="atLeast"/>
        </w:trPr>
        <w:tc>
          <w:tcPr>
            <w:tcW w:w="2831" w:type="dxa"/>
          </w:tcPr>
          <w:p>
            <w:pPr>
              <w:pStyle w:val="TableParagraph"/>
              <w:spacing w:line="210" w:lineRule="exact"/>
              <w:rPr>
                <w:sz w:val="20"/>
              </w:rPr>
            </w:pPr>
            <w:r>
              <w:rPr>
                <w:sz w:val="20"/>
              </w:rPr>
              <w:t>Katherine Darras</w:t>
            </w:r>
          </w:p>
        </w:tc>
        <w:tc>
          <w:tcPr>
            <w:tcW w:w="2973" w:type="dxa"/>
          </w:tcPr>
          <w:p>
            <w:pPr>
              <w:pStyle w:val="TableParagraph"/>
              <w:spacing w:line="212" w:lineRule="exact" w:before="30"/>
              <w:ind w:left="489"/>
              <w:rPr>
                <w:b/>
                <w:sz w:val="20"/>
              </w:rPr>
            </w:pPr>
            <w:r>
              <w:rPr>
                <w:b/>
                <w:sz w:val="20"/>
              </w:rPr>
              <w:t>ISDA (Observer)</w:t>
            </w:r>
          </w:p>
        </w:tc>
      </w:tr>
    </w:tbl>
    <w:p>
      <w:pPr>
        <w:pStyle w:val="BodyText"/>
        <w:ind w:left="0"/>
        <w:rPr>
          <w:b/>
          <w:sz w:val="22"/>
        </w:rPr>
      </w:pPr>
    </w:p>
    <w:p>
      <w:pPr>
        <w:pStyle w:val="BodyText"/>
        <w:ind w:left="0"/>
        <w:rPr>
          <w:b/>
          <w:sz w:val="22"/>
        </w:rPr>
      </w:pPr>
    </w:p>
    <w:p>
      <w:pPr>
        <w:pStyle w:val="BodyText"/>
        <w:spacing w:before="6"/>
        <w:ind w:left="0"/>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
        <w:ind w:left="0"/>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3702"/>
      </w:tblGrid>
      <w:tr>
        <w:trPr>
          <w:trHeight w:val="263" w:hRule="atLeast"/>
        </w:trPr>
        <w:tc>
          <w:tcPr>
            <w:tcW w:w="2535" w:type="dxa"/>
          </w:tcPr>
          <w:p>
            <w:pPr>
              <w:pStyle w:val="TableParagraph"/>
              <w:spacing w:line="225" w:lineRule="exact" w:before="0"/>
              <w:rPr>
                <w:sz w:val="20"/>
              </w:rPr>
            </w:pPr>
            <w:r>
              <w:rPr>
                <w:sz w:val="20"/>
              </w:rPr>
              <w:t>Will Parry</w:t>
            </w:r>
          </w:p>
        </w:tc>
        <w:tc>
          <w:tcPr>
            <w:tcW w:w="3702" w:type="dxa"/>
          </w:tcPr>
          <w:p>
            <w:pPr>
              <w:pStyle w:val="TableParagraph"/>
              <w:spacing w:line="223" w:lineRule="exact" w:before="0"/>
              <w:ind w:left="826"/>
              <w:rPr>
                <w:b/>
                <w:sz w:val="20"/>
              </w:rPr>
            </w:pPr>
            <w:r>
              <w:rPr>
                <w:b/>
                <w:sz w:val="20"/>
              </w:rPr>
              <w:t>Bank of England</w:t>
            </w:r>
          </w:p>
        </w:tc>
      </w:tr>
      <w:tr>
        <w:trPr>
          <w:trHeight w:val="303" w:hRule="atLeast"/>
        </w:trPr>
        <w:tc>
          <w:tcPr>
            <w:tcW w:w="2535" w:type="dxa"/>
          </w:tcPr>
          <w:p>
            <w:pPr>
              <w:pStyle w:val="TableParagraph"/>
              <w:spacing w:before="34"/>
              <w:rPr>
                <w:sz w:val="20"/>
              </w:rPr>
            </w:pPr>
            <w:r>
              <w:rPr>
                <w:sz w:val="20"/>
              </w:rPr>
              <w:t>Tim Taylor</w:t>
            </w:r>
          </w:p>
        </w:tc>
        <w:tc>
          <w:tcPr>
            <w:tcW w:w="3702" w:type="dxa"/>
          </w:tcPr>
          <w:p>
            <w:pPr>
              <w:pStyle w:val="TableParagraph"/>
              <w:spacing w:before="31"/>
              <w:ind w:left="826"/>
              <w:rPr>
                <w:b/>
                <w:sz w:val="20"/>
              </w:rPr>
            </w:pPr>
            <w:r>
              <w:rPr>
                <w:b/>
                <w:sz w:val="20"/>
              </w:rPr>
              <w:t>Bank of England</w:t>
            </w:r>
          </w:p>
        </w:tc>
      </w:tr>
      <w:tr>
        <w:trPr>
          <w:trHeight w:val="303" w:hRule="atLeast"/>
        </w:trPr>
        <w:tc>
          <w:tcPr>
            <w:tcW w:w="2535" w:type="dxa"/>
          </w:tcPr>
          <w:p>
            <w:pPr>
              <w:pStyle w:val="TableParagraph"/>
              <w:spacing w:before="35"/>
              <w:rPr>
                <w:sz w:val="20"/>
              </w:rPr>
            </w:pPr>
            <w:r>
              <w:rPr>
                <w:sz w:val="20"/>
              </w:rPr>
              <w:t>Ed Ocampo</w:t>
            </w:r>
          </w:p>
        </w:tc>
        <w:tc>
          <w:tcPr>
            <w:tcW w:w="3702" w:type="dxa"/>
          </w:tcPr>
          <w:p>
            <w:pPr>
              <w:pStyle w:val="TableParagraph"/>
              <w:ind w:left="826"/>
              <w:rPr>
                <w:b/>
                <w:sz w:val="20"/>
              </w:rPr>
            </w:pPr>
            <w:r>
              <w:rPr>
                <w:b/>
                <w:sz w:val="20"/>
              </w:rPr>
              <w:t>Bank of England</w:t>
            </w:r>
          </w:p>
        </w:tc>
      </w:tr>
      <w:tr>
        <w:trPr>
          <w:trHeight w:val="302" w:hRule="atLeast"/>
        </w:trPr>
        <w:tc>
          <w:tcPr>
            <w:tcW w:w="2535" w:type="dxa"/>
          </w:tcPr>
          <w:p>
            <w:pPr>
              <w:pStyle w:val="TableParagraph"/>
              <w:spacing w:before="34"/>
              <w:rPr>
                <w:sz w:val="20"/>
              </w:rPr>
            </w:pPr>
            <w:r>
              <w:rPr>
                <w:sz w:val="20"/>
              </w:rPr>
              <w:t>Imane Bakkar</w:t>
            </w:r>
          </w:p>
        </w:tc>
        <w:tc>
          <w:tcPr>
            <w:tcW w:w="3702" w:type="dxa"/>
          </w:tcPr>
          <w:p>
            <w:pPr>
              <w:pStyle w:val="TableParagraph"/>
              <w:spacing w:before="31"/>
              <w:ind w:left="826"/>
              <w:rPr>
                <w:b/>
                <w:sz w:val="20"/>
              </w:rPr>
            </w:pPr>
            <w:r>
              <w:rPr>
                <w:b/>
                <w:sz w:val="20"/>
              </w:rPr>
              <w:t>Bank of England</w:t>
            </w:r>
          </w:p>
        </w:tc>
      </w:tr>
      <w:tr>
        <w:trPr>
          <w:trHeight w:val="302" w:hRule="atLeast"/>
        </w:trPr>
        <w:tc>
          <w:tcPr>
            <w:tcW w:w="2535" w:type="dxa"/>
          </w:tcPr>
          <w:p>
            <w:pPr>
              <w:pStyle w:val="TableParagraph"/>
              <w:spacing w:before="34"/>
              <w:rPr>
                <w:sz w:val="20"/>
              </w:rPr>
            </w:pPr>
            <w:r>
              <w:rPr>
                <w:sz w:val="20"/>
              </w:rPr>
              <w:t>Josh Jones</w:t>
            </w:r>
          </w:p>
        </w:tc>
        <w:tc>
          <w:tcPr>
            <w:tcW w:w="3702" w:type="dxa"/>
          </w:tcPr>
          <w:p>
            <w:pPr>
              <w:pStyle w:val="TableParagraph"/>
              <w:spacing w:before="31"/>
              <w:ind w:left="826"/>
              <w:rPr>
                <w:b/>
                <w:sz w:val="20"/>
              </w:rPr>
            </w:pPr>
            <w:r>
              <w:rPr>
                <w:b/>
                <w:sz w:val="20"/>
              </w:rPr>
              <w:t>Bank of England</w:t>
            </w:r>
          </w:p>
        </w:tc>
      </w:tr>
      <w:tr>
        <w:trPr>
          <w:trHeight w:val="303" w:hRule="atLeast"/>
        </w:trPr>
        <w:tc>
          <w:tcPr>
            <w:tcW w:w="2535" w:type="dxa"/>
          </w:tcPr>
          <w:p>
            <w:pPr>
              <w:pStyle w:val="TableParagraph"/>
              <w:spacing w:before="34"/>
              <w:rPr>
                <w:sz w:val="20"/>
              </w:rPr>
            </w:pPr>
            <w:r>
              <w:rPr>
                <w:sz w:val="20"/>
              </w:rPr>
              <w:t>Rob Harris</w:t>
            </w:r>
          </w:p>
        </w:tc>
        <w:tc>
          <w:tcPr>
            <w:tcW w:w="3702" w:type="dxa"/>
          </w:tcPr>
          <w:p>
            <w:pPr>
              <w:pStyle w:val="TableParagraph"/>
              <w:spacing w:before="31"/>
              <w:ind w:left="826"/>
              <w:rPr>
                <w:b/>
                <w:sz w:val="20"/>
              </w:rPr>
            </w:pPr>
            <w:r>
              <w:rPr>
                <w:b/>
                <w:sz w:val="20"/>
              </w:rPr>
              <w:t>Bank of England</w:t>
            </w:r>
          </w:p>
        </w:tc>
      </w:tr>
      <w:tr>
        <w:trPr>
          <w:trHeight w:val="303" w:hRule="atLeast"/>
        </w:trPr>
        <w:tc>
          <w:tcPr>
            <w:tcW w:w="2535" w:type="dxa"/>
          </w:tcPr>
          <w:p>
            <w:pPr>
              <w:pStyle w:val="TableParagraph"/>
              <w:spacing w:before="35"/>
              <w:rPr>
                <w:sz w:val="20"/>
              </w:rPr>
            </w:pPr>
            <w:r>
              <w:rPr>
                <w:sz w:val="20"/>
              </w:rPr>
              <w:t>John Budd</w:t>
            </w:r>
          </w:p>
        </w:tc>
        <w:tc>
          <w:tcPr>
            <w:tcW w:w="3702" w:type="dxa"/>
          </w:tcPr>
          <w:p>
            <w:pPr>
              <w:pStyle w:val="TableParagraph"/>
              <w:ind w:left="826"/>
              <w:rPr>
                <w:b/>
                <w:sz w:val="20"/>
              </w:rPr>
            </w:pPr>
            <w:r>
              <w:rPr>
                <w:b/>
                <w:sz w:val="20"/>
              </w:rPr>
              <w:t>Bank of England</w:t>
            </w:r>
          </w:p>
        </w:tc>
      </w:tr>
      <w:tr>
        <w:trPr>
          <w:trHeight w:val="302" w:hRule="atLeast"/>
        </w:trPr>
        <w:tc>
          <w:tcPr>
            <w:tcW w:w="2535" w:type="dxa"/>
          </w:tcPr>
          <w:p>
            <w:pPr>
              <w:pStyle w:val="TableParagraph"/>
              <w:spacing w:before="34"/>
              <w:rPr>
                <w:sz w:val="20"/>
              </w:rPr>
            </w:pPr>
            <w:r>
              <w:rPr>
                <w:sz w:val="20"/>
              </w:rPr>
              <w:t>Harriet Hunnable</w:t>
            </w:r>
          </w:p>
        </w:tc>
        <w:tc>
          <w:tcPr>
            <w:tcW w:w="3702" w:type="dxa"/>
          </w:tcPr>
          <w:p>
            <w:pPr>
              <w:pStyle w:val="TableParagraph"/>
              <w:spacing w:before="31"/>
              <w:ind w:left="826"/>
              <w:rPr>
                <w:b/>
                <w:sz w:val="20"/>
              </w:rPr>
            </w:pPr>
            <w:r>
              <w:rPr>
                <w:b/>
                <w:sz w:val="20"/>
              </w:rPr>
              <w:t>Financial Conduct Authority</w:t>
            </w:r>
          </w:p>
        </w:tc>
      </w:tr>
      <w:tr>
        <w:trPr>
          <w:trHeight w:val="302" w:hRule="atLeast"/>
        </w:trPr>
        <w:tc>
          <w:tcPr>
            <w:tcW w:w="2535" w:type="dxa"/>
          </w:tcPr>
          <w:p>
            <w:pPr>
              <w:pStyle w:val="TableParagraph"/>
              <w:spacing w:before="34"/>
              <w:rPr>
                <w:sz w:val="20"/>
              </w:rPr>
            </w:pPr>
            <w:r>
              <w:rPr>
                <w:sz w:val="20"/>
              </w:rPr>
              <w:t>Adeshini Naidoo</w:t>
            </w:r>
          </w:p>
        </w:tc>
        <w:tc>
          <w:tcPr>
            <w:tcW w:w="3702" w:type="dxa"/>
          </w:tcPr>
          <w:p>
            <w:pPr>
              <w:pStyle w:val="TableParagraph"/>
              <w:spacing w:before="31"/>
              <w:ind w:left="826"/>
              <w:rPr>
                <w:b/>
                <w:sz w:val="20"/>
              </w:rPr>
            </w:pPr>
            <w:r>
              <w:rPr>
                <w:b/>
                <w:sz w:val="20"/>
              </w:rPr>
              <w:t>Financial Conduct Authority</w:t>
            </w:r>
          </w:p>
        </w:tc>
      </w:tr>
      <w:tr>
        <w:trPr>
          <w:trHeight w:val="303" w:hRule="atLeast"/>
        </w:trPr>
        <w:tc>
          <w:tcPr>
            <w:tcW w:w="2535" w:type="dxa"/>
          </w:tcPr>
          <w:p>
            <w:pPr>
              <w:pStyle w:val="TableParagraph"/>
              <w:spacing w:before="34"/>
              <w:rPr>
                <w:sz w:val="20"/>
              </w:rPr>
            </w:pPr>
            <w:r>
              <w:rPr>
                <w:sz w:val="20"/>
              </w:rPr>
              <w:t>Toby Williams</w:t>
            </w:r>
          </w:p>
        </w:tc>
        <w:tc>
          <w:tcPr>
            <w:tcW w:w="3702" w:type="dxa"/>
          </w:tcPr>
          <w:p>
            <w:pPr>
              <w:pStyle w:val="TableParagraph"/>
              <w:spacing w:before="31"/>
              <w:ind w:left="826"/>
              <w:rPr>
                <w:b/>
                <w:sz w:val="20"/>
              </w:rPr>
            </w:pPr>
            <w:r>
              <w:rPr>
                <w:b/>
                <w:sz w:val="20"/>
              </w:rPr>
              <w:t>Financial Conduct Authority</w:t>
            </w:r>
          </w:p>
        </w:tc>
      </w:tr>
      <w:tr>
        <w:trPr>
          <w:trHeight w:val="303" w:hRule="atLeast"/>
        </w:trPr>
        <w:tc>
          <w:tcPr>
            <w:tcW w:w="2535" w:type="dxa"/>
          </w:tcPr>
          <w:p>
            <w:pPr>
              <w:pStyle w:val="TableParagraph"/>
              <w:spacing w:before="35"/>
              <w:rPr>
                <w:sz w:val="20"/>
              </w:rPr>
            </w:pPr>
            <w:r>
              <w:rPr>
                <w:sz w:val="20"/>
              </w:rPr>
              <w:t>Heather Pilley</w:t>
            </w:r>
          </w:p>
        </w:tc>
        <w:tc>
          <w:tcPr>
            <w:tcW w:w="3702" w:type="dxa"/>
          </w:tcPr>
          <w:p>
            <w:pPr>
              <w:pStyle w:val="TableParagraph"/>
              <w:ind w:left="826"/>
              <w:rPr>
                <w:b/>
                <w:sz w:val="20"/>
              </w:rPr>
            </w:pPr>
            <w:r>
              <w:rPr>
                <w:b/>
                <w:sz w:val="20"/>
              </w:rPr>
              <w:t>Financial Conduct Authority</w:t>
            </w:r>
          </w:p>
        </w:tc>
      </w:tr>
      <w:tr>
        <w:trPr>
          <w:trHeight w:val="263" w:hRule="atLeast"/>
        </w:trPr>
        <w:tc>
          <w:tcPr>
            <w:tcW w:w="2535" w:type="dxa"/>
          </w:tcPr>
          <w:p>
            <w:pPr>
              <w:pStyle w:val="TableParagraph"/>
              <w:spacing w:line="210" w:lineRule="exact" w:before="34"/>
              <w:rPr>
                <w:sz w:val="20"/>
              </w:rPr>
            </w:pPr>
            <w:r>
              <w:rPr>
                <w:sz w:val="20"/>
              </w:rPr>
              <w:t>Helen McHardy</w:t>
            </w:r>
          </w:p>
        </w:tc>
        <w:tc>
          <w:tcPr>
            <w:tcW w:w="3702" w:type="dxa"/>
          </w:tcPr>
          <w:p>
            <w:pPr>
              <w:pStyle w:val="TableParagraph"/>
              <w:spacing w:line="212" w:lineRule="exact" w:before="31"/>
              <w:ind w:left="826"/>
              <w:rPr>
                <w:b/>
                <w:sz w:val="20"/>
              </w:rPr>
            </w:pPr>
            <w:r>
              <w:rPr>
                <w:b/>
                <w:sz w:val="20"/>
              </w:rPr>
              <w:t>Financial Conduct Authority</w:t>
            </w:r>
          </w:p>
        </w:tc>
      </w:tr>
    </w:tbl>
    <w:sectPr>
      <w:pgSz w:w="11910" w:h="16840"/>
      <w:pgMar w:top="1340" w:bottom="280" w:left="12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12" w:hanging="428"/>
      </w:pPr>
      <w:rPr>
        <w:rFonts w:hint="default"/>
        <w:lang w:val="en-gb" w:eastAsia="en-gb" w:bidi="en-gb"/>
      </w:rPr>
    </w:lvl>
    <w:lvl w:ilvl="2">
      <w:start w:val="0"/>
      <w:numFmt w:val="bullet"/>
      <w:lvlText w:val="•"/>
      <w:lvlJc w:val="left"/>
      <w:pPr>
        <w:ind w:left="2025" w:hanging="428"/>
      </w:pPr>
      <w:rPr>
        <w:rFonts w:hint="default"/>
        <w:lang w:val="en-gb" w:eastAsia="en-gb" w:bidi="en-gb"/>
      </w:rPr>
    </w:lvl>
    <w:lvl w:ilvl="3">
      <w:start w:val="0"/>
      <w:numFmt w:val="bullet"/>
      <w:lvlText w:val="•"/>
      <w:lvlJc w:val="left"/>
      <w:pPr>
        <w:ind w:left="2937" w:hanging="428"/>
      </w:pPr>
      <w:rPr>
        <w:rFonts w:hint="default"/>
        <w:lang w:val="en-gb" w:eastAsia="en-gb" w:bidi="en-gb"/>
      </w:rPr>
    </w:lvl>
    <w:lvl w:ilvl="4">
      <w:start w:val="0"/>
      <w:numFmt w:val="bullet"/>
      <w:lvlText w:val="•"/>
      <w:lvlJc w:val="left"/>
      <w:pPr>
        <w:ind w:left="3850" w:hanging="428"/>
      </w:pPr>
      <w:rPr>
        <w:rFonts w:hint="default"/>
        <w:lang w:val="en-gb" w:eastAsia="en-gb" w:bidi="en-gb"/>
      </w:rPr>
    </w:lvl>
    <w:lvl w:ilvl="5">
      <w:start w:val="0"/>
      <w:numFmt w:val="bullet"/>
      <w:lvlText w:val="•"/>
      <w:lvlJc w:val="left"/>
      <w:pPr>
        <w:ind w:left="4763" w:hanging="428"/>
      </w:pPr>
      <w:rPr>
        <w:rFonts w:hint="default"/>
        <w:lang w:val="en-gb" w:eastAsia="en-gb" w:bidi="en-gb"/>
      </w:rPr>
    </w:lvl>
    <w:lvl w:ilvl="6">
      <w:start w:val="0"/>
      <w:numFmt w:val="bullet"/>
      <w:lvlText w:val="•"/>
      <w:lvlJc w:val="left"/>
      <w:pPr>
        <w:ind w:left="5675" w:hanging="428"/>
      </w:pPr>
      <w:rPr>
        <w:rFonts w:hint="default"/>
        <w:lang w:val="en-gb" w:eastAsia="en-gb" w:bidi="en-gb"/>
      </w:rPr>
    </w:lvl>
    <w:lvl w:ilvl="7">
      <w:start w:val="0"/>
      <w:numFmt w:val="bullet"/>
      <w:lvlText w:val="•"/>
      <w:lvlJc w:val="left"/>
      <w:pPr>
        <w:ind w:left="6588" w:hanging="428"/>
      </w:pPr>
      <w:rPr>
        <w:rFonts w:hint="default"/>
        <w:lang w:val="en-gb" w:eastAsia="en-gb" w:bidi="en-gb"/>
      </w:rPr>
    </w:lvl>
    <w:lvl w:ilvl="8">
      <w:start w:val="0"/>
      <w:numFmt w:val="bullet"/>
      <w:lvlText w:val="•"/>
      <w:lvlJc w:val="left"/>
      <w:pPr>
        <w:ind w:left="7501"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200"/>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edia/boe/files/markets/benchmarks/summary-responses-to-white-paper-questions.pdf?la=en&amp;hash=16B53FDE98AF31020283DFCF36F1C2CF6E51C703" TargetMode="External"/><Relationship Id="rId6" Type="http://schemas.openxmlformats.org/officeDocument/2006/relationships/hyperlink" Target="https://www.bankofengland.co.uk/news/2017/november/bank-and-fca-launch-next-phase-of-sterling-libor-transition-work" TargetMode="External"/><Relationship Id="rId7" Type="http://schemas.openxmlformats.org/officeDocument/2006/relationships/hyperlink" Target="https://www.newyorkfed.org/arrc/meetings" TargetMode="External"/><Relationship Id="rId8" Type="http://schemas.openxmlformats.org/officeDocument/2006/relationships/hyperlink" Target="https://www.fca.org.uk/news/speeches/the-future-of-libor"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Working Group on Sterling Risk-Free Reference Rates</dc:subject>
  <dc:title>Minutes of the Meeting of the Working Group on Sterling Risk-Free Reference Rates 7 November 2017</dc:title>
  <dcterms:created xsi:type="dcterms:W3CDTF">2020-06-01T02:24:52Z</dcterms:created>
  <dcterms:modified xsi:type="dcterms:W3CDTF">2020-06-01T02:24:52Z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LastSaved">
    <vt:filetime>2020-06-01T00:00:00Z</vt:filetime>
  </property>
</Properties>
</file>