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2" w:lineRule="auto" w:before="75"/>
        <w:ind w:left="1886" w:right="1808"/>
        <w:jc w:val="center"/>
      </w:pPr>
      <w:r>
        <w:rPr/>
        <w:t>Minutes of the Working Group on Sterling Risk-Free Reference Rates Thursday 29</w:t>
      </w:r>
      <w:r>
        <w:rPr>
          <w:vertAlign w:val="superscript"/>
        </w:rPr>
        <w:t>th</w:t>
      </w:r>
      <w:r>
        <w:rPr>
          <w:vertAlign w:val="baseline"/>
        </w:rPr>
        <w:t> November 2018</w:t>
      </w:r>
    </w:p>
    <w:p>
      <w:pPr>
        <w:spacing w:before="3"/>
        <w:ind w:left="1881" w:right="1808" w:firstLine="0"/>
        <w:jc w:val="center"/>
        <w:rPr>
          <w:b/>
          <w:sz w:val="20"/>
        </w:rPr>
      </w:pPr>
      <w:r>
        <w:rPr>
          <w:b/>
          <w:sz w:val="20"/>
        </w:rPr>
        <w:t>Bank of England, Threadneedle Street, London</w:t>
      </w:r>
    </w:p>
    <w:p>
      <w:pPr>
        <w:pStyle w:val="BodyText"/>
        <w:spacing w:before="11"/>
        <w:rPr>
          <w:b/>
          <w:sz w:val="30"/>
        </w:rPr>
      </w:pPr>
    </w:p>
    <w:p>
      <w:pPr>
        <w:spacing w:before="0"/>
        <w:ind w:left="199" w:right="0" w:firstLine="0"/>
        <w:jc w:val="left"/>
        <w:rPr>
          <w:b/>
          <w:sz w:val="20"/>
        </w:rPr>
      </w:pPr>
      <w:r>
        <w:rPr>
          <w:b/>
          <w:sz w:val="20"/>
        </w:rPr>
        <w:t>Welcome and Competition Law Reminder</w:t>
      </w:r>
    </w:p>
    <w:p>
      <w:pPr>
        <w:pStyle w:val="BodyText"/>
        <w:spacing w:before="8"/>
        <w:rPr>
          <w:b/>
        </w:rPr>
      </w:pPr>
    </w:p>
    <w:p>
      <w:pPr>
        <w:pStyle w:val="ListParagraph"/>
        <w:numPr>
          <w:ilvl w:val="0"/>
          <w:numId w:val="1"/>
        </w:numPr>
        <w:tabs>
          <w:tab w:pos="560" w:val="left" w:leader="none"/>
        </w:tabs>
        <w:spacing w:line="360" w:lineRule="auto" w:before="0" w:after="0"/>
        <w:ind w:left="559" w:right="123" w:hanging="360"/>
        <w:jc w:val="both"/>
        <w:rPr>
          <w:sz w:val="20"/>
        </w:rPr>
      </w:pPr>
      <w:r>
        <w:rPr>
          <w:sz w:val="20"/>
        </w:rPr>
        <w:t>The Chair welcomed attendees and reminded them of their responsibilities in relation to competition law and the importance of taking their own independent advice from the legal and/or compliance teams at their respective institutions.</w:t>
      </w:r>
    </w:p>
    <w:p>
      <w:pPr>
        <w:pStyle w:val="Heading1"/>
        <w:spacing w:before="117"/>
        <w:jc w:val="left"/>
      </w:pPr>
      <w:r>
        <w:rPr/>
        <w:t>Term SONIA Reference Rates Next Steps</w:t>
      </w:r>
    </w:p>
    <w:p>
      <w:pPr>
        <w:pStyle w:val="BodyText"/>
        <w:spacing w:before="8"/>
        <w:rPr>
          <w:b/>
        </w:rPr>
      </w:pPr>
    </w:p>
    <w:p>
      <w:pPr>
        <w:pStyle w:val="ListParagraph"/>
        <w:numPr>
          <w:ilvl w:val="0"/>
          <w:numId w:val="1"/>
        </w:numPr>
        <w:tabs>
          <w:tab w:pos="560" w:val="left" w:leader="none"/>
        </w:tabs>
        <w:spacing w:line="357" w:lineRule="auto" w:before="0" w:after="0"/>
        <w:ind w:left="559" w:right="125" w:hanging="360"/>
        <w:jc w:val="both"/>
        <w:rPr>
          <w:sz w:val="20"/>
        </w:rPr>
      </w:pPr>
      <w:r>
        <w:rPr>
          <w:sz w:val="20"/>
        </w:rPr>
        <w:t>Following the publication of the summary of responses to the consultation on Term SONIA Reference Rates (TSRRs)</w:t>
      </w:r>
      <w:hyperlink w:history="true" w:anchor="_bookmark0">
        <w:r>
          <w:rPr>
            <w:sz w:val="20"/>
            <w:vertAlign w:val="superscript"/>
          </w:rPr>
          <w:t>1</w:t>
        </w:r>
        <w:r>
          <w:rPr>
            <w:sz w:val="20"/>
            <w:vertAlign w:val="baseline"/>
          </w:rPr>
          <w:t> </w:t>
        </w:r>
      </w:hyperlink>
      <w:r>
        <w:rPr>
          <w:sz w:val="20"/>
          <w:vertAlign w:val="baseline"/>
        </w:rPr>
        <w:t>the Working Group discussed the key takeaways and next</w:t>
      </w:r>
      <w:r>
        <w:rPr>
          <w:spacing w:val="-16"/>
          <w:sz w:val="20"/>
          <w:vertAlign w:val="baseline"/>
        </w:rPr>
        <w:t> </w:t>
      </w:r>
      <w:r>
        <w:rPr>
          <w:sz w:val="20"/>
          <w:vertAlign w:val="baseline"/>
        </w:rPr>
        <w:t>steps.</w:t>
      </w:r>
    </w:p>
    <w:p>
      <w:pPr>
        <w:pStyle w:val="ListParagraph"/>
        <w:numPr>
          <w:ilvl w:val="0"/>
          <w:numId w:val="1"/>
        </w:numPr>
        <w:tabs>
          <w:tab w:pos="560" w:val="left" w:leader="none"/>
        </w:tabs>
        <w:spacing w:line="360" w:lineRule="auto" w:before="124" w:after="0"/>
        <w:ind w:left="559" w:right="118" w:hanging="360"/>
        <w:jc w:val="both"/>
        <w:rPr>
          <w:sz w:val="20"/>
        </w:rPr>
      </w:pPr>
      <w:r>
        <w:rPr>
          <w:sz w:val="20"/>
        </w:rPr>
        <w:t>The summary established that a TSRR would facilitate the transition for some cash market segments, however, while the SONIA derivatives market was seen as capable of providing a basis for a TSRR, there would need to be a step change in market liquidity before such a benchmark would be sufficiently robust. Members discussed how to encourage such a step change with some members emphasising the need for greater trading on transparent electronic platforms. Others mentioned greater end-user demand for underlying spot starting SONIA-linked instruments would improve its</w:t>
      </w:r>
      <w:r>
        <w:rPr>
          <w:spacing w:val="-7"/>
          <w:sz w:val="20"/>
        </w:rPr>
        <w:t> </w:t>
      </w:r>
      <w:r>
        <w:rPr>
          <w:sz w:val="20"/>
        </w:rPr>
        <w:t>robustness.</w:t>
      </w:r>
    </w:p>
    <w:p>
      <w:pPr>
        <w:pStyle w:val="ListParagraph"/>
        <w:numPr>
          <w:ilvl w:val="0"/>
          <w:numId w:val="1"/>
        </w:numPr>
        <w:tabs>
          <w:tab w:pos="559" w:val="left" w:leader="none"/>
        </w:tabs>
        <w:spacing w:line="360" w:lineRule="auto" w:before="121" w:after="0"/>
        <w:ind w:left="558" w:right="122" w:hanging="360"/>
        <w:jc w:val="both"/>
        <w:rPr>
          <w:sz w:val="20"/>
        </w:rPr>
      </w:pPr>
      <w:r>
        <w:rPr>
          <w:sz w:val="20"/>
        </w:rPr>
        <w:t>The responses also emphasised the importance of a TSRR being compliant with IOSCO principles. Members highlighted the importance of robustness including the impact on short-term liquidity in the event of a shock or a stress and the risk that relevant banks might withdraw from streaming quotes. It was noted that the performance of a TSRR in these circumstances would be difficult to predict but would be an important consideration for any future</w:t>
      </w:r>
      <w:r>
        <w:rPr>
          <w:spacing w:val="-6"/>
          <w:sz w:val="20"/>
        </w:rPr>
        <w:t> </w:t>
      </w:r>
      <w:r>
        <w:rPr>
          <w:sz w:val="20"/>
        </w:rPr>
        <w:t>administrator.</w:t>
      </w:r>
    </w:p>
    <w:p>
      <w:pPr>
        <w:pStyle w:val="ListParagraph"/>
        <w:numPr>
          <w:ilvl w:val="0"/>
          <w:numId w:val="1"/>
        </w:numPr>
        <w:tabs>
          <w:tab w:pos="559" w:val="left" w:leader="none"/>
        </w:tabs>
        <w:spacing w:line="360" w:lineRule="auto" w:before="118" w:after="0"/>
        <w:ind w:left="557" w:right="120" w:hanging="360"/>
        <w:jc w:val="both"/>
        <w:rPr>
          <w:sz w:val="20"/>
        </w:rPr>
      </w:pPr>
      <w:r>
        <w:rPr>
          <w:sz w:val="20"/>
        </w:rPr>
        <w:t>The summary suggested that finding a way to avoid systematic usage of TSRRs in derivatives markets would be important. Members raised concerns regarding what mechanisms would be available to limit the use of a TSRR in derivatives markets and noted that the Working Group did not have the power to do this. In this context, the FCA referred the Working Group to the Official Sector Steering Group’s (OSSG) statement in July on the role of overnight and term</w:t>
      </w:r>
      <w:r>
        <w:rPr>
          <w:spacing w:val="-2"/>
          <w:sz w:val="20"/>
        </w:rPr>
        <w:t> </w:t>
      </w:r>
      <w:r>
        <w:rPr>
          <w:sz w:val="20"/>
        </w:rPr>
        <w:t>rates</w:t>
      </w:r>
      <w:hyperlink w:history="true" w:anchor="_bookmark1">
        <w:r>
          <w:rPr>
            <w:sz w:val="20"/>
            <w:vertAlign w:val="superscript"/>
          </w:rPr>
          <w:t>2</w:t>
        </w:r>
      </w:hyperlink>
      <w:r>
        <w:rPr>
          <w:sz w:val="20"/>
          <w:vertAlign w:val="baseline"/>
        </w:rPr>
        <w:t>.</w:t>
      </w:r>
    </w:p>
    <w:p>
      <w:pPr>
        <w:pStyle w:val="ListParagraph"/>
        <w:numPr>
          <w:ilvl w:val="0"/>
          <w:numId w:val="1"/>
        </w:numPr>
        <w:tabs>
          <w:tab w:pos="560" w:val="left" w:leader="none"/>
        </w:tabs>
        <w:spacing w:line="360" w:lineRule="auto" w:before="121" w:after="0"/>
        <w:ind w:left="558" w:right="117" w:hanging="360"/>
        <w:jc w:val="both"/>
        <w:rPr>
          <w:sz w:val="20"/>
        </w:rPr>
      </w:pPr>
      <w:r>
        <w:rPr>
          <w:sz w:val="20"/>
        </w:rPr>
        <w:t>In light of the responses the Working Group agreed it should consider when a TSRR was likely to be available. Some members emphasised the importance of avoiding giving too much confidence to the market that a TSRR with a particular methodology might develop. It was noted that both the US and Swiss market- led RFR working groups had concluded that it was not yet possible to create a RFR-based term rate for  their respective currency</w:t>
      </w:r>
      <w:r>
        <w:rPr>
          <w:spacing w:val="-6"/>
          <w:sz w:val="20"/>
        </w:rPr>
        <w:t> </w:t>
      </w:r>
      <w:r>
        <w:rPr>
          <w:sz w:val="20"/>
        </w:rPr>
        <w:t>markets</w:t>
      </w:r>
      <w:hyperlink w:history="true" w:anchor="_bookmark2">
        <w:r>
          <w:rPr>
            <w:sz w:val="20"/>
            <w:vertAlign w:val="superscript"/>
          </w:rPr>
          <w:t>3</w:t>
        </w:r>
      </w:hyperlink>
      <w:r>
        <w:rPr>
          <w:sz w:val="20"/>
          <w:vertAlign w:val="baseline"/>
        </w:rPr>
        <w:t>.</w:t>
      </w:r>
    </w:p>
    <w:p>
      <w:pPr>
        <w:pStyle w:val="ListParagraph"/>
        <w:numPr>
          <w:ilvl w:val="0"/>
          <w:numId w:val="1"/>
        </w:numPr>
        <w:tabs>
          <w:tab w:pos="560" w:val="left" w:leader="none"/>
        </w:tabs>
        <w:spacing w:line="360" w:lineRule="auto" w:before="121" w:after="0"/>
        <w:ind w:left="559" w:right="122" w:hanging="360"/>
        <w:jc w:val="both"/>
        <w:rPr>
          <w:sz w:val="20"/>
        </w:rPr>
      </w:pPr>
      <w:r>
        <w:rPr/>
        <w:pict>
          <v:shape style="position:absolute;margin-left:54.959999pt;margin-top:63.55336pt;width:144pt;height:.1pt;mso-position-horizontal-relative:page;mso-position-vertical-relative:paragraph;z-index:-251658240;mso-wrap-distance-left:0;mso-wrap-distance-right:0" coordorigin="1099,1271" coordsize="2880,0" path="m1099,1271l3979,1271e" filled="false" stroked="true" strokeweight=".72pt" strokecolor="#000000">
            <v:path arrowok="t"/>
            <v:stroke dashstyle="solid"/>
            <w10:wrap type="topAndBottom"/>
          </v:shape>
        </w:pict>
      </w:r>
      <w:r>
        <w:rPr>
          <w:sz w:val="20"/>
        </w:rPr>
        <w:t>The Chair also fed back from a recent meeting of the Banking Industry stakeholder forum in which concerns were raised about the possibility of using a model-based TSRR due to lack of transparency and potential basis risks between the TSRR and relevant traded instruments. Some forum members had</w:t>
      </w:r>
      <w:r>
        <w:rPr>
          <w:spacing w:val="25"/>
          <w:sz w:val="20"/>
        </w:rPr>
        <w:t> </w:t>
      </w:r>
      <w:r>
        <w:rPr>
          <w:sz w:val="20"/>
        </w:rPr>
        <w:t>suggested</w:t>
      </w:r>
    </w:p>
    <w:p>
      <w:pPr>
        <w:pStyle w:val="BodyText"/>
        <w:spacing w:before="61"/>
        <w:ind w:left="199"/>
        <w:rPr>
          <w:rFonts w:ascii="Times New Roman"/>
        </w:rPr>
      </w:pPr>
      <w:bookmarkStart w:name="_bookmark0" w:id="1"/>
      <w:bookmarkEnd w:id="1"/>
      <w:r>
        <w:rPr/>
      </w:r>
      <w:hyperlink r:id="rId6">
        <w:r>
          <w:rPr>
            <w:rFonts w:ascii="Times New Roman"/>
            <w:position w:val="8"/>
            <w:sz w:val="12"/>
          </w:rPr>
          <w:t>1</w:t>
        </w:r>
        <w:r>
          <w:rPr>
            <w:rFonts w:ascii="Times New Roman"/>
            <w:color w:val="0000FF"/>
            <w:u w:val="single" w:color="0000FF"/>
          </w:rPr>
          <w:t>https://www.bankofengland.co.uk/-/media/boe/files/markets/benchmarks/term-sonia-reference-rates-consultation-</w:t>
        </w:r>
      </w:hyperlink>
    </w:p>
    <w:p>
      <w:pPr>
        <w:pStyle w:val="BodyText"/>
        <w:ind w:left="540"/>
        <w:rPr>
          <w:rFonts w:ascii="Times New Roman"/>
        </w:rPr>
      </w:pPr>
      <w:hyperlink r:id="rId6">
        <w:r>
          <w:rPr>
            <w:rFonts w:ascii="Times New Roman"/>
            <w:color w:val="0000FF"/>
            <w:u w:val="single" w:color="0000FF"/>
          </w:rPr>
          <w:t>summary-of-responses.pdf</w:t>
        </w:r>
      </w:hyperlink>
    </w:p>
    <w:p>
      <w:pPr>
        <w:pStyle w:val="BodyText"/>
        <w:spacing w:before="116"/>
        <w:ind w:left="199"/>
        <w:rPr>
          <w:rFonts w:ascii="Times New Roman"/>
        </w:rPr>
      </w:pPr>
      <w:bookmarkStart w:name="_bookmark1" w:id="2"/>
      <w:bookmarkEnd w:id="2"/>
      <w:r>
        <w:rPr/>
      </w:r>
      <w:r>
        <w:rPr>
          <w:rFonts w:ascii="Times New Roman"/>
          <w:position w:val="8"/>
          <w:sz w:val="12"/>
        </w:rPr>
        <w:t>2 </w:t>
      </w:r>
      <w:hyperlink r:id="rId7">
        <w:r>
          <w:rPr>
            <w:rFonts w:ascii="Times New Roman"/>
            <w:color w:val="0000FF"/>
            <w:u w:val="single" w:color="0000FF"/>
          </w:rPr>
          <w:t>http://www.fsb.org/wp-content/uploads/P120718.pdf</w:t>
        </w:r>
      </w:hyperlink>
    </w:p>
    <w:p>
      <w:pPr>
        <w:pStyle w:val="BodyText"/>
        <w:spacing w:before="115"/>
        <w:ind w:left="540" w:hanging="341"/>
        <w:rPr>
          <w:rFonts w:ascii="Times New Roman"/>
        </w:rPr>
      </w:pPr>
      <w:bookmarkStart w:name="_bookmark2" w:id="3"/>
      <w:bookmarkEnd w:id="3"/>
      <w:r>
        <w:rPr/>
      </w:r>
      <w:r>
        <w:rPr>
          <w:rFonts w:ascii="Times New Roman"/>
          <w:position w:val="8"/>
          <w:sz w:val="12"/>
        </w:rPr>
        <w:t>3 </w:t>
      </w:r>
      <w:hyperlink r:id="rId8">
        <w:r>
          <w:rPr>
            <w:rFonts w:ascii="Times New Roman"/>
            <w:color w:val="0000FF"/>
            <w:u w:val="single" w:color="0000FF"/>
          </w:rPr>
          <w:t>https://www.newyorkfed.org/medialibrary/Microsites/arrc/files/2018/ARRC-Progress-Timeline-Oct-30.pdf</w:t>
        </w:r>
        <w:r>
          <w:rPr>
            <w:rFonts w:ascii="Times New Roman"/>
          </w:rPr>
          <w:t>;</w:t>
        </w:r>
      </w:hyperlink>
      <w:r>
        <w:rPr>
          <w:rFonts w:ascii="Times New Roman"/>
        </w:rPr>
        <w:t> </w:t>
      </w:r>
      <w:hyperlink r:id="rId9">
        <w:r>
          <w:rPr>
            <w:rFonts w:ascii="Times New Roman"/>
            <w:color w:val="0000FF"/>
            <w:u w:val="single" w:color="0000FF"/>
          </w:rPr>
          <w:t>https://www.snb.ch/n/mmr/reference/minutes_20181031/source/minutes_20181031.n.pdf</w:t>
        </w:r>
      </w:hyperlink>
    </w:p>
    <w:p>
      <w:pPr>
        <w:spacing w:after="0"/>
        <w:rPr>
          <w:rFonts w:ascii="Times New Roman"/>
        </w:rPr>
        <w:sectPr>
          <w:footerReference w:type="default" r:id="rId5"/>
          <w:type w:val="continuous"/>
          <w:pgSz w:w="11920" w:h="16850"/>
          <w:pgMar w:footer="703" w:top="1100" w:bottom="900" w:left="900" w:right="760"/>
          <w:pgNumType w:start="1"/>
        </w:sectPr>
      </w:pPr>
    </w:p>
    <w:p>
      <w:pPr>
        <w:pStyle w:val="BodyText"/>
        <w:spacing w:line="360" w:lineRule="auto" w:before="77"/>
        <w:ind w:left="559" w:right="120"/>
        <w:jc w:val="both"/>
      </w:pPr>
      <w:r>
        <w:rPr/>
        <w:t>greater use of Base rate in some cash instruments, for example SME loans, to provide some degree of cash flow certainty. Forum members also suggested whether it would be possible to limit TSRR usage to the banking book. The forum discussed whether Futures could be used as a fallback for an OIS derived TSRR, and whether quotes utilised could be passive rather than active. The forum opined that more transparency was needed.</w:t>
      </w:r>
    </w:p>
    <w:p>
      <w:pPr>
        <w:pStyle w:val="ListParagraph"/>
        <w:numPr>
          <w:ilvl w:val="0"/>
          <w:numId w:val="1"/>
        </w:numPr>
        <w:tabs>
          <w:tab w:pos="560" w:val="left" w:leader="none"/>
        </w:tabs>
        <w:spacing w:line="360" w:lineRule="auto" w:before="118" w:after="0"/>
        <w:ind w:left="558" w:right="120" w:hanging="360"/>
        <w:jc w:val="both"/>
        <w:rPr>
          <w:sz w:val="20"/>
        </w:rPr>
      </w:pPr>
      <w:r>
        <w:rPr>
          <w:sz w:val="20"/>
        </w:rPr>
        <w:t>The Working Group considered what the next steps should be with regard to catalysing development of a robust TSRR including the role of the Working Group. The Chair proposed circulating a draft statement to the members with a view to discussing further at the next Working Group meeting, scheduled for 12 December.</w:t>
      </w:r>
    </w:p>
    <w:p>
      <w:pPr>
        <w:pStyle w:val="Heading1"/>
      </w:pPr>
      <w:r>
        <w:rPr/>
        <w:t>Approach to legal risks associated with the Working Group’s work</w:t>
      </w:r>
    </w:p>
    <w:p>
      <w:pPr>
        <w:pStyle w:val="BodyText"/>
        <w:spacing w:before="8"/>
        <w:rPr>
          <w:b/>
        </w:rPr>
      </w:pPr>
    </w:p>
    <w:p>
      <w:pPr>
        <w:pStyle w:val="ListParagraph"/>
        <w:numPr>
          <w:ilvl w:val="0"/>
          <w:numId w:val="1"/>
        </w:numPr>
        <w:tabs>
          <w:tab w:pos="559" w:val="left" w:leader="none"/>
        </w:tabs>
        <w:spacing w:line="360" w:lineRule="auto" w:before="0" w:after="0"/>
        <w:ind w:left="558" w:right="119" w:hanging="360"/>
        <w:jc w:val="both"/>
        <w:rPr>
          <w:sz w:val="20"/>
        </w:rPr>
      </w:pPr>
      <w:r>
        <w:rPr>
          <w:sz w:val="20"/>
        </w:rPr>
        <w:t>Following the discussion at the November meeting, members who had not yet responded were asked to provide views via email to the secretariat on whether external legal counsel was desirable and, if they deemed it not necessary, explaining the rationale. The Working Group would revisit this issue early in 2019 once its new chair was in</w:t>
      </w:r>
      <w:r>
        <w:rPr>
          <w:spacing w:val="-2"/>
          <w:sz w:val="20"/>
        </w:rPr>
        <w:t> </w:t>
      </w:r>
      <w:r>
        <w:rPr>
          <w:sz w:val="20"/>
        </w:rPr>
        <w:t>place.</w:t>
      </w:r>
    </w:p>
    <w:p>
      <w:pPr>
        <w:pStyle w:val="Heading1"/>
      </w:pPr>
      <w:r>
        <w:rPr/>
        <w:t>Note on new loan transactions referencing Libor</w:t>
      </w:r>
    </w:p>
    <w:p>
      <w:pPr>
        <w:pStyle w:val="BodyText"/>
        <w:spacing w:before="7"/>
        <w:rPr>
          <w:b/>
        </w:rPr>
      </w:pPr>
    </w:p>
    <w:p>
      <w:pPr>
        <w:pStyle w:val="ListParagraph"/>
        <w:numPr>
          <w:ilvl w:val="0"/>
          <w:numId w:val="1"/>
        </w:numPr>
        <w:tabs>
          <w:tab w:pos="560" w:val="left" w:leader="none"/>
        </w:tabs>
        <w:spacing w:line="360" w:lineRule="auto" w:before="1" w:after="0"/>
        <w:ind w:left="559" w:right="122" w:hanging="361"/>
        <w:jc w:val="both"/>
        <w:rPr>
          <w:sz w:val="20"/>
        </w:rPr>
      </w:pPr>
      <w:r>
        <w:rPr>
          <w:sz w:val="20"/>
        </w:rPr>
        <w:t>The loan sub-group had been drafting a paper on issues for new loan transactions referencing Libor. The paper drew on a similar paper previously drafted by the bond sub-group and published by the Working Group</w:t>
      </w:r>
      <w:hyperlink w:history="true" w:anchor="_bookmark3">
        <w:r>
          <w:rPr>
            <w:sz w:val="20"/>
            <w:vertAlign w:val="superscript"/>
          </w:rPr>
          <w:t>4</w:t>
        </w:r>
      </w:hyperlink>
      <w:r>
        <w:rPr>
          <w:sz w:val="20"/>
          <w:vertAlign w:val="baseline"/>
        </w:rPr>
        <w:t>. The secretariat would co-ordinate final comments from the Working Group on the paper ahead of publication.</w:t>
      </w:r>
    </w:p>
    <w:p>
      <w:pPr>
        <w:pStyle w:val="Heading1"/>
        <w:spacing w:before="117"/>
      </w:pPr>
      <w:r>
        <w:rPr/>
        <w:t>ISDA fallback consultation</w:t>
      </w:r>
    </w:p>
    <w:p>
      <w:pPr>
        <w:pStyle w:val="BodyText"/>
        <w:spacing w:before="6"/>
        <w:rPr>
          <w:b/>
        </w:rPr>
      </w:pPr>
    </w:p>
    <w:p>
      <w:pPr>
        <w:pStyle w:val="ListParagraph"/>
        <w:numPr>
          <w:ilvl w:val="0"/>
          <w:numId w:val="1"/>
        </w:numPr>
        <w:tabs>
          <w:tab w:pos="560" w:val="left" w:leader="none"/>
        </w:tabs>
        <w:spacing w:line="360" w:lineRule="auto" w:before="0" w:after="0"/>
        <w:ind w:left="559" w:right="116" w:hanging="361"/>
        <w:jc w:val="both"/>
        <w:rPr>
          <w:sz w:val="20"/>
        </w:rPr>
      </w:pPr>
      <w:r>
        <w:rPr>
          <w:sz w:val="20"/>
        </w:rPr>
        <w:t>The Working Group noted ISDA’s preliminary statement on the outcome of its consultation on fallbacks to LIBOR in over the counter (OTC) derivatives</w:t>
      </w:r>
      <w:r>
        <w:rPr>
          <w:spacing w:val="2"/>
          <w:sz w:val="20"/>
        </w:rPr>
        <w:t> </w:t>
      </w:r>
      <w:r>
        <w:rPr>
          <w:sz w:val="20"/>
        </w:rPr>
        <w:t>contracts</w:t>
      </w:r>
      <w:hyperlink w:history="true" w:anchor="_bookmark4">
        <w:r>
          <w:rPr>
            <w:sz w:val="20"/>
            <w:vertAlign w:val="superscript"/>
          </w:rPr>
          <w:t>5</w:t>
        </w:r>
      </w:hyperlink>
      <w:r>
        <w:rPr>
          <w:sz w:val="20"/>
          <w:vertAlign w:val="baseline"/>
        </w:rPr>
        <w:t>.</w:t>
      </w:r>
    </w:p>
    <w:p>
      <w:pPr>
        <w:pStyle w:val="ListParagraph"/>
        <w:numPr>
          <w:ilvl w:val="0"/>
          <w:numId w:val="1"/>
        </w:numPr>
        <w:tabs>
          <w:tab w:pos="560" w:val="left" w:leader="none"/>
        </w:tabs>
        <w:spacing w:line="360" w:lineRule="auto" w:before="121" w:after="0"/>
        <w:ind w:left="559" w:right="120" w:hanging="361"/>
        <w:jc w:val="both"/>
        <w:rPr>
          <w:sz w:val="20"/>
        </w:rPr>
      </w:pPr>
      <w:r>
        <w:rPr>
          <w:sz w:val="20"/>
        </w:rPr>
        <w:t>One member noted that if the new fallback clauses were to be implemented through a voluntary change to the relevant protocol, it would be important to try to avoid incomplete uptake, since that could lead to misalignment across products and create the opportunity for arbitrage and fragmentation. It was suggested that to help to avoid this, triggers and fallbacks should be aligned where possible. In particular, the member suggested that ICE Benchmark Administration’s contingency methodology for LIBOR should be aligned with the ISDA protocol to avoid providing an incentive for market participants not to adopt the protocol. Members agreed that alignment of triggers and compatibility of fallbacks would be an important area for further discussion.</w:t>
      </w:r>
    </w:p>
    <w:p>
      <w:pPr>
        <w:pStyle w:val="Heading1"/>
      </w:pPr>
      <w:r>
        <w:rPr/>
        <w:t>Sub-group and forum updates</w:t>
      </w:r>
    </w:p>
    <w:p>
      <w:pPr>
        <w:pStyle w:val="BodyText"/>
        <w:spacing w:before="6"/>
        <w:rPr>
          <w:b/>
        </w:rPr>
      </w:pPr>
    </w:p>
    <w:p>
      <w:pPr>
        <w:spacing w:before="0"/>
        <w:ind w:left="199" w:right="0" w:firstLine="0"/>
        <w:jc w:val="both"/>
        <w:rPr>
          <w:i/>
          <w:sz w:val="20"/>
        </w:rPr>
      </w:pPr>
      <w:r>
        <w:rPr>
          <w:i/>
          <w:sz w:val="20"/>
        </w:rPr>
        <w:t>Loan market sub-group</w:t>
      </w:r>
    </w:p>
    <w:p>
      <w:pPr>
        <w:pStyle w:val="BodyText"/>
        <w:spacing w:before="5"/>
        <w:rPr>
          <w:i/>
        </w:rPr>
      </w:pPr>
    </w:p>
    <w:p>
      <w:pPr>
        <w:pStyle w:val="ListParagraph"/>
        <w:numPr>
          <w:ilvl w:val="0"/>
          <w:numId w:val="1"/>
        </w:numPr>
        <w:tabs>
          <w:tab w:pos="560" w:val="left" w:leader="none"/>
        </w:tabs>
        <w:spacing w:line="360" w:lineRule="auto" w:before="0" w:after="0"/>
        <w:ind w:left="559" w:right="124" w:hanging="361"/>
        <w:jc w:val="both"/>
        <w:rPr>
          <w:sz w:val="20"/>
        </w:rPr>
      </w:pPr>
      <w:r>
        <w:rPr>
          <w:sz w:val="20"/>
        </w:rPr>
        <w:t>The sub-group was continuing to work on proposed documentation for fallbacks to both a TSRR and a compounded SONIA.</w:t>
      </w:r>
    </w:p>
    <w:p>
      <w:pPr>
        <w:pStyle w:val="BodyText"/>
      </w:pPr>
    </w:p>
    <w:p>
      <w:pPr>
        <w:pStyle w:val="BodyText"/>
        <w:rPr>
          <w:sz w:val="27"/>
        </w:rPr>
      </w:pPr>
      <w:r>
        <w:rPr/>
        <w:pict>
          <v:shape style="position:absolute;margin-left:54.959999pt;margin-top:17.903223pt;width:144pt;height:.1pt;mso-position-horizontal-relative:page;mso-position-vertical-relative:paragraph;z-index:-251657216;mso-wrap-distance-left:0;mso-wrap-distance-right:0" coordorigin="1099,358" coordsize="2880,0" path="m1099,358l3979,358e" filled="false" stroked="true" strokeweight=".72pt" strokecolor="#000000">
            <v:path arrowok="t"/>
            <v:stroke dashstyle="solid"/>
            <w10:wrap type="topAndBottom"/>
          </v:shape>
        </w:pict>
      </w:r>
    </w:p>
    <w:p>
      <w:pPr>
        <w:pStyle w:val="BodyText"/>
        <w:spacing w:before="61"/>
        <w:ind w:left="540" w:right="669" w:hanging="341"/>
        <w:rPr>
          <w:rFonts w:ascii="Times New Roman"/>
        </w:rPr>
      </w:pPr>
      <w:bookmarkStart w:name="_bookmark3" w:id="4"/>
      <w:bookmarkEnd w:id="4"/>
      <w:r>
        <w:rPr/>
      </w:r>
      <w:r>
        <w:rPr>
          <w:rFonts w:ascii="Times New Roman"/>
          <w:position w:val="8"/>
          <w:sz w:val="12"/>
        </w:rPr>
        <w:t>4 </w:t>
      </w:r>
      <w:hyperlink r:id="rId10">
        <w:r>
          <w:rPr>
            <w:rFonts w:ascii="Times New Roman"/>
            <w:color w:val="0000FF"/>
            <w:u w:val="single" w:color="0000FF"/>
          </w:rPr>
          <w:t>https://www.bankofengland.co.uk/-/media/boe/files/markets/benchmarks/risk-free-reference-rates-new-issuance-of-</w:t>
        </w:r>
      </w:hyperlink>
      <w:r>
        <w:rPr>
          <w:rFonts w:ascii="Times New Roman"/>
          <w:color w:val="0000FF"/>
        </w:rPr>
        <w:t> </w:t>
      </w:r>
      <w:hyperlink r:id="rId10">
        <w:r>
          <w:rPr>
            <w:rFonts w:ascii="Times New Roman"/>
            <w:color w:val="0000FF"/>
            <w:u w:val="single" w:color="0000FF"/>
          </w:rPr>
          <w:t>sterling-bonds-referencing-libor.pdf</w:t>
        </w:r>
      </w:hyperlink>
    </w:p>
    <w:p>
      <w:pPr>
        <w:pStyle w:val="BodyText"/>
        <w:spacing w:before="113"/>
        <w:ind w:left="199"/>
        <w:rPr>
          <w:rFonts w:ascii="Times New Roman"/>
        </w:rPr>
      </w:pPr>
      <w:bookmarkStart w:name="_bookmark4" w:id="5"/>
      <w:bookmarkEnd w:id="5"/>
      <w:r>
        <w:rPr/>
      </w:r>
      <w:r>
        <w:rPr>
          <w:rFonts w:ascii="Times New Roman"/>
          <w:position w:val="8"/>
          <w:sz w:val="12"/>
        </w:rPr>
        <w:t>5 </w:t>
      </w:r>
      <w:hyperlink r:id="rId11">
        <w:r>
          <w:rPr>
            <w:rFonts w:ascii="Times New Roman"/>
            <w:color w:val="0000FF"/>
            <w:u w:val="single" w:color="0000FF"/>
          </w:rPr>
          <w:t>https://www.isda.org/2018/11/27/isda-publishes-preliminary-results-of-benchmark-consultation/</w:t>
        </w:r>
      </w:hyperlink>
    </w:p>
    <w:p>
      <w:pPr>
        <w:spacing w:after="0"/>
        <w:rPr>
          <w:rFonts w:ascii="Times New Roman"/>
        </w:rPr>
        <w:sectPr>
          <w:pgSz w:w="11920" w:h="16850"/>
          <w:pgMar w:header="0" w:footer="703" w:top="1100" w:bottom="900" w:left="900" w:right="760"/>
        </w:sectPr>
      </w:pPr>
    </w:p>
    <w:p>
      <w:pPr>
        <w:spacing w:before="75"/>
        <w:ind w:left="199" w:right="0" w:firstLine="0"/>
        <w:jc w:val="both"/>
        <w:rPr>
          <w:i/>
          <w:sz w:val="20"/>
        </w:rPr>
      </w:pPr>
      <w:r>
        <w:rPr>
          <w:i/>
          <w:sz w:val="20"/>
        </w:rPr>
        <w:t>Bond market sub-group</w:t>
      </w:r>
    </w:p>
    <w:p>
      <w:pPr>
        <w:pStyle w:val="BodyText"/>
        <w:spacing w:before="5"/>
        <w:rPr>
          <w:i/>
        </w:rPr>
      </w:pPr>
    </w:p>
    <w:p>
      <w:pPr>
        <w:pStyle w:val="ListParagraph"/>
        <w:numPr>
          <w:ilvl w:val="0"/>
          <w:numId w:val="1"/>
        </w:numPr>
        <w:tabs>
          <w:tab w:pos="560" w:val="left" w:leader="none"/>
        </w:tabs>
        <w:spacing w:line="360" w:lineRule="auto" w:before="0" w:after="0"/>
        <w:ind w:left="559" w:right="121" w:hanging="361"/>
        <w:jc w:val="both"/>
        <w:rPr>
          <w:sz w:val="20"/>
        </w:rPr>
      </w:pPr>
      <w:r>
        <w:rPr>
          <w:sz w:val="20"/>
        </w:rPr>
        <w:t>It was noted that there had now been twelve new issues of SONIA linked bonds, totalling over £6bn. The sub-group chair also flagged that the European Investment Bank was in the process of issuing the first bond linked to compounded SOFR.</w:t>
      </w:r>
    </w:p>
    <w:p>
      <w:pPr>
        <w:pStyle w:val="ListParagraph"/>
        <w:numPr>
          <w:ilvl w:val="0"/>
          <w:numId w:val="1"/>
        </w:numPr>
        <w:tabs>
          <w:tab w:pos="560" w:val="left" w:leader="none"/>
        </w:tabs>
        <w:spacing w:line="360" w:lineRule="auto" w:before="122" w:after="0"/>
        <w:ind w:left="559" w:right="117" w:hanging="361"/>
        <w:jc w:val="both"/>
        <w:rPr>
          <w:sz w:val="20"/>
        </w:rPr>
      </w:pPr>
      <w:r>
        <w:rPr>
          <w:sz w:val="20"/>
        </w:rPr>
        <w:t>The sub-group’s focus had been on deriving a practical market based solution to amending legacy  issuance. The sub-group had also agreed key bond market deliverables for 2019. Some of these would be primarily for the sub-group, others required actions from the Working Group and more broadly across the industry. A task force had been convened with members from bond, loan and derivative markets  to  consider pros and cons for various conventions for referencing SONIA. A discussion paper on this topic was currently being</w:t>
      </w:r>
      <w:r>
        <w:rPr>
          <w:spacing w:val="-6"/>
          <w:sz w:val="20"/>
        </w:rPr>
        <w:t> </w:t>
      </w:r>
      <w:r>
        <w:rPr>
          <w:sz w:val="20"/>
        </w:rPr>
        <w:t>drafted.</w:t>
      </w:r>
    </w:p>
    <w:p>
      <w:pPr>
        <w:spacing w:before="117"/>
        <w:ind w:left="199" w:right="0" w:firstLine="0"/>
        <w:jc w:val="both"/>
        <w:rPr>
          <w:i/>
          <w:sz w:val="20"/>
        </w:rPr>
      </w:pPr>
      <w:r>
        <w:rPr>
          <w:i/>
          <w:sz w:val="20"/>
        </w:rPr>
        <w:t>Communications &amp; Outreach sub-group</w:t>
      </w:r>
    </w:p>
    <w:p>
      <w:pPr>
        <w:pStyle w:val="BodyText"/>
        <w:spacing w:before="7"/>
        <w:rPr>
          <w:i/>
        </w:rPr>
      </w:pPr>
    </w:p>
    <w:p>
      <w:pPr>
        <w:pStyle w:val="ListParagraph"/>
        <w:numPr>
          <w:ilvl w:val="0"/>
          <w:numId w:val="1"/>
        </w:numPr>
        <w:tabs>
          <w:tab w:pos="560" w:val="left" w:leader="none"/>
        </w:tabs>
        <w:spacing w:line="360" w:lineRule="auto" w:before="0" w:after="0"/>
        <w:ind w:left="559" w:right="122" w:hanging="360"/>
        <w:jc w:val="both"/>
        <w:rPr>
          <w:sz w:val="20"/>
        </w:rPr>
      </w:pPr>
      <w:r>
        <w:rPr>
          <w:sz w:val="20"/>
        </w:rPr>
        <w:t>The sub-group was planning to publish its first newsletter during November [subsequently published 30 November</w:t>
      </w:r>
      <w:hyperlink w:history="true" w:anchor="_bookmark5">
        <w:r>
          <w:rPr>
            <w:sz w:val="20"/>
            <w:vertAlign w:val="superscript"/>
          </w:rPr>
          <w:t>6</w:t>
        </w:r>
      </w:hyperlink>
      <w:r>
        <w:rPr>
          <w:sz w:val="20"/>
          <w:vertAlign w:val="baseline"/>
        </w:rPr>
        <w:t>]. In addition, the sub-group had published a ‘starter pack’ of information designed to provide background to the transition work for those new to the subject</w:t>
      </w:r>
      <w:hyperlink w:history="true" w:anchor="_bookmark6">
        <w:r>
          <w:rPr>
            <w:sz w:val="20"/>
            <w:vertAlign w:val="superscript"/>
          </w:rPr>
          <w:t>7</w:t>
        </w:r>
      </w:hyperlink>
      <w:r>
        <w:rPr>
          <w:sz w:val="20"/>
          <w:vertAlign w:val="baseline"/>
        </w:rPr>
        <w:t>. It was hoped that this pack would provide a helpful and consistent briefing</w:t>
      </w:r>
      <w:r>
        <w:rPr>
          <w:spacing w:val="-4"/>
          <w:sz w:val="20"/>
          <w:vertAlign w:val="baseline"/>
        </w:rPr>
        <w:t> </w:t>
      </w:r>
      <w:r>
        <w:rPr>
          <w:sz w:val="20"/>
          <w:vertAlign w:val="baseline"/>
        </w:rPr>
        <w:t>tool.</w:t>
      </w:r>
    </w:p>
    <w:p>
      <w:pPr>
        <w:pStyle w:val="ListParagraph"/>
        <w:numPr>
          <w:ilvl w:val="0"/>
          <w:numId w:val="1"/>
        </w:numPr>
        <w:tabs>
          <w:tab w:pos="560" w:val="left" w:leader="none"/>
        </w:tabs>
        <w:spacing w:line="360" w:lineRule="auto" w:before="121" w:after="0"/>
        <w:ind w:left="559" w:right="119" w:hanging="361"/>
        <w:jc w:val="both"/>
        <w:rPr>
          <w:sz w:val="20"/>
        </w:rPr>
      </w:pPr>
      <w:r>
        <w:rPr>
          <w:sz w:val="20"/>
        </w:rPr>
        <w:t>It was emphasised that, in general, the Working Group needed to reach out to those not aware of its work  in terms of communications. The sub-group would be considering how best to do this in 2019. There was also a consensus that the sub-group should consider, with other stakeholders internationally, how to make international coordination on the transition more</w:t>
      </w:r>
      <w:r>
        <w:rPr>
          <w:spacing w:val="-5"/>
          <w:sz w:val="20"/>
        </w:rPr>
        <w:t> </w:t>
      </w:r>
      <w:r>
        <w:rPr>
          <w:sz w:val="20"/>
        </w:rPr>
        <w:t>transparent.</w:t>
      </w:r>
    </w:p>
    <w:p>
      <w:pPr>
        <w:spacing w:before="117"/>
        <w:ind w:left="199" w:right="0" w:firstLine="0"/>
        <w:jc w:val="both"/>
        <w:rPr>
          <w:i/>
          <w:sz w:val="20"/>
        </w:rPr>
      </w:pPr>
      <w:r>
        <w:rPr>
          <w:i/>
          <w:sz w:val="20"/>
        </w:rPr>
        <w:t>Pension Funds &amp; Insurance Company sub-group</w:t>
      </w:r>
    </w:p>
    <w:p>
      <w:pPr>
        <w:pStyle w:val="BodyText"/>
        <w:spacing w:before="6"/>
        <w:rPr>
          <w:i/>
        </w:rPr>
      </w:pPr>
    </w:p>
    <w:p>
      <w:pPr>
        <w:pStyle w:val="ListParagraph"/>
        <w:numPr>
          <w:ilvl w:val="0"/>
          <w:numId w:val="1"/>
        </w:numPr>
        <w:tabs>
          <w:tab w:pos="560" w:val="left" w:leader="none"/>
        </w:tabs>
        <w:spacing w:line="360" w:lineRule="auto" w:before="0" w:after="0"/>
        <w:ind w:left="559" w:right="121" w:hanging="361"/>
        <w:jc w:val="both"/>
        <w:rPr>
          <w:sz w:val="20"/>
        </w:rPr>
      </w:pPr>
      <w:r>
        <w:rPr>
          <w:sz w:val="20"/>
        </w:rPr>
        <w:t>The sub-group, together with members of the EUR Working Group, had reached out to EIOPA to begin discussions on the interaction between Solvency II and transition. The discussion</w:t>
      </w:r>
      <w:r>
        <w:rPr>
          <w:spacing w:val="-14"/>
          <w:sz w:val="20"/>
        </w:rPr>
        <w:t> </w:t>
      </w:r>
      <w:r>
        <w:rPr>
          <w:sz w:val="20"/>
        </w:rPr>
        <w:t>covered:</w:t>
      </w:r>
    </w:p>
    <w:p>
      <w:pPr>
        <w:pStyle w:val="ListParagraph"/>
        <w:numPr>
          <w:ilvl w:val="1"/>
          <w:numId w:val="1"/>
        </w:numPr>
        <w:tabs>
          <w:tab w:pos="1339" w:val="left" w:leader="none"/>
          <w:tab w:pos="1340" w:val="left" w:leader="none"/>
        </w:tabs>
        <w:spacing w:line="240" w:lineRule="auto" w:before="121" w:after="0"/>
        <w:ind w:left="1339" w:right="0" w:hanging="721"/>
        <w:jc w:val="left"/>
        <w:rPr>
          <w:sz w:val="20"/>
        </w:rPr>
      </w:pPr>
      <w:r>
        <w:rPr>
          <w:sz w:val="20"/>
        </w:rPr>
        <w:t>That RFR swaps would need to be grounded in deep, liquid and transparent</w:t>
      </w:r>
      <w:r>
        <w:rPr>
          <w:spacing w:val="-12"/>
          <w:sz w:val="20"/>
        </w:rPr>
        <w:t> </w:t>
      </w:r>
      <w:r>
        <w:rPr>
          <w:sz w:val="20"/>
        </w:rPr>
        <w:t>markets.</w:t>
      </w:r>
    </w:p>
    <w:p>
      <w:pPr>
        <w:pStyle w:val="BodyText"/>
        <w:spacing w:before="6"/>
      </w:pPr>
    </w:p>
    <w:p>
      <w:pPr>
        <w:pStyle w:val="ListParagraph"/>
        <w:numPr>
          <w:ilvl w:val="1"/>
          <w:numId w:val="1"/>
        </w:numPr>
        <w:tabs>
          <w:tab w:pos="1339" w:val="left" w:leader="none"/>
          <w:tab w:pos="1340" w:val="left" w:leader="none"/>
        </w:tabs>
        <w:spacing w:line="240" w:lineRule="auto" w:before="0" w:after="0"/>
        <w:ind w:left="1339" w:right="0" w:hanging="721"/>
        <w:jc w:val="left"/>
        <w:rPr>
          <w:sz w:val="20"/>
        </w:rPr>
      </w:pPr>
      <w:r>
        <w:rPr>
          <w:sz w:val="20"/>
        </w:rPr>
        <w:t>Solvency II articles (43), (44) and (45) and their implications for insurers’</w:t>
      </w:r>
      <w:r>
        <w:rPr>
          <w:spacing w:val="-15"/>
          <w:sz w:val="20"/>
        </w:rPr>
        <w:t> </w:t>
      </w:r>
      <w:r>
        <w:rPr>
          <w:sz w:val="20"/>
        </w:rPr>
        <w:t>transition.</w:t>
      </w:r>
    </w:p>
    <w:p>
      <w:pPr>
        <w:pStyle w:val="BodyText"/>
        <w:spacing w:before="3"/>
      </w:pPr>
    </w:p>
    <w:p>
      <w:pPr>
        <w:pStyle w:val="ListParagraph"/>
        <w:numPr>
          <w:ilvl w:val="1"/>
          <w:numId w:val="1"/>
        </w:numPr>
        <w:tabs>
          <w:tab w:pos="1339" w:val="left" w:leader="none"/>
          <w:tab w:pos="1340" w:val="left" w:leader="none"/>
        </w:tabs>
        <w:spacing w:line="240" w:lineRule="auto" w:before="0" w:after="0"/>
        <w:ind w:left="1339" w:right="0" w:hanging="721"/>
        <w:jc w:val="left"/>
        <w:rPr>
          <w:sz w:val="20"/>
        </w:rPr>
      </w:pPr>
      <w:r>
        <w:rPr>
          <w:sz w:val="20"/>
        </w:rPr>
        <w:t>The transition from EONIA to</w:t>
      </w:r>
      <w:r>
        <w:rPr>
          <w:spacing w:val="-2"/>
          <w:sz w:val="20"/>
        </w:rPr>
        <w:t> </w:t>
      </w:r>
      <w:r>
        <w:rPr>
          <w:sz w:val="20"/>
        </w:rPr>
        <w:t>ESTER</w:t>
      </w:r>
    </w:p>
    <w:p>
      <w:pPr>
        <w:pStyle w:val="BodyText"/>
        <w:spacing w:before="5"/>
      </w:pPr>
    </w:p>
    <w:p>
      <w:pPr>
        <w:pStyle w:val="ListParagraph"/>
        <w:numPr>
          <w:ilvl w:val="0"/>
          <w:numId w:val="1"/>
        </w:numPr>
        <w:tabs>
          <w:tab w:pos="560" w:val="left" w:leader="none"/>
        </w:tabs>
        <w:spacing w:line="240" w:lineRule="auto" w:before="0" w:after="0"/>
        <w:ind w:left="559" w:right="0" w:hanging="361"/>
        <w:jc w:val="left"/>
        <w:rPr>
          <w:sz w:val="20"/>
        </w:rPr>
      </w:pPr>
      <w:r>
        <w:rPr>
          <w:sz w:val="20"/>
        </w:rPr>
        <w:t>Consideration was also given to whether and how to establish a joint task force to take this work</w:t>
      </w:r>
      <w:r>
        <w:rPr>
          <w:spacing w:val="-29"/>
          <w:sz w:val="20"/>
        </w:rPr>
        <w:t> </w:t>
      </w:r>
      <w:r>
        <w:rPr>
          <w:sz w:val="20"/>
        </w:rPr>
        <w:t>forward.</w:t>
      </w:r>
    </w:p>
    <w:p>
      <w:pPr>
        <w:pStyle w:val="BodyText"/>
        <w:spacing w:before="6"/>
      </w:pPr>
    </w:p>
    <w:p>
      <w:pPr>
        <w:pStyle w:val="ListParagraph"/>
        <w:numPr>
          <w:ilvl w:val="0"/>
          <w:numId w:val="1"/>
        </w:numPr>
        <w:tabs>
          <w:tab w:pos="560" w:val="left" w:leader="none"/>
        </w:tabs>
        <w:spacing w:line="360" w:lineRule="auto" w:before="0" w:after="0"/>
        <w:ind w:left="559" w:right="122" w:hanging="361"/>
        <w:jc w:val="both"/>
        <w:rPr>
          <w:sz w:val="20"/>
        </w:rPr>
      </w:pPr>
      <w:r>
        <w:rPr>
          <w:sz w:val="20"/>
        </w:rPr>
        <w:t>Transition of pension LIBOR positions was underway and no other major issues had been identified at present. The sub-group was planning to carry out regular “pulse checks” to ensure that any issues that arose were</w:t>
      </w:r>
      <w:r>
        <w:rPr>
          <w:spacing w:val="-1"/>
          <w:sz w:val="20"/>
        </w:rPr>
        <w:t> </w:t>
      </w:r>
      <w:r>
        <w:rPr>
          <w:sz w:val="20"/>
        </w:rPr>
        <w:t>captured.</w:t>
      </w:r>
    </w:p>
    <w:p>
      <w:pPr>
        <w:spacing w:before="120"/>
        <w:ind w:left="199" w:right="0" w:firstLine="0"/>
        <w:jc w:val="both"/>
        <w:rPr>
          <w:i/>
          <w:sz w:val="22"/>
        </w:rPr>
      </w:pPr>
      <w:r>
        <w:rPr>
          <w:i/>
          <w:sz w:val="22"/>
        </w:rPr>
        <w:t>Cross-currency swap sub-group</w:t>
      </w:r>
    </w:p>
    <w:p>
      <w:pPr>
        <w:pStyle w:val="BodyText"/>
        <w:spacing w:before="5"/>
        <w:rPr>
          <w:i/>
          <w:sz w:val="21"/>
        </w:rPr>
      </w:pPr>
    </w:p>
    <w:p>
      <w:pPr>
        <w:pStyle w:val="ListParagraph"/>
        <w:numPr>
          <w:ilvl w:val="0"/>
          <w:numId w:val="1"/>
        </w:numPr>
        <w:tabs>
          <w:tab w:pos="560" w:val="left" w:leader="none"/>
        </w:tabs>
        <w:spacing w:line="360" w:lineRule="auto" w:before="0" w:after="0"/>
        <w:ind w:left="558" w:right="118" w:hanging="360"/>
        <w:jc w:val="both"/>
        <w:rPr>
          <w:sz w:val="20"/>
        </w:rPr>
      </w:pPr>
      <w:r>
        <w:rPr>
          <w:sz w:val="20"/>
        </w:rPr>
        <w:t>This sub-group, established by the US Alternative Reference Rates committee (ARRC) with membership from RFR working groups in different currency jurisdictions, continued to consider the best way to ensure international alignment in the cross currency swap market. A paper on dealer to dealer swap conventions would likely be circulated to individual RFR Working Groups in due</w:t>
      </w:r>
      <w:r>
        <w:rPr>
          <w:spacing w:val="-15"/>
          <w:sz w:val="20"/>
        </w:rPr>
        <w:t> </w:t>
      </w:r>
      <w:r>
        <w:rPr>
          <w:sz w:val="20"/>
        </w:rPr>
        <w:t>course.</w:t>
      </w:r>
    </w:p>
    <w:p>
      <w:pPr>
        <w:pStyle w:val="BodyText"/>
        <w:spacing w:before="1"/>
        <w:rPr>
          <w:sz w:val="17"/>
        </w:rPr>
      </w:pPr>
    </w:p>
    <w:p>
      <w:pPr>
        <w:pStyle w:val="BodyText"/>
        <w:spacing w:before="94"/>
        <w:ind w:left="199"/>
        <w:rPr>
          <w:rFonts w:ascii="Times New Roman"/>
        </w:rPr>
      </w:pPr>
      <w:bookmarkStart w:name="_bookmark5" w:id="6"/>
      <w:bookmarkEnd w:id="6"/>
      <w:r>
        <w:rPr/>
      </w:r>
      <w:r>
        <w:rPr>
          <w:rFonts w:ascii="Times New Roman"/>
          <w:position w:val="8"/>
          <w:sz w:val="12"/>
        </w:rPr>
        <w:t>6 </w:t>
      </w:r>
      <w:hyperlink r:id="rId13">
        <w:r>
          <w:rPr>
            <w:rFonts w:ascii="Times New Roman"/>
            <w:color w:val="0000FF"/>
            <w:u w:val="single" w:color="0000FF"/>
          </w:rPr>
          <w:t>https://www.bankofengland.co.uk/-/media/boe/files/markets/benchmarks/newsletter-november-2018.pdf</w:t>
        </w:r>
      </w:hyperlink>
    </w:p>
    <w:p>
      <w:pPr>
        <w:pStyle w:val="BodyText"/>
        <w:spacing w:before="115"/>
        <w:ind w:left="540" w:right="669" w:hanging="341"/>
        <w:rPr>
          <w:rFonts w:ascii="Times New Roman"/>
        </w:rPr>
      </w:pPr>
      <w:bookmarkStart w:name="_bookmark6" w:id="7"/>
      <w:bookmarkEnd w:id="7"/>
      <w:r>
        <w:rPr/>
      </w:r>
      <w:r>
        <w:rPr>
          <w:rFonts w:ascii="Times New Roman"/>
          <w:position w:val="8"/>
          <w:sz w:val="12"/>
        </w:rPr>
        <w:t>7 </w:t>
      </w:r>
      <w:hyperlink r:id="rId14">
        <w:r>
          <w:rPr>
            <w:rFonts w:ascii="Times New Roman"/>
            <w:color w:val="0000FF"/>
            <w:u w:val="single" w:color="0000FF"/>
          </w:rPr>
          <w:t>https://www.bankofengland.co.uk/-/media/boe/files/markets/benchmarks/what-you-need-to-know-about-libor-</w:t>
        </w:r>
      </w:hyperlink>
      <w:r>
        <w:rPr>
          <w:rFonts w:ascii="Times New Roman"/>
          <w:color w:val="0000FF"/>
        </w:rPr>
        <w:t> </w:t>
      </w:r>
      <w:hyperlink r:id="rId14">
        <w:r>
          <w:rPr>
            <w:rFonts w:ascii="Times New Roman"/>
            <w:color w:val="0000FF"/>
            <w:u w:val="single" w:color="0000FF"/>
          </w:rPr>
          <w:t>transition.pdf</w:t>
        </w:r>
      </w:hyperlink>
    </w:p>
    <w:p>
      <w:pPr>
        <w:spacing w:after="0"/>
        <w:rPr>
          <w:rFonts w:ascii="Times New Roman"/>
        </w:rPr>
        <w:sectPr>
          <w:footerReference w:type="default" r:id="rId12"/>
          <w:pgSz w:w="11920" w:h="16850"/>
          <w:pgMar w:footer="836" w:header="0" w:top="1100" w:bottom="1020" w:left="900" w:right="760"/>
        </w:sectPr>
      </w:pPr>
    </w:p>
    <w:p>
      <w:pPr>
        <w:spacing w:before="75"/>
        <w:ind w:left="199" w:right="0" w:firstLine="0"/>
        <w:jc w:val="both"/>
        <w:rPr>
          <w:i/>
          <w:sz w:val="20"/>
        </w:rPr>
      </w:pPr>
      <w:r>
        <w:rPr>
          <w:i/>
          <w:sz w:val="20"/>
        </w:rPr>
        <w:t>Infrastructure sub-group</w:t>
      </w:r>
    </w:p>
    <w:p>
      <w:pPr>
        <w:pStyle w:val="BodyText"/>
        <w:spacing w:before="5"/>
        <w:rPr>
          <w:i/>
        </w:rPr>
      </w:pPr>
    </w:p>
    <w:p>
      <w:pPr>
        <w:pStyle w:val="ListParagraph"/>
        <w:numPr>
          <w:ilvl w:val="0"/>
          <w:numId w:val="1"/>
        </w:numPr>
        <w:tabs>
          <w:tab w:pos="560" w:val="left" w:leader="none"/>
        </w:tabs>
        <w:spacing w:line="360" w:lineRule="auto" w:before="0" w:after="0"/>
        <w:ind w:left="559" w:right="121" w:hanging="361"/>
        <w:jc w:val="both"/>
        <w:rPr>
          <w:sz w:val="20"/>
        </w:rPr>
      </w:pPr>
      <w:r>
        <w:rPr>
          <w:sz w:val="20"/>
        </w:rPr>
        <w:t>The sub-group had put together a priorities list of key infrastructure issues. There was demand in the Working Group for this to be discussed at the next meeting subsequent to which it could be republished. The sub-group had also noted there was demand for a published compounded rate and/or a calculator. It was noted that there was a strong link here with the task force on</w:t>
      </w:r>
      <w:r>
        <w:rPr>
          <w:spacing w:val="-9"/>
          <w:sz w:val="20"/>
        </w:rPr>
        <w:t> </w:t>
      </w:r>
      <w:r>
        <w:rPr>
          <w:sz w:val="20"/>
        </w:rPr>
        <w:t>conventions.</w:t>
      </w:r>
    </w:p>
    <w:p>
      <w:pPr>
        <w:pStyle w:val="Heading1"/>
      </w:pPr>
      <w:r>
        <w:rPr/>
        <w:t>Any Other Business</w:t>
      </w:r>
    </w:p>
    <w:p>
      <w:pPr>
        <w:pStyle w:val="BodyText"/>
        <w:spacing w:before="8"/>
        <w:rPr>
          <w:b/>
        </w:rPr>
      </w:pPr>
    </w:p>
    <w:p>
      <w:pPr>
        <w:pStyle w:val="ListParagraph"/>
        <w:numPr>
          <w:ilvl w:val="0"/>
          <w:numId w:val="1"/>
        </w:numPr>
        <w:tabs>
          <w:tab w:pos="560" w:val="left" w:leader="none"/>
        </w:tabs>
        <w:spacing w:line="360" w:lineRule="auto" w:before="0" w:after="0"/>
        <w:ind w:left="559" w:right="122" w:hanging="360"/>
        <w:jc w:val="both"/>
        <w:rPr>
          <w:sz w:val="20"/>
        </w:rPr>
      </w:pPr>
      <w:r>
        <w:rPr>
          <w:sz w:val="20"/>
        </w:rPr>
        <w:t>The Working Group had held a meeting of accounting firms to discuss accounting issues relating to transition. The Working Group was likely to write a letter to the International Accounting Standards Board offering technical support on RFR transition. It was noted that it would be helpful to engage with other RFR Working Groups internationally on this topic given the mutual</w:t>
      </w:r>
      <w:r>
        <w:rPr>
          <w:spacing w:val="-9"/>
          <w:sz w:val="20"/>
        </w:rPr>
        <w:t> </w:t>
      </w:r>
      <w:r>
        <w:rPr>
          <w:sz w:val="20"/>
        </w:rPr>
        <w:t>relevance.</w:t>
      </w:r>
    </w:p>
    <w:p>
      <w:pPr>
        <w:pStyle w:val="ListParagraph"/>
        <w:numPr>
          <w:ilvl w:val="0"/>
          <w:numId w:val="1"/>
        </w:numPr>
        <w:tabs>
          <w:tab w:pos="560" w:val="left" w:leader="none"/>
        </w:tabs>
        <w:spacing w:line="360" w:lineRule="auto" w:before="120" w:after="0"/>
        <w:ind w:left="559" w:right="120" w:hanging="361"/>
        <w:jc w:val="both"/>
        <w:rPr>
          <w:sz w:val="20"/>
        </w:rPr>
      </w:pPr>
      <w:r>
        <w:rPr>
          <w:sz w:val="20"/>
        </w:rPr>
        <w:t>The Working Group noted the publication of the latest OSSG Progress Report on Benchmark Reform, published on 14</w:t>
      </w:r>
      <w:r>
        <w:rPr>
          <w:spacing w:val="-3"/>
          <w:sz w:val="20"/>
        </w:rPr>
        <w:t> </w:t>
      </w:r>
      <w:r>
        <w:rPr>
          <w:sz w:val="20"/>
        </w:rPr>
        <w:t>November</w:t>
      </w:r>
      <w:hyperlink w:history="true" w:anchor="_bookmark7">
        <w:r>
          <w:rPr>
            <w:sz w:val="20"/>
            <w:vertAlign w:val="superscript"/>
          </w:rPr>
          <w:t>8</w:t>
        </w:r>
      </w:hyperlink>
      <w:r>
        <w:rPr>
          <w:sz w:val="20"/>
          <w:vertAlign w:val="baseline"/>
        </w:rPr>
        <w:t>.</w:t>
      </w:r>
    </w:p>
    <w:p>
      <w:pPr>
        <w:pStyle w:val="ListParagraph"/>
        <w:numPr>
          <w:ilvl w:val="0"/>
          <w:numId w:val="1"/>
        </w:numPr>
        <w:tabs>
          <w:tab w:pos="560" w:val="left" w:leader="none"/>
        </w:tabs>
        <w:spacing w:line="357" w:lineRule="auto" w:before="121" w:after="0"/>
        <w:ind w:left="559" w:right="120" w:hanging="361"/>
        <w:jc w:val="both"/>
        <w:rPr>
          <w:sz w:val="20"/>
        </w:rPr>
      </w:pPr>
      <w:r>
        <w:rPr>
          <w:sz w:val="20"/>
        </w:rPr>
        <w:t>The Bank of England highlighted its latest Financial Stability Report which provided an update on transition progress</w:t>
      </w:r>
      <w:hyperlink w:history="true" w:anchor="_bookmark8">
        <w:r>
          <w:rPr>
            <w:sz w:val="20"/>
            <w:vertAlign w:val="superscript"/>
          </w:rPr>
          <w:t>9</w:t>
        </w:r>
      </w:hyperlink>
      <w:r>
        <w:rPr>
          <w:sz w:val="20"/>
          <w:vertAlign w:val="baseline"/>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9"/>
        </w:rPr>
      </w:pPr>
      <w:r>
        <w:rPr/>
        <w:pict>
          <v:shape style="position:absolute;margin-left:54.959999pt;margin-top:19.555645pt;width:144pt;height:.1pt;mso-position-horizontal-relative:page;mso-position-vertical-relative:paragraph;z-index:-251656192;mso-wrap-distance-left:0;mso-wrap-distance-right:0" coordorigin="1099,391" coordsize="2880,0" path="m1099,391l3979,391e" filled="false" stroked="true" strokeweight=".72pt" strokecolor="#000000">
            <v:path arrowok="t"/>
            <v:stroke dashstyle="solid"/>
            <w10:wrap type="topAndBottom"/>
          </v:shape>
        </w:pict>
      </w:r>
    </w:p>
    <w:p>
      <w:pPr>
        <w:pStyle w:val="BodyText"/>
        <w:spacing w:before="61"/>
        <w:ind w:left="199"/>
        <w:rPr>
          <w:rFonts w:ascii="Times New Roman"/>
        </w:rPr>
      </w:pPr>
      <w:bookmarkStart w:name="_bookmark7" w:id="8"/>
      <w:bookmarkEnd w:id="8"/>
      <w:r>
        <w:rPr/>
      </w:r>
      <w:r>
        <w:rPr>
          <w:rFonts w:ascii="Times New Roman"/>
          <w:position w:val="8"/>
          <w:sz w:val="12"/>
        </w:rPr>
        <w:t>8 </w:t>
      </w:r>
      <w:hyperlink r:id="rId16">
        <w:r>
          <w:rPr>
            <w:rFonts w:ascii="Times New Roman"/>
            <w:color w:val="0000FF"/>
            <w:u w:val="single" w:color="0000FF"/>
          </w:rPr>
          <w:t>http://www.fsb.org/wp-content/uploads/P141118-1.pdf</w:t>
        </w:r>
      </w:hyperlink>
    </w:p>
    <w:p>
      <w:pPr>
        <w:pStyle w:val="BodyText"/>
        <w:spacing w:before="113"/>
        <w:ind w:left="199"/>
        <w:rPr>
          <w:rFonts w:ascii="Times New Roman"/>
        </w:rPr>
      </w:pPr>
      <w:bookmarkStart w:name="_bookmark8" w:id="9"/>
      <w:bookmarkEnd w:id="9"/>
      <w:r>
        <w:rPr/>
      </w:r>
      <w:r>
        <w:rPr>
          <w:rFonts w:ascii="Times New Roman"/>
          <w:position w:val="8"/>
          <w:sz w:val="12"/>
        </w:rPr>
        <w:t>9 </w:t>
      </w:r>
      <w:hyperlink r:id="rId17">
        <w:r>
          <w:rPr>
            <w:rFonts w:ascii="Times New Roman"/>
            <w:color w:val="0000FF"/>
            <w:u w:val="single" w:color="0000FF"/>
          </w:rPr>
          <w:t>https://www.bankofengland.co.uk/financial-stability-report/2018/november-2018</w:t>
        </w:r>
      </w:hyperlink>
    </w:p>
    <w:p>
      <w:pPr>
        <w:spacing w:after="0"/>
        <w:rPr>
          <w:rFonts w:ascii="Times New Roman"/>
        </w:rPr>
        <w:sectPr>
          <w:footerReference w:type="default" r:id="rId15"/>
          <w:pgSz w:w="11920" w:h="16850"/>
          <w:pgMar w:footer="703" w:header="0" w:top="1100" w:bottom="900" w:left="900" w:right="760"/>
          <w:pgNumType w:start="4"/>
        </w:sectPr>
      </w:pPr>
    </w:p>
    <w:p>
      <w:pPr>
        <w:pStyle w:val="Heading1"/>
        <w:spacing w:before="75"/>
        <w:jc w:val="left"/>
      </w:pPr>
      <w:r>
        <w:rPr/>
        <w:t>Private sector</w:t>
      </w:r>
      <w:r>
        <w:rPr>
          <w:spacing w:val="-17"/>
        </w:rPr>
        <w:t> </w:t>
      </w:r>
      <w:r>
        <w:rPr/>
        <w:t>attendees</w:t>
      </w:r>
    </w:p>
    <w:p>
      <w:pPr>
        <w:pStyle w:val="BodyText"/>
        <w:rPr>
          <w:b/>
          <w:sz w:val="2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5"/>
        <w:gridCol w:w="5565"/>
      </w:tblGrid>
      <w:tr>
        <w:trPr>
          <w:trHeight w:val="262" w:hRule="atLeast"/>
        </w:trPr>
        <w:tc>
          <w:tcPr>
            <w:tcW w:w="2775" w:type="dxa"/>
          </w:tcPr>
          <w:p>
            <w:pPr>
              <w:pStyle w:val="TableParagraph"/>
              <w:spacing w:line="225" w:lineRule="exact" w:before="0"/>
              <w:rPr>
                <w:sz w:val="20"/>
              </w:rPr>
            </w:pPr>
            <w:r>
              <w:rPr>
                <w:sz w:val="20"/>
              </w:rPr>
              <w:t>Francois Jourdain</w:t>
            </w:r>
          </w:p>
        </w:tc>
        <w:tc>
          <w:tcPr>
            <w:tcW w:w="5565" w:type="dxa"/>
          </w:tcPr>
          <w:p>
            <w:pPr>
              <w:pStyle w:val="TableParagraph"/>
              <w:spacing w:line="223" w:lineRule="exact" w:before="0"/>
              <w:ind w:left="545"/>
              <w:rPr>
                <w:b/>
                <w:sz w:val="20"/>
              </w:rPr>
            </w:pPr>
            <w:r>
              <w:rPr>
                <w:b/>
                <w:sz w:val="20"/>
              </w:rPr>
              <w:t>Barclays (Chair)</w:t>
            </w:r>
          </w:p>
        </w:tc>
      </w:tr>
      <w:tr>
        <w:trPr>
          <w:trHeight w:val="299" w:hRule="atLeast"/>
        </w:trPr>
        <w:tc>
          <w:tcPr>
            <w:tcW w:w="2775" w:type="dxa"/>
          </w:tcPr>
          <w:p>
            <w:pPr>
              <w:pStyle w:val="TableParagraph"/>
              <w:spacing w:before="32"/>
              <w:rPr>
                <w:sz w:val="20"/>
              </w:rPr>
            </w:pPr>
            <w:r>
              <w:rPr>
                <w:sz w:val="20"/>
              </w:rPr>
              <w:t>Andreas Giannopoulos</w:t>
            </w:r>
          </w:p>
        </w:tc>
        <w:tc>
          <w:tcPr>
            <w:tcW w:w="5565" w:type="dxa"/>
          </w:tcPr>
          <w:p>
            <w:pPr>
              <w:pStyle w:val="TableParagraph"/>
              <w:ind w:left="545"/>
              <w:rPr>
                <w:b/>
                <w:sz w:val="20"/>
              </w:rPr>
            </w:pPr>
            <w:r>
              <w:rPr>
                <w:b/>
                <w:sz w:val="20"/>
              </w:rPr>
              <w:t>Barclays (Chair’s office)</w:t>
            </w:r>
          </w:p>
        </w:tc>
      </w:tr>
      <w:tr>
        <w:trPr>
          <w:trHeight w:val="300" w:hRule="atLeast"/>
        </w:trPr>
        <w:tc>
          <w:tcPr>
            <w:tcW w:w="2775" w:type="dxa"/>
          </w:tcPr>
          <w:p>
            <w:pPr>
              <w:pStyle w:val="TableParagraph"/>
              <w:spacing w:before="32"/>
              <w:rPr>
                <w:sz w:val="20"/>
              </w:rPr>
            </w:pPr>
            <w:r>
              <w:rPr>
                <w:sz w:val="20"/>
              </w:rPr>
              <w:t>Frances Hinden</w:t>
            </w:r>
          </w:p>
        </w:tc>
        <w:tc>
          <w:tcPr>
            <w:tcW w:w="5565" w:type="dxa"/>
          </w:tcPr>
          <w:p>
            <w:pPr>
              <w:pStyle w:val="TableParagraph"/>
              <w:ind w:left="545"/>
              <w:rPr>
                <w:b/>
                <w:sz w:val="20"/>
              </w:rPr>
            </w:pPr>
            <w:r>
              <w:rPr>
                <w:b/>
                <w:sz w:val="20"/>
              </w:rPr>
              <w:t>Shell (Vice Chair)</w:t>
            </w:r>
          </w:p>
        </w:tc>
      </w:tr>
      <w:tr>
        <w:trPr>
          <w:trHeight w:val="300" w:hRule="atLeast"/>
        </w:trPr>
        <w:tc>
          <w:tcPr>
            <w:tcW w:w="2775" w:type="dxa"/>
          </w:tcPr>
          <w:p>
            <w:pPr>
              <w:pStyle w:val="TableParagraph"/>
              <w:spacing w:before="32"/>
              <w:rPr>
                <w:sz w:val="20"/>
              </w:rPr>
            </w:pPr>
            <w:r>
              <w:rPr>
                <w:sz w:val="20"/>
              </w:rPr>
              <w:t>Robert de Roeck</w:t>
            </w:r>
          </w:p>
        </w:tc>
        <w:tc>
          <w:tcPr>
            <w:tcW w:w="5565" w:type="dxa"/>
          </w:tcPr>
          <w:p>
            <w:pPr>
              <w:pStyle w:val="TableParagraph"/>
              <w:ind w:left="545"/>
              <w:rPr>
                <w:b/>
                <w:sz w:val="20"/>
              </w:rPr>
            </w:pPr>
            <w:r>
              <w:rPr>
                <w:b/>
                <w:sz w:val="20"/>
              </w:rPr>
              <w:t>Aberdeen Standard Investments</w:t>
            </w:r>
          </w:p>
        </w:tc>
      </w:tr>
      <w:tr>
        <w:trPr>
          <w:trHeight w:val="300" w:hRule="atLeast"/>
        </w:trPr>
        <w:tc>
          <w:tcPr>
            <w:tcW w:w="2775" w:type="dxa"/>
          </w:tcPr>
          <w:p>
            <w:pPr>
              <w:pStyle w:val="TableParagraph"/>
              <w:spacing w:before="32"/>
              <w:rPr>
                <w:sz w:val="20"/>
              </w:rPr>
            </w:pPr>
            <w:r>
              <w:rPr>
                <w:sz w:val="20"/>
              </w:rPr>
              <w:t>Shaun Kennedy</w:t>
            </w:r>
          </w:p>
        </w:tc>
        <w:tc>
          <w:tcPr>
            <w:tcW w:w="5565" w:type="dxa"/>
          </w:tcPr>
          <w:p>
            <w:pPr>
              <w:pStyle w:val="TableParagraph"/>
              <w:ind w:left="545"/>
              <w:rPr>
                <w:b/>
                <w:sz w:val="20"/>
              </w:rPr>
            </w:pPr>
            <w:r>
              <w:rPr>
                <w:b/>
                <w:sz w:val="20"/>
              </w:rPr>
              <w:t>Associated British Ports</w:t>
            </w:r>
          </w:p>
        </w:tc>
      </w:tr>
      <w:tr>
        <w:trPr>
          <w:trHeight w:val="300" w:hRule="atLeast"/>
        </w:trPr>
        <w:tc>
          <w:tcPr>
            <w:tcW w:w="2775" w:type="dxa"/>
          </w:tcPr>
          <w:p>
            <w:pPr>
              <w:pStyle w:val="TableParagraph"/>
              <w:spacing w:before="32"/>
              <w:rPr>
                <w:sz w:val="20"/>
              </w:rPr>
            </w:pPr>
            <w:r>
              <w:rPr>
                <w:sz w:val="20"/>
              </w:rPr>
              <w:t>Nick Saggers</w:t>
            </w:r>
          </w:p>
        </w:tc>
        <w:tc>
          <w:tcPr>
            <w:tcW w:w="5565" w:type="dxa"/>
          </w:tcPr>
          <w:p>
            <w:pPr>
              <w:pStyle w:val="TableParagraph"/>
              <w:ind w:left="545"/>
              <w:rPr>
                <w:b/>
                <w:sz w:val="20"/>
              </w:rPr>
            </w:pPr>
            <w:r>
              <w:rPr>
                <w:b/>
                <w:sz w:val="20"/>
              </w:rPr>
              <w:t>Bank of America Merrill Lynch</w:t>
            </w:r>
          </w:p>
        </w:tc>
      </w:tr>
      <w:tr>
        <w:trPr>
          <w:trHeight w:val="300" w:hRule="atLeast"/>
        </w:trPr>
        <w:tc>
          <w:tcPr>
            <w:tcW w:w="2775" w:type="dxa"/>
          </w:tcPr>
          <w:p>
            <w:pPr>
              <w:pStyle w:val="TableParagraph"/>
              <w:spacing w:before="32"/>
              <w:rPr>
                <w:sz w:val="20"/>
              </w:rPr>
            </w:pPr>
            <w:r>
              <w:rPr>
                <w:sz w:val="20"/>
              </w:rPr>
              <w:t>Jonathan Brown</w:t>
            </w:r>
          </w:p>
        </w:tc>
        <w:tc>
          <w:tcPr>
            <w:tcW w:w="5565" w:type="dxa"/>
          </w:tcPr>
          <w:p>
            <w:pPr>
              <w:pStyle w:val="TableParagraph"/>
              <w:ind w:left="545"/>
              <w:rPr>
                <w:b/>
                <w:sz w:val="20"/>
              </w:rPr>
            </w:pPr>
            <w:r>
              <w:rPr>
                <w:b/>
                <w:sz w:val="20"/>
              </w:rPr>
              <w:t>Barclays</w:t>
            </w:r>
          </w:p>
        </w:tc>
      </w:tr>
      <w:tr>
        <w:trPr>
          <w:trHeight w:val="300" w:hRule="atLeast"/>
        </w:trPr>
        <w:tc>
          <w:tcPr>
            <w:tcW w:w="2775" w:type="dxa"/>
          </w:tcPr>
          <w:p>
            <w:pPr>
              <w:pStyle w:val="TableParagraph"/>
              <w:spacing w:before="32"/>
              <w:rPr>
                <w:sz w:val="20"/>
              </w:rPr>
            </w:pPr>
            <w:r>
              <w:rPr>
                <w:sz w:val="20"/>
              </w:rPr>
              <w:t>Rob Mitchelson</w:t>
            </w:r>
          </w:p>
        </w:tc>
        <w:tc>
          <w:tcPr>
            <w:tcW w:w="5565" w:type="dxa"/>
          </w:tcPr>
          <w:p>
            <w:pPr>
              <w:pStyle w:val="TableParagraph"/>
              <w:ind w:left="545"/>
              <w:rPr>
                <w:b/>
                <w:sz w:val="20"/>
              </w:rPr>
            </w:pPr>
            <w:r>
              <w:rPr>
                <w:b/>
                <w:sz w:val="20"/>
              </w:rPr>
              <w:t>BlackRock</w:t>
            </w:r>
          </w:p>
        </w:tc>
      </w:tr>
      <w:tr>
        <w:trPr>
          <w:trHeight w:val="300" w:hRule="atLeast"/>
        </w:trPr>
        <w:tc>
          <w:tcPr>
            <w:tcW w:w="2775" w:type="dxa"/>
          </w:tcPr>
          <w:p>
            <w:pPr>
              <w:pStyle w:val="TableParagraph"/>
              <w:spacing w:before="32"/>
              <w:rPr>
                <w:sz w:val="20"/>
              </w:rPr>
            </w:pPr>
            <w:r>
              <w:rPr>
                <w:sz w:val="20"/>
              </w:rPr>
              <w:t>Michael Barron</w:t>
            </w:r>
          </w:p>
        </w:tc>
        <w:tc>
          <w:tcPr>
            <w:tcW w:w="5565" w:type="dxa"/>
          </w:tcPr>
          <w:p>
            <w:pPr>
              <w:pStyle w:val="TableParagraph"/>
              <w:ind w:left="545"/>
              <w:rPr>
                <w:b/>
                <w:sz w:val="20"/>
              </w:rPr>
            </w:pPr>
            <w:r>
              <w:rPr>
                <w:b/>
                <w:sz w:val="20"/>
              </w:rPr>
              <w:t>Deutsche Bank</w:t>
            </w:r>
          </w:p>
        </w:tc>
      </w:tr>
      <w:tr>
        <w:trPr>
          <w:trHeight w:val="300" w:hRule="atLeast"/>
        </w:trPr>
        <w:tc>
          <w:tcPr>
            <w:tcW w:w="2775" w:type="dxa"/>
          </w:tcPr>
          <w:p>
            <w:pPr>
              <w:pStyle w:val="TableParagraph"/>
              <w:spacing w:before="32"/>
              <w:rPr>
                <w:sz w:val="20"/>
              </w:rPr>
            </w:pPr>
            <w:r>
              <w:rPr>
                <w:sz w:val="20"/>
              </w:rPr>
              <w:t>Axel van Nederveen</w:t>
            </w:r>
          </w:p>
        </w:tc>
        <w:tc>
          <w:tcPr>
            <w:tcW w:w="5565" w:type="dxa"/>
          </w:tcPr>
          <w:p>
            <w:pPr>
              <w:pStyle w:val="TableParagraph"/>
              <w:ind w:left="545"/>
              <w:rPr>
                <w:b/>
                <w:sz w:val="20"/>
              </w:rPr>
            </w:pPr>
            <w:r>
              <w:rPr>
                <w:b/>
                <w:sz w:val="20"/>
              </w:rPr>
              <w:t>European Bank for Reconstruction &amp; Development</w:t>
            </w:r>
          </w:p>
        </w:tc>
      </w:tr>
      <w:tr>
        <w:trPr>
          <w:trHeight w:val="300" w:hRule="atLeast"/>
        </w:trPr>
        <w:tc>
          <w:tcPr>
            <w:tcW w:w="2775" w:type="dxa"/>
          </w:tcPr>
          <w:p>
            <w:pPr>
              <w:pStyle w:val="TableParagraph"/>
              <w:spacing w:before="32"/>
              <w:rPr>
                <w:sz w:val="20"/>
              </w:rPr>
            </w:pPr>
            <w:r>
              <w:rPr>
                <w:sz w:val="20"/>
              </w:rPr>
              <w:t>Chirag Dave</w:t>
            </w:r>
          </w:p>
        </w:tc>
        <w:tc>
          <w:tcPr>
            <w:tcW w:w="5565" w:type="dxa"/>
          </w:tcPr>
          <w:p>
            <w:pPr>
              <w:pStyle w:val="TableParagraph"/>
              <w:ind w:left="545"/>
              <w:rPr>
                <w:b/>
                <w:sz w:val="20"/>
              </w:rPr>
            </w:pPr>
            <w:r>
              <w:rPr>
                <w:b/>
                <w:sz w:val="20"/>
              </w:rPr>
              <w:t>Goldman Sachs</w:t>
            </w:r>
          </w:p>
        </w:tc>
      </w:tr>
      <w:tr>
        <w:trPr>
          <w:trHeight w:val="300" w:hRule="atLeast"/>
        </w:trPr>
        <w:tc>
          <w:tcPr>
            <w:tcW w:w="2775" w:type="dxa"/>
          </w:tcPr>
          <w:p>
            <w:pPr>
              <w:pStyle w:val="TableParagraph"/>
              <w:spacing w:before="32"/>
              <w:rPr>
                <w:sz w:val="20"/>
              </w:rPr>
            </w:pPr>
            <w:r>
              <w:rPr>
                <w:sz w:val="20"/>
              </w:rPr>
              <w:t>Daniele Forni</w:t>
            </w:r>
          </w:p>
        </w:tc>
        <w:tc>
          <w:tcPr>
            <w:tcW w:w="5565" w:type="dxa"/>
          </w:tcPr>
          <w:p>
            <w:pPr>
              <w:pStyle w:val="TableParagraph"/>
              <w:ind w:left="545"/>
              <w:rPr>
                <w:b/>
                <w:sz w:val="20"/>
              </w:rPr>
            </w:pPr>
            <w:r>
              <w:rPr>
                <w:b/>
                <w:sz w:val="20"/>
              </w:rPr>
              <w:t>HSBC</w:t>
            </w:r>
          </w:p>
        </w:tc>
      </w:tr>
      <w:tr>
        <w:trPr>
          <w:trHeight w:val="300" w:hRule="atLeast"/>
        </w:trPr>
        <w:tc>
          <w:tcPr>
            <w:tcW w:w="2775" w:type="dxa"/>
          </w:tcPr>
          <w:p>
            <w:pPr>
              <w:pStyle w:val="TableParagraph"/>
              <w:spacing w:before="32"/>
              <w:rPr>
                <w:sz w:val="20"/>
              </w:rPr>
            </w:pPr>
            <w:r>
              <w:rPr>
                <w:sz w:val="20"/>
              </w:rPr>
              <w:t>Chris Rhodes</w:t>
            </w:r>
          </w:p>
        </w:tc>
        <w:tc>
          <w:tcPr>
            <w:tcW w:w="5565" w:type="dxa"/>
          </w:tcPr>
          <w:p>
            <w:pPr>
              <w:pStyle w:val="TableParagraph"/>
              <w:ind w:left="545"/>
              <w:rPr>
                <w:b/>
                <w:sz w:val="20"/>
              </w:rPr>
            </w:pPr>
            <w:r>
              <w:rPr>
                <w:b/>
                <w:sz w:val="20"/>
              </w:rPr>
              <w:t>ICE Group</w:t>
            </w:r>
          </w:p>
        </w:tc>
      </w:tr>
      <w:tr>
        <w:trPr>
          <w:trHeight w:val="300" w:hRule="atLeast"/>
        </w:trPr>
        <w:tc>
          <w:tcPr>
            <w:tcW w:w="2775" w:type="dxa"/>
          </w:tcPr>
          <w:p>
            <w:pPr>
              <w:pStyle w:val="TableParagraph"/>
              <w:spacing w:before="32"/>
              <w:rPr>
                <w:sz w:val="20"/>
              </w:rPr>
            </w:pPr>
            <w:r>
              <w:rPr>
                <w:sz w:val="20"/>
              </w:rPr>
              <w:t>Paul Richards</w:t>
            </w:r>
          </w:p>
        </w:tc>
        <w:tc>
          <w:tcPr>
            <w:tcW w:w="5565" w:type="dxa"/>
          </w:tcPr>
          <w:p>
            <w:pPr>
              <w:pStyle w:val="TableParagraph"/>
              <w:ind w:left="545"/>
              <w:rPr>
                <w:b/>
                <w:sz w:val="20"/>
              </w:rPr>
            </w:pPr>
            <w:r>
              <w:rPr>
                <w:b/>
                <w:sz w:val="20"/>
              </w:rPr>
              <w:t>ICMA</w:t>
            </w:r>
          </w:p>
        </w:tc>
      </w:tr>
      <w:tr>
        <w:trPr>
          <w:trHeight w:val="300" w:hRule="atLeast"/>
        </w:trPr>
        <w:tc>
          <w:tcPr>
            <w:tcW w:w="2775" w:type="dxa"/>
          </w:tcPr>
          <w:p>
            <w:pPr>
              <w:pStyle w:val="TableParagraph"/>
              <w:spacing w:before="32"/>
              <w:rPr>
                <w:sz w:val="20"/>
              </w:rPr>
            </w:pPr>
            <w:r>
              <w:rPr>
                <w:sz w:val="20"/>
              </w:rPr>
              <w:t>Robert Gall</w:t>
            </w:r>
          </w:p>
        </w:tc>
        <w:tc>
          <w:tcPr>
            <w:tcW w:w="5565" w:type="dxa"/>
          </w:tcPr>
          <w:p>
            <w:pPr>
              <w:pStyle w:val="TableParagraph"/>
              <w:ind w:left="545"/>
              <w:rPr>
                <w:b/>
                <w:sz w:val="20"/>
              </w:rPr>
            </w:pPr>
            <w:r>
              <w:rPr>
                <w:b/>
                <w:sz w:val="20"/>
              </w:rPr>
              <w:t>Insight Investment</w:t>
            </w:r>
          </w:p>
        </w:tc>
      </w:tr>
      <w:tr>
        <w:trPr>
          <w:trHeight w:val="299" w:hRule="atLeast"/>
        </w:trPr>
        <w:tc>
          <w:tcPr>
            <w:tcW w:w="2775" w:type="dxa"/>
          </w:tcPr>
          <w:p>
            <w:pPr>
              <w:pStyle w:val="TableParagraph"/>
              <w:spacing w:before="32"/>
              <w:rPr>
                <w:sz w:val="20"/>
              </w:rPr>
            </w:pPr>
            <w:r>
              <w:rPr>
                <w:sz w:val="20"/>
              </w:rPr>
              <w:t>Galina Dimitrova</w:t>
            </w:r>
          </w:p>
        </w:tc>
        <w:tc>
          <w:tcPr>
            <w:tcW w:w="5565" w:type="dxa"/>
          </w:tcPr>
          <w:p>
            <w:pPr>
              <w:pStyle w:val="TableParagraph"/>
              <w:ind w:left="545"/>
              <w:rPr>
                <w:b/>
                <w:sz w:val="20"/>
              </w:rPr>
            </w:pPr>
            <w:r>
              <w:rPr>
                <w:b/>
                <w:sz w:val="20"/>
              </w:rPr>
              <w:t>Investment Association</w:t>
            </w:r>
          </w:p>
        </w:tc>
      </w:tr>
      <w:tr>
        <w:trPr>
          <w:trHeight w:val="300" w:hRule="atLeast"/>
        </w:trPr>
        <w:tc>
          <w:tcPr>
            <w:tcW w:w="2775" w:type="dxa"/>
          </w:tcPr>
          <w:p>
            <w:pPr>
              <w:pStyle w:val="TableParagraph"/>
              <w:spacing w:before="32"/>
              <w:rPr>
                <w:sz w:val="20"/>
              </w:rPr>
            </w:pPr>
            <w:r>
              <w:rPr>
                <w:sz w:val="20"/>
              </w:rPr>
              <w:t>Guy Whitby Smith</w:t>
            </w:r>
          </w:p>
        </w:tc>
        <w:tc>
          <w:tcPr>
            <w:tcW w:w="5565" w:type="dxa"/>
          </w:tcPr>
          <w:p>
            <w:pPr>
              <w:pStyle w:val="TableParagraph"/>
              <w:ind w:left="545"/>
              <w:rPr>
                <w:b/>
                <w:sz w:val="20"/>
              </w:rPr>
            </w:pPr>
            <w:r>
              <w:rPr>
                <w:b/>
                <w:sz w:val="20"/>
              </w:rPr>
              <w:t>Legal &amp; General Investment Management</w:t>
            </w:r>
          </w:p>
        </w:tc>
      </w:tr>
      <w:tr>
        <w:trPr>
          <w:trHeight w:val="300" w:hRule="atLeast"/>
        </w:trPr>
        <w:tc>
          <w:tcPr>
            <w:tcW w:w="2775" w:type="dxa"/>
          </w:tcPr>
          <w:p>
            <w:pPr>
              <w:pStyle w:val="TableParagraph"/>
              <w:spacing w:before="32"/>
              <w:rPr>
                <w:sz w:val="20"/>
              </w:rPr>
            </w:pPr>
            <w:r>
              <w:rPr>
                <w:sz w:val="20"/>
              </w:rPr>
              <w:t>Clare Dawson</w:t>
            </w:r>
          </w:p>
        </w:tc>
        <w:tc>
          <w:tcPr>
            <w:tcW w:w="5565" w:type="dxa"/>
          </w:tcPr>
          <w:p>
            <w:pPr>
              <w:pStyle w:val="TableParagraph"/>
              <w:ind w:left="545"/>
              <w:rPr>
                <w:b/>
                <w:sz w:val="20"/>
              </w:rPr>
            </w:pPr>
            <w:r>
              <w:rPr>
                <w:b/>
                <w:sz w:val="20"/>
              </w:rPr>
              <w:t>Loan Market Association</w:t>
            </w:r>
          </w:p>
        </w:tc>
      </w:tr>
      <w:tr>
        <w:trPr>
          <w:trHeight w:val="300" w:hRule="atLeast"/>
        </w:trPr>
        <w:tc>
          <w:tcPr>
            <w:tcW w:w="2775" w:type="dxa"/>
          </w:tcPr>
          <w:p>
            <w:pPr>
              <w:pStyle w:val="TableParagraph"/>
              <w:spacing w:before="32"/>
              <w:rPr>
                <w:sz w:val="20"/>
              </w:rPr>
            </w:pPr>
            <w:r>
              <w:rPr>
                <w:sz w:val="20"/>
              </w:rPr>
              <w:t>Philip Whitehurst</w:t>
            </w:r>
          </w:p>
        </w:tc>
        <w:tc>
          <w:tcPr>
            <w:tcW w:w="5565" w:type="dxa"/>
          </w:tcPr>
          <w:p>
            <w:pPr>
              <w:pStyle w:val="TableParagraph"/>
              <w:ind w:left="545"/>
              <w:rPr>
                <w:b/>
                <w:sz w:val="20"/>
              </w:rPr>
            </w:pPr>
            <w:r>
              <w:rPr>
                <w:b/>
                <w:sz w:val="20"/>
              </w:rPr>
              <w:t>London Stock Exchange Group</w:t>
            </w:r>
          </w:p>
        </w:tc>
      </w:tr>
      <w:tr>
        <w:trPr>
          <w:trHeight w:val="300" w:hRule="atLeast"/>
        </w:trPr>
        <w:tc>
          <w:tcPr>
            <w:tcW w:w="2775" w:type="dxa"/>
          </w:tcPr>
          <w:p>
            <w:pPr>
              <w:pStyle w:val="TableParagraph"/>
              <w:spacing w:before="32"/>
              <w:rPr>
                <w:sz w:val="20"/>
              </w:rPr>
            </w:pPr>
            <w:r>
              <w:rPr>
                <w:sz w:val="20"/>
              </w:rPr>
              <w:t>Ian Fox</w:t>
            </w:r>
          </w:p>
        </w:tc>
        <w:tc>
          <w:tcPr>
            <w:tcW w:w="5565" w:type="dxa"/>
          </w:tcPr>
          <w:p>
            <w:pPr>
              <w:pStyle w:val="TableParagraph"/>
              <w:ind w:left="545"/>
              <w:rPr>
                <w:b/>
                <w:sz w:val="20"/>
              </w:rPr>
            </w:pPr>
            <w:r>
              <w:rPr>
                <w:b/>
                <w:sz w:val="20"/>
              </w:rPr>
              <w:t>Lloyds Banking Group</w:t>
            </w:r>
          </w:p>
        </w:tc>
      </w:tr>
      <w:tr>
        <w:trPr>
          <w:trHeight w:val="300" w:hRule="atLeast"/>
        </w:trPr>
        <w:tc>
          <w:tcPr>
            <w:tcW w:w="2775" w:type="dxa"/>
          </w:tcPr>
          <w:p>
            <w:pPr>
              <w:pStyle w:val="TableParagraph"/>
              <w:spacing w:before="32"/>
              <w:rPr>
                <w:sz w:val="20"/>
              </w:rPr>
            </w:pPr>
            <w:r>
              <w:rPr>
                <w:sz w:val="20"/>
              </w:rPr>
              <w:t>Dave Covey</w:t>
            </w:r>
          </w:p>
        </w:tc>
        <w:tc>
          <w:tcPr>
            <w:tcW w:w="5565" w:type="dxa"/>
          </w:tcPr>
          <w:p>
            <w:pPr>
              <w:pStyle w:val="TableParagraph"/>
              <w:ind w:left="545"/>
              <w:rPr>
                <w:b/>
                <w:sz w:val="20"/>
              </w:rPr>
            </w:pPr>
            <w:r>
              <w:rPr>
                <w:b/>
                <w:sz w:val="20"/>
              </w:rPr>
              <w:t>M&amp;G Investments</w:t>
            </w:r>
          </w:p>
        </w:tc>
      </w:tr>
      <w:tr>
        <w:trPr>
          <w:trHeight w:val="300" w:hRule="atLeast"/>
        </w:trPr>
        <w:tc>
          <w:tcPr>
            <w:tcW w:w="2775" w:type="dxa"/>
          </w:tcPr>
          <w:p>
            <w:pPr>
              <w:pStyle w:val="TableParagraph"/>
              <w:spacing w:before="32"/>
              <w:rPr>
                <w:sz w:val="20"/>
              </w:rPr>
            </w:pPr>
            <w:r>
              <w:rPr>
                <w:sz w:val="20"/>
              </w:rPr>
              <w:t>Richard Merrett</w:t>
            </w:r>
          </w:p>
        </w:tc>
        <w:tc>
          <w:tcPr>
            <w:tcW w:w="5565" w:type="dxa"/>
          </w:tcPr>
          <w:p>
            <w:pPr>
              <w:pStyle w:val="TableParagraph"/>
              <w:ind w:left="545"/>
              <w:rPr>
                <w:b/>
                <w:sz w:val="20"/>
              </w:rPr>
            </w:pPr>
            <w:r>
              <w:rPr>
                <w:b/>
                <w:sz w:val="20"/>
              </w:rPr>
              <w:t>Nationwide Building Society</w:t>
            </w:r>
          </w:p>
        </w:tc>
      </w:tr>
      <w:tr>
        <w:trPr>
          <w:trHeight w:val="300" w:hRule="atLeast"/>
        </w:trPr>
        <w:tc>
          <w:tcPr>
            <w:tcW w:w="2775" w:type="dxa"/>
          </w:tcPr>
          <w:p>
            <w:pPr>
              <w:pStyle w:val="TableParagraph"/>
              <w:spacing w:before="32"/>
              <w:rPr>
                <w:sz w:val="20"/>
              </w:rPr>
            </w:pPr>
            <w:r>
              <w:rPr>
                <w:sz w:val="20"/>
              </w:rPr>
              <w:t>Kieran Higgins</w:t>
            </w:r>
          </w:p>
        </w:tc>
        <w:tc>
          <w:tcPr>
            <w:tcW w:w="5565" w:type="dxa"/>
          </w:tcPr>
          <w:p>
            <w:pPr>
              <w:pStyle w:val="TableParagraph"/>
              <w:ind w:left="545"/>
              <w:rPr>
                <w:b/>
                <w:sz w:val="20"/>
              </w:rPr>
            </w:pPr>
            <w:r>
              <w:rPr>
                <w:b/>
                <w:sz w:val="20"/>
              </w:rPr>
              <w:t>Royal Bank of Scotland</w:t>
            </w:r>
          </w:p>
        </w:tc>
      </w:tr>
      <w:tr>
        <w:trPr>
          <w:trHeight w:val="262" w:hRule="atLeast"/>
        </w:trPr>
        <w:tc>
          <w:tcPr>
            <w:tcW w:w="2775" w:type="dxa"/>
          </w:tcPr>
          <w:p>
            <w:pPr>
              <w:pStyle w:val="TableParagraph"/>
              <w:spacing w:line="210" w:lineRule="exact" w:before="32"/>
              <w:rPr>
                <w:sz w:val="20"/>
              </w:rPr>
            </w:pPr>
            <w:r>
              <w:rPr>
                <w:sz w:val="20"/>
              </w:rPr>
              <w:t>Oliver Cooke</w:t>
            </w:r>
          </w:p>
        </w:tc>
        <w:tc>
          <w:tcPr>
            <w:tcW w:w="5565" w:type="dxa"/>
          </w:tcPr>
          <w:p>
            <w:pPr>
              <w:pStyle w:val="TableParagraph"/>
              <w:spacing w:line="212" w:lineRule="exact"/>
              <w:ind w:left="545"/>
              <w:rPr>
                <w:b/>
                <w:sz w:val="20"/>
              </w:rPr>
            </w:pPr>
            <w:r>
              <w:rPr>
                <w:b/>
                <w:sz w:val="20"/>
              </w:rPr>
              <w:t>Royal Bank of Scotland</w:t>
            </w:r>
          </w:p>
        </w:tc>
      </w:tr>
    </w:tbl>
    <w:p>
      <w:pPr>
        <w:pStyle w:val="BodyText"/>
        <w:rPr>
          <w:b/>
          <w:sz w:val="22"/>
        </w:rPr>
      </w:pPr>
    </w:p>
    <w:p>
      <w:pPr>
        <w:pStyle w:val="BodyText"/>
        <w:spacing w:before="5"/>
        <w:rPr>
          <w:b/>
          <w:sz w:val="21"/>
        </w:rPr>
      </w:pPr>
    </w:p>
    <w:p>
      <w:pPr>
        <w:spacing w:before="0"/>
        <w:ind w:left="199" w:right="0" w:firstLine="0"/>
        <w:jc w:val="left"/>
        <w:rPr>
          <w:b/>
          <w:sz w:val="20"/>
        </w:rPr>
      </w:pPr>
      <w:r>
        <w:rPr>
          <w:b/>
          <w:sz w:val="20"/>
        </w:rPr>
        <w:t>Official sector</w:t>
      </w:r>
      <w:r>
        <w:rPr>
          <w:b/>
          <w:spacing w:val="-15"/>
          <w:sz w:val="20"/>
        </w:rPr>
        <w:t> </w:t>
      </w:r>
      <w:r>
        <w:rPr>
          <w:b/>
          <w:sz w:val="20"/>
        </w:rPr>
        <w:t>attendees</w:t>
      </w:r>
    </w:p>
    <w:p>
      <w:pPr>
        <w:pStyle w:val="BodyText"/>
        <w:spacing w:before="2"/>
        <w:rPr>
          <w:b/>
          <w:sz w:val="2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0"/>
        <w:gridCol w:w="3660"/>
      </w:tblGrid>
      <w:tr>
        <w:trPr>
          <w:trHeight w:val="255" w:hRule="atLeast"/>
        </w:trPr>
        <w:tc>
          <w:tcPr>
            <w:tcW w:w="2580" w:type="dxa"/>
          </w:tcPr>
          <w:p>
            <w:pPr>
              <w:pStyle w:val="TableParagraph"/>
              <w:spacing w:line="225" w:lineRule="exact" w:before="0"/>
              <w:rPr>
                <w:sz w:val="20"/>
              </w:rPr>
            </w:pPr>
            <w:r>
              <w:rPr>
                <w:sz w:val="20"/>
              </w:rPr>
              <w:t>Imane Bakkar</w:t>
            </w:r>
          </w:p>
        </w:tc>
        <w:tc>
          <w:tcPr>
            <w:tcW w:w="3660" w:type="dxa"/>
          </w:tcPr>
          <w:p>
            <w:pPr>
              <w:pStyle w:val="TableParagraph"/>
              <w:spacing w:line="223" w:lineRule="exact" w:before="0"/>
              <w:ind w:left="780"/>
              <w:rPr>
                <w:b/>
                <w:sz w:val="20"/>
              </w:rPr>
            </w:pPr>
            <w:r>
              <w:rPr>
                <w:b/>
                <w:sz w:val="20"/>
              </w:rPr>
              <w:t>Bank of England</w:t>
            </w:r>
          </w:p>
        </w:tc>
      </w:tr>
      <w:tr>
        <w:trPr>
          <w:trHeight w:val="285" w:hRule="atLeast"/>
        </w:trPr>
        <w:tc>
          <w:tcPr>
            <w:tcW w:w="2580" w:type="dxa"/>
          </w:tcPr>
          <w:p>
            <w:pPr>
              <w:pStyle w:val="TableParagraph"/>
              <w:spacing w:before="25"/>
              <w:rPr>
                <w:sz w:val="20"/>
              </w:rPr>
            </w:pPr>
            <w:r>
              <w:rPr>
                <w:sz w:val="20"/>
              </w:rPr>
              <w:t>Josh Jones</w:t>
            </w:r>
          </w:p>
        </w:tc>
        <w:tc>
          <w:tcPr>
            <w:tcW w:w="3660" w:type="dxa"/>
          </w:tcPr>
          <w:p>
            <w:pPr>
              <w:pStyle w:val="TableParagraph"/>
              <w:spacing w:before="23"/>
              <w:ind w:left="780"/>
              <w:rPr>
                <w:b/>
                <w:sz w:val="20"/>
              </w:rPr>
            </w:pPr>
            <w:r>
              <w:rPr>
                <w:b/>
                <w:sz w:val="20"/>
              </w:rPr>
              <w:t>Bank of England</w:t>
            </w:r>
          </w:p>
        </w:tc>
      </w:tr>
      <w:tr>
        <w:trPr>
          <w:trHeight w:val="286" w:hRule="atLeast"/>
        </w:trPr>
        <w:tc>
          <w:tcPr>
            <w:tcW w:w="2580" w:type="dxa"/>
          </w:tcPr>
          <w:p>
            <w:pPr>
              <w:pStyle w:val="TableParagraph"/>
              <w:spacing w:before="25"/>
              <w:rPr>
                <w:sz w:val="20"/>
              </w:rPr>
            </w:pPr>
            <w:r>
              <w:rPr>
                <w:sz w:val="20"/>
              </w:rPr>
              <w:t>Alastair Hughes</w:t>
            </w:r>
          </w:p>
        </w:tc>
        <w:tc>
          <w:tcPr>
            <w:tcW w:w="3660" w:type="dxa"/>
          </w:tcPr>
          <w:p>
            <w:pPr>
              <w:pStyle w:val="TableParagraph"/>
              <w:spacing w:before="23"/>
              <w:ind w:left="780"/>
              <w:rPr>
                <w:b/>
                <w:sz w:val="20"/>
              </w:rPr>
            </w:pPr>
            <w:r>
              <w:rPr>
                <w:b/>
                <w:sz w:val="20"/>
              </w:rPr>
              <w:t>Bank of England</w:t>
            </w:r>
          </w:p>
        </w:tc>
      </w:tr>
      <w:tr>
        <w:trPr>
          <w:trHeight w:val="286" w:hRule="atLeast"/>
        </w:trPr>
        <w:tc>
          <w:tcPr>
            <w:tcW w:w="2580" w:type="dxa"/>
          </w:tcPr>
          <w:p>
            <w:pPr>
              <w:pStyle w:val="TableParagraph"/>
              <w:spacing w:before="26"/>
              <w:rPr>
                <w:sz w:val="20"/>
              </w:rPr>
            </w:pPr>
            <w:r>
              <w:rPr>
                <w:sz w:val="20"/>
              </w:rPr>
              <w:t>Hannah Reynolds</w:t>
            </w:r>
          </w:p>
        </w:tc>
        <w:tc>
          <w:tcPr>
            <w:tcW w:w="3660" w:type="dxa"/>
          </w:tcPr>
          <w:p>
            <w:pPr>
              <w:pStyle w:val="TableParagraph"/>
              <w:spacing w:before="24"/>
              <w:ind w:left="780"/>
              <w:rPr>
                <w:b/>
                <w:sz w:val="20"/>
              </w:rPr>
            </w:pPr>
            <w:r>
              <w:rPr>
                <w:b/>
                <w:sz w:val="20"/>
              </w:rPr>
              <w:t>Bank of England</w:t>
            </w:r>
          </w:p>
        </w:tc>
      </w:tr>
      <w:tr>
        <w:trPr>
          <w:trHeight w:val="285" w:hRule="atLeast"/>
        </w:trPr>
        <w:tc>
          <w:tcPr>
            <w:tcW w:w="2580" w:type="dxa"/>
          </w:tcPr>
          <w:p>
            <w:pPr>
              <w:pStyle w:val="TableParagraph"/>
              <w:spacing w:before="25"/>
              <w:rPr>
                <w:sz w:val="20"/>
              </w:rPr>
            </w:pPr>
            <w:r>
              <w:rPr>
                <w:sz w:val="20"/>
              </w:rPr>
              <w:t>Antoine Lallour</w:t>
            </w:r>
          </w:p>
        </w:tc>
        <w:tc>
          <w:tcPr>
            <w:tcW w:w="3660" w:type="dxa"/>
          </w:tcPr>
          <w:p>
            <w:pPr>
              <w:pStyle w:val="TableParagraph"/>
              <w:spacing w:before="23"/>
              <w:ind w:left="780"/>
              <w:rPr>
                <w:b/>
                <w:sz w:val="20"/>
              </w:rPr>
            </w:pPr>
            <w:r>
              <w:rPr>
                <w:b/>
                <w:sz w:val="20"/>
              </w:rPr>
              <w:t>Bank of England</w:t>
            </w:r>
          </w:p>
        </w:tc>
      </w:tr>
      <w:tr>
        <w:trPr>
          <w:trHeight w:val="285" w:hRule="atLeast"/>
        </w:trPr>
        <w:tc>
          <w:tcPr>
            <w:tcW w:w="2580" w:type="dxa"/>
          </w:tcPr>
          <w:p>
            <w:pPr>
              <w:pStyle w:val="TableParagraph"/>
              <w:spacing w:before="25"/>
              <w:rPr>
                <w:sz w:val="20"/>
              </w:rPr>
            </w:pPr>
            <w:r>
              <w:rPr>
                <w:sz w:val="20"/>
              </w:rPr>
              <w:t>Peter Balint</w:t>
            </w:r>
          </w:p>
        </w:tc>
        <w:tc>
          <w:tcPr>
            <w:tcW w:w="3660" w:type="dxa"/>
          </w:tcPr>
          <w:p>
            <w:pPr>
              <w:pStyle w:val="TableParagraph"/>
              <w:spacing w:before="23"/>
              <w:ind w:left="780"/>
              <w:rPr>
                <w:b/>
                <w:sz w:val="20"/>
              </w:rPr>
            </w:pPr>
            <w:r>
              <w:rPr>
                <w:b/>
                <w:sz w:val="20"/>
              </w:rPr>
              <w:t>Bank of England</w:t>
            </w:r>
          </w:p>
        </w:tc>
      </w:tr>
      <w:tr>
        <w:trPr>
          <w:trHeight w:val="285" w:hRule="atLeast"/>
        </w:trPr>
        <w:tc>
          <w:tcPr>
            <w:tcW w:w="2580" w:type="dxa"/>
          </w:tcPr>
          <w:p>
            <w:pPr>
              <w:pStyle w:val="TableParagraph"/>
              <w:spacing w:before="25"/>
              <w:rPr>
                <w:sz w:val="20"/>
              </w:rPr>
            </w:pPr>
            <w:r>
              <w:rPr>
                <w:sz w:val="20"/>
              </w:rPr>
              <w:t>Radhika Sood</w:t>
            </w:r>
          </w:p>
        </w:tc>
        <w:tc>
          <w:tcPr>
            <w:tcW w:w="3660" w:type="dxa"/>
          </w:tcPr>
          <w:p>
            <w:pPr>
              <w:pStyle w:val="TableParagraph"/>
              <w:spacing w:before="23"/>
              <w:ind w:left="780"/>
              <w:rPr>
                <w:b/>
                <w:sz w:val="20"/>
              </w:rPr>
            </w:pPr>
            <w:r>
              <w:rPr>
                <w:b/>
                <w:sz w:val="20"/>
              </w:rPr>
              <w:t>Bank of England</w:t>
            </w:r>
          </w:p>
        </w:tc>
      </w:tr>
      <w:tr>
        <w:trPr>
          <w:trHeight w:val="285" w:hRule="atLeast"/>
        </w:trPr>
        <w:tc>
          <w:tcPr>
            <w:tcW w:w="2580" w:type="dxa"/>
          </w:tcPr>
          <w:p>
            <w:pPr>
              <w:pStyle w:val="TableParagraph"/>
              <w:spacing w:before="25"/>
              <w:rPr>
                <w:sz w:val="20"/>
              </w:rPr>
            </w:pPr>
            <w:r>
              <w:rPr>
                <w:sz w:val="20"/>
              </w:rPr>
              <w:t>Harriet Hunnable</w:t>
            </w:r>
          </w:p>
        </w:tc>
        <w:tc>
          <w:tcPr>
            <w:tcW w:w="3660" w:type="dxa"/>
          </w:tcPr>
          <w:p>
            <w:pPr>
              <w:pStyle w:val="TableParagraph"/>
              <w:spacing w:before="23"/>
              <w:ind w:left="780"/>
              <w:rPr>
                <w:b/>
                <w:sz w:val="20"/>
              </w:rPr>
            </w:pPr>
            <w:r>
              <w:rPr>
                <w:b/>
                <w:sz w:val="20"/>
              </w:rPr>
              <w:t>Financial Conduct Authority</w:t>
            </w:r>
          </w:p>
        </w:tc>
      </w:tr>
      <w:tr>
        <w:trPr>
          <w:trHeight w:val="286" w:hRule="atLeast"/>
        </w:trPr>
        <w:tc>
          <w:tcPr>
            <w:tcW w:w="2580" w:type="dxa"/>
          </w:tcPr>
          <w:p>
            <w:pPr>
              <w:pStyle w:val="TableParagraph"/>
              <w:spacing w:before="25"/>
              <w:rPr>
                <w:sz w:val="20"/>
              </w:rPr>
            </w:pPr>
            <w:r>
              <w:rPr>
                <w:sz w:val="20"/>
              </w:rPr>
              <w:t>Heather Pilley</w:t>
            </w:r>
          </w:p>
        </w:tc>
        <w:tc>
          <w:tcPr>
            <w:tcW w:w="3660" w:type="dxa"/>
          </w:tcPr>
          <w:p>
            <w:pPr>
              <w:pStyle w:val="TableParagraph"/>
              <w:spacing w:before="23"/>
              <w:ind w:left="780"/>
              <w:rPr>
                <w:b/>
                <w:sz w:val="20"/>
              </w:rPr>
            </w:pPr>
            <w:r>
              <w:rPr>
                <w:b/>
                <w:sz w:val="20"/>
              </w:rPr>
              <w:t>Financial Conduct Authority</w:t>
            </w:r>
          </w:p>
        </w:tc>
      </w:tr>
      <w:tr>
        <w:trPr>
          <w:trHeight w:val="286" w:hRule="atLeast"/>
        </w:trPr>
        <w:tc>
          <w:tcPr>
            <w:tcW w:w="2580" w:type="dxa"/>
          </w:tcPr>
          <w:p>
            <w:pPr>
              <w:pStyle w:val="TableParagraph"/>
              <w:spacing w:before="26"/>
              <w:rPr>
                <w:sz w:val="20"/>
              </w:rPr>
            </w:pPr>
            <w:r>
              <w:rPr>
                <w:sz w:val="20"/>
              </w:rPr>
              <w:t>Devid Mazzonetto</w:t>
            </w:r>
          </w:p>
        </w:tc>
        <w:tc>
          <w:tcPr>
            <w:tcW w:w="3660" w:type="dxa"/>
          </w:tcPr>
          <w:p>
            <w:pPr>
              <w:pStyle w:val="TableParagraph"/>
              <w:spacing w:before="24"/>
              <w:ind w:left="780"/>
              <w:rPr>
                <w:b/>
                <w:sz w:val="20"/>
              </w:rPr>
            </w:pPr>
            <w:r>
              <w:rPr>
                <w:b/>
                <w:sz w:val="20"/>
              </w:rPr>
              <w:t>Financial Conduct Authority</w:t>
            </w:r>
          </w:p>
        </w:tc>
      </w:tr>
      <w:tr>
        <w:trPr>
          <w:trHeight w:val="255" w:hRule="atLeast"/>
        </w:trPr>
        <w:tc>
          <w:tcPr>
            <w:tcW w:w="2580" w:type="dxa"/>
          </w:tcPr>
          <w:p>
            <w:pPr>
              <w:pStyle w:val="TableParagraph"/>
              <w:spacing w:line="210" w:lineRule="exact" w:before="25"/>
              <w:rPr>
                <w:sz w:val="20"/>
              </w:rPr>
            </w:pPr>
            <w:r>
              <w:rPr>
                <w:sz w:val="20"/>
              </w:rPr>
              <w:t>Toby Williams</w:t>
            </w:r>
          </w:p>
        </w:tc>
        <w:tc>
          <w:tcPr>
            <w:tcW w:w="3660" w:type="dxa"/>
          </w:tcPr>
          <w:p>
            <w:pPr>
              <w:pStyle w:val="TableParagraph"/>
              <w:spacing w:line="212" w:lineRule="exact" w:before="23"/>
              <w:ind w:left="780"/>
              <w:rPr>
                <w:b/>
                <w:sz w:val="20"/>
              </w:rPr>
            </w:pPr>
            <w:r>
              <w:rPr>
                <w:b/>
                <w:sz w:val="20"/>
              </w:rPr>
              <w:t>Financial Conduct Authority</w:t>
            </w:r>
          </w:p>
        </w:tc>
      </w:tr>
    </w:tbl>
    <w:sectPr>
      <w:pgSz w:w="11920" w:h="16850"/>
      <w:pgMar w:header="0" w:footer="703" w:top="1100" w:bottom="900" w:left="90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14.799988pt;margin-top:795.889954pt;width:11pt;height:12pt;mso-position-horizontal-relative:page;mso-position-vertical-relative:page;z-index:-252089344" type="#_x0000_t202" filled="false" stroked="false">
          <v:textbox inset="0,0,0,0">
            <w:txbxContent>
              <w:p>
                <w:pPr>
                  <w:pStyle w:val="BodyText"/>
                  <w:spacing w:line="223" w:lineRule="exact"/>
                  <w:ind w:left="60"/>
                  <w:rPr>
                    <w:rFonts w:ascii="Calibri"/>
                  </w:rPr>
                </w:pPr>
                <w:r>
                  <w:rPr/>
                  <w:fldChar w:fldCharType="begin"/>
                </w:r>
                <w:r>
                  <w:rPr>
                    <w:rFonts w:ascii="Calibri"/>
                    <w:w w:val="9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88320" from="54.959999pt,740.639954pt" to="198.959999pt,740.639954pt" stroked="true" strokeweight=".72pt" strokecolor="#000000">
          <v:stroke dashstyle="solid"/>
          <w10:wrap type="none"/>
        </v:line>
      </w:pict>
    </w:r>
    <w:r>
      <w:rPr/>
      <w:pict>
        <v:shape style="position:absolute;margin-left:516.799988pt;margin-top:795.889954pt;width:7pt;height:12pt;mso-position-horizontal-relative:page;mso-position-vertical-relative:page;z-index:-252087296" type="#_x0000_t202" filled="false" stroked="false">
          <v:textbox inset="0,0,0,0">
            <w:txbxContent>
              <w:p>
                <w:pPr>
                  <w:pStyle w:val="BodyText"/>
                  <w:spacing w:line="223" w:lineRule="exact"/>
                  <w:ind w:left="20"/>
                  <w:rPr>
                    <w:rFonts w:ascii="Calibri"/>
                  </w:rPr>
                </w:pPr>
                <w:r>
                  <w:rPr>
                    <w:rFonts w:ascii="Calibri"/>
                    <w:w w:val="98"/>
                  </w:rPr>
                  <w:t>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4.799988pt;margin-top:795.889954pt;width:11pt;height:12pt;mso-position-horizontal-relative:page;mso-position-vertical-relative:page;z-index:-252086272" type="#_x0000_t202" filled="false" stroked="false">
          <v:textbox inset="0,0,0,0">
            <w:txbxContent>
              <w:p>
                <w:pPr>
                  <w:pStyle w:val="BodyText"/>
                  <w:spacing w:line="223" w:lineRule="exact"/>
                  <w:ind w:left="60"/>
                  <w:rPr>
                    <w:rFonts w:ascii="Calibri"/>
                  </w:rPr>
                </w:pPr>
                <w:r>
                  <w:rPr/>
                  <w:fldChar w:fldCharType="begin"/>
                </w:r>
                <w:r>
                  <w:rPr>
                    <w:rFonts w:ascii="Calibri"/>
                    <w:w w:val="98"/>
                  </w:rPr>
                  <w:instrText> PAGE </w:instrText>
                </w:r>
                <w:r>
                  <w:rPr/>
                  <w:fldChar w:fldCharType="separate"/>
                </w:r>
                <w:r>
                  <w:rPr/>
                  <w:t>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59" w:hanging="360"/>
        <w:jc w:val="left"/>
      </w:pPr>
      <w:rPr>
        <w:rFonts w:hint="default" w:ascii="Arial" w:hAnsi="Arial" w:eastAsia="Arial" w:cs="Arial"/>
        <w:spacing w:val="-1"/>
        <w:w w:val="99"/>
        <w:sz w:val="20"/>
        <w:szCs w:val="20"/>
      </w:rPr>
    </w:lvl>
    <w:lvl w:ilvl="1">
      <w:start w:val="1"/>
      <w:numFmt w:val="lowerRoman"/>
      <w:lvlText w:val="(%2)"/>
      <w:lvlJc w:val="left"/>
      <w:pPr>
        <w:ind w:left="1339" w:hanging="721"/>
        <w:jc w:val="left"/>
      </w:pPr>
      <w:rPr>
        <w:rFonts w:hint="default" w:ascii="Arial" w:hAnsi="Arial" w:eastAsia="Arial" w:cs="Arial"/>
        <w:spacing w:val="-1"/>
        <w:w w:val="99"/>
        <w:sz w:val="20"/>
        <w:szCs w:val="20"/>
      </w:rPr>
    </w:lvl>
    <w:lvl w:ilvl="2">
      <w:start w:val="0"/>
      <w:numFmt w:val="bullet"/>
      <w:lvlText w:val="•"/>
      <w:lvlJc w:val="left"/>
      <w:pPr>
        <w:ind w:left="2330" w:hanging="721"/>
      </w:pPr>
      <w:rPr>
        <w:rFonts w:hint="default"/>
      </w:rPr>
    </w:lvl>
    <w:lvl w:ilvl="3">
      <w:start w:val="0"/>
      <w:numFmt w:val="bullet"/>
      <w:lvlText w:val="•"/>
      <w:lvlJc w:val="left"/>
      <w:pPr>
        <w:ind w:left="3320" w:hanging="721"/>
      </w:pPr>
      <w:rPr>
        <w:rFonts w:hint="default"/>
      </w:rPr>
    </w:lvl>
    <w:lvl w:ilvl="4">
      <w:start w:val="0"/>
      <w:numFmt w:val="bullet"/>
      <w:lvlText w:val="•"/>
      <w:lvlJc w:val="left"/>
      <w:pPr>
        <w:ind w:left="4310" w:hanging="721"/>
      </w:pPr>
      <w:rPr>
        <w:rFonts w:hint="default"/>
      </w:rPr>
    </w:lvl>
    <w:lvl w:ilvl="5">
      <w:start w:val="0"/>
      <w:numFmt w:val="bullet"/>
      <w:lvlText w:val="•"/>
      <w:lvlJc w:val="left"/>
      <w:pPr>
        <w:ind w:left="5300" w:hanging="721"/>
      </w:pPr>
      <w:rPr>
        <w:rFonts w:hint="default"/>
      </w:rPr>
    </w:lvl>
    <w:lvl w:ilvl="6">
      <w:start w:val="0"/>
      <w:numFmt w:val="bullet"/>
      <w:lvlText w:val="•"/>
      <w:lvlJc w:val="left"/>
      <w:pPr>
        <w:ind w:left="6290" w:hanging="721"/>
      </w:pPr>
      <w:rPr>
        <w:rFonts w:hint="default"/>
      </w:rPr>
    </w:lvl>
    <w:lvl w:ilvl="7">
      <w:start w:val="0"/>
      <w:numFmt w:val="bullet"/>
      <w:lvlText w:val="•"/>
      <w:lvlJc w:val="left"/>
      <w:pPr>
        <w:ind w:left="7280" w:hanging="721"/>
      </w:pPr>
      <w:rPr>
        <w:rFonts w:hint="default"/>
      </w:rPr>
    </w:lvl>
    <w:lvl w:ilvl="8">
      <w:start w:val="0"/>
      <w:numFmt w:val="bullet"/>
      <w:lvlText w:val="•"/>
      <w:lvlJc w:val="left"/>
      <w:pPr>
        <w:ind w:left="8270" w:hanging="72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18"/>
      <w:ind w:left="199"/>
      <w:jc w:val="both"/>
      <w:outlineLvl w:val="1"/>
    </w:pPr>
    <w:rPr>
      <w:rFonts w:ascii="Arial" w:hAnsi="Arial" w:eastAsia="Arial" w:cs="Arial"/>
      <w:b/>
      <w:bCs/>
      <w:sz w:val="20"/>
      <w:szCs w:val="20"/>
    </w:rPr>
  </w:style>
  <w:style w:styleId="ListParagraph" w:type="paragraph">
    <w:name w:val="List Paragraph"/>
    <w:basedOn w:val="Normal"/>
    <w:uiPriority w:val="1"/>
    <w:qFormat/>
    <w:pPr>
      <w:ind w:left="559" w:right="122" w:hanging="361"/>
      <w:jc w:val="both"/>
    </w:pPr>
    <w:rPr>
      <w:rFonts w:ascii="Arial" w:hAnsi="Arial" w:eastAsia="Arial" w:cs="Arial"/>
    </w:rPr>
  </w:style>
  <w:style w:styleId="TableParagraph" w:type="paragraph">
    <w:name w:val="Table Paragraph"/>
    <w:basedOn w:val="Normal"/>
    <w:uiPriority w:val="1"/>
    <w:qFormat/>
    <w:pPr>
      <w:spacing w:before="30"/>
      <w:ind w:left="2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bankofengland.co.uk/-/media/boe/files/markets/benchmarks/term-sonia-reference-rates-consultation-summary-of-responses.pdf" TargetMode="External"/><Relationship Id="rId7" Type="http://schemas.openxmlformats.org/officeDocument/2006/relationships/hyperlink" Target="http://www.fsb.org/wp-content/uploads/P120718.pdf" TargetMode="External"/><Relationship Id="rId8" Type="http://schemas.openxmlformats.org/officeDocument/2006/relationships/hyperlink" Target="https://www.newyorkfed.org/medialibrary/Microsites/arrc/files/2018/ARRC-Progress-Timeline-Oct-30.pdf" TargetMode="External"/><Relationship Id="rId9" Type="http://schemas.openxmlformats.org/officeDocument/2006/relationships/hyperlink" Target="https://www.snb.ch/n/mmr/reference/minutes_20181031/source/minutes_20181031.n.pdf" TargetMode="External"/><Relationship Id="rId10" Type="http://schemas.openxmlformats.org/officeDocument/2006/relationships/hyperlink" Target="https://www.bankofengland.co.uk/-/media/boe/files/markets/benchmarks/risk-free-reference-rates-new-issuance-of-sterling-bonds-referencing-libor.pdf" TargetMode="External"/><Relationship Id="rId11" Type="http://schemas.openxmlformats.org/officeDocument/2006/relationships/hyperlink" Target="https://www.isda.org/2018/11/27/isda-publishes-preliminary-results-of-benchmark-consultation/" TargetMode="External"/><Relationship Id="rId12" Type="http://schemas.openxmlformats.org/officeDocument/2006/relationships/footer" Target="footer2.xml"/><Relationship Id="rId13" Type="http://schemas.openxmlformats.org/officeDocument/2006/relationships/hyperlink" Target="https://www.bankofengland.co.uk/-/media/boe/files/markets/benchmarks/newsletter-november-2018.pdf" TargetMode="External"/><Relationship Id="rId14" Type="http://schemas.openxmlformats.org/officeDocument/2006/relationships/hyperlink" Target="https://www.bankofengland.co.uk/-/media/boe/files/markets/benchmarks/what-you-need-to-know-about-libor-transition.pdf" TargetMode="External"/><Relationship Id="rId15" Type="http://schemas.openxmlformats.org/officeDocument/2006/relationships/footer" Target="footer3.xml"/><Relationship Id="rId16" Type="http://schemas.openxmlformats.org/officeDocument/2006/relationships/hyperlink" Target="http://www.fsb.org/wp-content/uploads/P141118-1.pdf" TargetMode="External"/><Relationship Id="rId17" Type="http://schemas.openxmlformats.org/officeDocument/2006/relationships/hyperlink" Target="https://www.bankofengland.co.uk/financial-stability-report/2018/november-2018"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Working Group on Sterling Risk-Free Reference Rates</dc:subject>
  <dc:title>Minutes of the Working Group on Sterling Risk-Free Reference Rates</dc:title>
  <dcterms:created xsi:type="dcterms:W3CDTF">2020-06-01T02:24:56Z</dcterms:created>
  <dcterms:modified xsi:type="dcterms:W3CDTF">2020-06-01T02:24:56Z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2018-12-20T00:00:00Z</vt:filetime>
  </property>
  <property fmtid="{D5CDD505-2E9C-101B-9397-08002B2CF9AE}" pid="3" name="Creator">
    <vt:lpwstr>Acrobat PDFMaker 10.1 for Word</vt:lpwstr>
  </property>
  <property fmtid="{D5CDD505-2E9C-101B-9397-08002B2CF9AE}" pid="4" name="LastSaved">
    <vt:filetime>2020-06-01T00:00:00Z</vt:filetime>
  </property>
</Properties>
</file>