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p>
    <w:p>
      <w:pPr>
        <w:pStyle w:val="Heading1"/>
        <w:spacing w:before="89"/>
      </w:pPr>
      <w:r>
        <w:rPr/>
        <w:pict>
          <v:line style="position:absolute;mso-position-horizontal-relative:page;mso-position-vertical-relative:paragraph;z-index:251659264" from="60.25pt,61.627839pt" to="60.25pt,-7.822161pt" stroked="true" strokeweight="2pt" strokecolor="#497dba">
            <v:stroke dashstyle="solid"/>
            <w10:wrap type="none"/>
          </v:line>
        </w:pict>
      </w:r>
      <w:r>
        <w:rPr>
          <w:spacing w:val="7"/>
        </w:rPr>
        <w:t>The </w:t>
      </w:r>
      <w:r>
        <w:rPr>
          <w:spacing w:val="9"/>
        </w:rPr>
        <w:t>Working Group </w:t>
      </w:r>
      <w:r>
        <w:rPr>
          <w:spacing w:val="5"/>
        </w:rPr>
        <w:t>on</w:t>
      </w:r>
    </w:p>
    <w:p>
      <w:pPr>
        <w:spacing w:before="9"/>
        <w:ind w:left="283" w:right="0" w:firstLine="0"/>
        <w:jc w:val="left"/>
        <w:rPr>
          <w:b/>
          <w:sz w:val="32"/>
        </w:rPr>
      </w:pPr>
      <w:r>
        <w:rPr>
          <w:b/>
          <w:sz w:val="32"/>
        </w:rPr>
        <w:t>Sterling Risk-Free Reference Rates</w:t>
      </w:r>
    </w:p>
    <w:p>
      <w:pPr>
        <w:pStyle w:val="BodyText"/>
        <w:rPr>
          <w:b/>
        </w:rPr>
      </w:pPr>
    </w:p>
    <w:p>
      <w:pPr>
        <w:pStyle w:val="BodyText"/>
        <w:spacing w:before="10"/>
        <w:rPr>
          <w:b/>
          <w:sz w:val="23"/>
        </w:rPr>
      </w:pPr>
    </w:p>
    <w:p>
      <w:pPr>
        <w:pStyle w:val="Heading2"/>
        <w:spacing w:line="360" w:lineRule="auto" w:before="93"/>
        <w:ind w:left="1666" w:right="1584"/>
        <w:jc w:val="center"/>
      </w:pPr>
      <w:r>
        <w:rPr/>
        <w:t>Minutes of the Working Group on Sterling Risk-Free Reference Rates Thursday 5</w:t>
      </w:r>
      <w:r>
        <w:rPr>
          <w:position w:val="7"/>
          <w:sz w:val="13"/>
        </w:rPr>
        <w:t>th </w:t>
      </w:r>
      <w:r>
        <w:rPr/>
        <w:t>September 2019</w:t>
      </w:r>
    </w:p>
    <w:p>
      <w:pPr>
        <w:spacing w:before="6"/>
        <w:ind w:left="1664" w:right="1584" w:firstLine="0"/>
        <w:jc w:val="center"/>
        <w:rPr>
          <w:b/>
          <w:sz w:val="20"/>
        </w:rPr>
      </w:pPr>
      <w:r>
        <w:rPr>
          <w:b/>
          <w:sz w:val="20"/>
        </w:rPr>
        <w:t>Bank of England, Threadneedle Street, EC2R 8AH</w:t>
      </w:r>
    </w:p>
    <w:p>
      <w:pPr>
        <w:pStyle w:val="BodyText"/>
        <w:spacing w:before="11"/>
        <w:rPr>
          <w:b/>
          <w:sz w:val="30"/>
        </w:rPr>
      </w:pPr>
    </w:p>
    <w:p>
      <w:pPr>
        <w:spacing w:before="0"/>
        <w:ind w:left="197" w:right="0" w:firstLine="0"/>
        <w:jc w:val="left"/>
        <w:rPr>
          <w:b/>
          <w:sz w:val="20"/>
        </w:rPr>
      </w:pPr>
      <w:r>
        <w:rPr>
          <w:b/>
          <w:sz w:val="20"/>
        </w:rPr>
        <w:t>Agenda</w:t>
      </w:r>
    </w:p>
    <w:p>
      <w:pPr>
        <w:pStyle w:val="ListParagraph"/>
        <w:numPr>
          <w:ilvl w:val="0"/>
          <w:numId w:val="1"/>
        </w:numPr>
        <w:tabs>
          <w:tab w:pos="918" w:val="left" w:leader="none"/>
        </w:tabs>
        <w:spacing w:line="240" w:lineRule="auto" w:before="115" w:after="0"/>
        <w:ind w:left="917" w:right="0" w:hanging="361"/>
        <w:jc w:val="left"/>
        <w:rPr>
          <w:sz w:val="20"/>
        </w:rPr>
      </w:pPr>
      <w:r>
        <w:rPr>
          <w:sz w:val="20"/>
        </w:rPr>
        <w:t>Standing</w:t>
      </w:r>
      <w:r>
        <w:rPr>
          <w:spacing w:val="-1"/>
          <w:sz w:val="20"/>
        </w:rPr>
        <w:t> </w:t>
      </w:r>
      <w:r>
        <w:rPr>
          <w:sz w:val="20"/>
        </w:rPr>
        <w:t>Items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Welcome &amp;</w:t>
      </w:r>
      <w:r>
        <w:rPr>
          <w:spacing w:val="-3"/>
          <w:sz w:val="20"/>
        </w:rPr>
        <w:t> </w:t>
      </w:r>
      <w:r>
        <w:rPr>
          <w:sz w:val="20"/>
        </w:rPr>
        <w:t>Introductions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Competition</w:t>
      </w:r>
      <w:r>
        <w:rPr>
          <w:spacing w:val="-1"/>
          <w:sz w:val="20"/>
        </w:rPr>
        <w:t> </w:t>
      </w:r>
      <w:r>
        <w:rPr>
          <w:spacing w:val="2"/>
          <w:sz w:val="20"/>
        </w:rPr>
        <w:t>Law</w:t>
      </w:r>
    </w:p>
    <w:p>
      <w:pPr>
        <w:pStyle w:val="ListParagraph"/>
        <w:numPr>
          <w:ilvl w:val="1"/>
          <w:numId w:val="1"/>
        </w:numPr>
        <w:tabs>
          <w:tab w:pos="1637" w:val="left" w:leader="none"/>
          <w:tab w:pos="1638" w:val="left" w:leader="none"/>
        </w:tabs>
        <w:spacing w:line="240" w:lineRule="auto" w:before="113" w:after="0"/>
        <w:ind w:left="1637" w:right="0" w:hanging="361"/>
        <w:jc w:val="left"/>
        <w:rPr>
          <w:sz w:val="20"/>
        </w:rPr>
      </w:pPr>
      <w:r>
        <w:rPr>
          <w:sz w:val="20"/>
        </w:rPr>
        <w:t>Minutes of previous meeting</w:t>
      </w:r>
    </w:p>
    <w:p>
      <w:pPr>
        <w:pStyle w:val="ListParagraph"/>
        <w:numPr>
          <w:ilvl w:val="0"/>
          <w:numId w:val="1"/>
        </w:numPr>
        <w:tabs>
          <w:tab w:pos="918" w:val="left" w:leader="none"/>
        </w:tabs>
        <w:spacing w:line="240" w:lineRule="auto" w:before="115" w:after="0"/>
        <w:ind w:left="917" w:right="0" w:hanging="361"/>
        <w:jc w:val="left"/>
        <w:rPr>
          <w:sz w:val="20"/>
        </w:rPr>
      </w:pPr>
      <w:r>
        <w:rPr>
          <w:sz w:val="20"/>
        </w:rPr>
        <w:t>Term Rate Provider</w:t>
      </w:r>
      <w:r>
        <w:rPr>
          <w:spacing w:val="4"/>
          <w:sz w:val="20"/>
        </w:rPr>
        <w:t> </w:t>
      </w:r>
      <w:r>
        <w:rPr>
          <w:sz w:val="20"/>
        </w:rPr>
        <w:t>Presentation</w:t>
      </w:r>
    </w:p>
    <w:p>
      <w:pPr>
        <w:pStyle w:val="ListParagraph"/>
        <w:numPr>
          <w:ilvl w:val="0"/>
          <w:numId w:val="1"/>
        </w:numPr>
        <w:tabs>
          <w:tab w:pos="918" w:val="left" w:leader="none"/>
        </w:tabs>
        <w:spacing w:line="240" w:lineRule="auto" w:before="117" w:after="0"/>
        <w:ind w:left="917" w:right="0" w:hanging="361"/>
        <w:jc w:val="left"/>
        <w:rPr>
          <w:sz w:val="20"/>
        </w:rPr>
      </w:pPr>
      <w:r>
        <w:rPr>
          <w:sz w:val="20"/>
        </w:rPr>
        <w:t>Update on OIS quote streaming</w:t>
      </w:r>
      <w:r>
        <w:rPr>
          <w:spacing w:val="-4"/>
          <w:sz w:val="20"/>
        </w:rPr>
        <w:t> </w:t>
      </w:r>
      <w:r>
        <w:rPr>
          <w:sz w:val="20"/>
        </w:rPr>
        <w:t>discussions</w:t>
      </w:r>
    </w:p>
    <w:p>
      <w:pPr>
        <w:pStyle w:val="ListParagraph"/>
        <w:numPr>
          <w:ilvl w:val="0"/>
          <w:numId w:val="1"/>
        </w:numPr>
        <w:tabs>
          <w:tab w:pos="918" w:val="left" w:leader="none"/>
        </w:tabs>
        <w:spacing w:line="240" w:lineRule="auto" w:before="115" w:after="0"/>
        <w:ind w:left="917" w:right="0" w:hanging="361"/>
        <w:jc w:val="left"/>
        <w:rPr>
          <w:sz w:val="20"/>
        </w:rPr>
      </w:pPr>
      <w:r>
        <w:rPr>
          <w:sz w:val="20"/>
        </w:rPr>
        <w:t>Working Group</w:t>
      </w:r>
      <w:r>
        <w:rPr>
          <w:spacing w:val="-3"/>
          <w:sz w:val="20"/>
        </w:rPr>
        <w:t> </w:t>
      </w:r>
      <w:r>
        <w:rPr>
          <w:sz w:val="20"/>
        </w:rPr>
        <w:t>priorities</w:t>
      </w:r>
    </w:p>
    <w:p>
      <w:pPr>
        <w:pStyle w:val="ListParagraph"/>
        <w:numPr>
          <w:ilvl w:val="1"/>
          <w:numId w:val="1"/>
        </w:numPr>
        <w:tabs>
          <w:tab w:pos="1638" w:val="left" w:leader="none"/>
        </w:tabs>
        <w:spacing w:line="240" w:lineRule="auto" w:before="114" w:after="0"/>
        <w:ind w:left="1637" w:right="0" w:hanging="361"/>
        <w:jc w:val="left"/>
        <w:rPr>
          <w:sz w:val="20"/>
        </w:rPr>
      </w:pPr>
      <w:r>
        <w:rPr>
          <w:sz w:val="20"/>
        </w:rPr>
        <w:t>Outline of H2 priorities</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Official sector</w:t>
      </w:r>
      <w:r>
        <w:rPr>
          <w:spacing w:val="-3"/>
          <w:sz w:val="20"/>
        </w:rPr>
        <w:t> </w:t>
      </w:r>
      <w:r>
        <w:rPr>
          <w:sz w:val="20"/>
        </w:rPr>
        <w:t>perspective</w:t>
      </w:r>
    </w:p>
    <w:p>
      <w:pPr>
        <w:pStyle w:val="ListParagraph"/>
        <w:numPr>
          <w:ilvl w:val="1"/>
          <w:numId w:val="1"/>
        </w:numPr>
        <w:tabs>
          <w:tab w:pos="1637" w:val="left" w:leader="none"/>
          <w:tab w:pos="1638" w:val="left" w:leader="none"/>
        </w:tabs>
        <w:spacing w:line="240" w:lineRule="auto" w:before="116" w:after="0"/>
        <w:ind w:left="1637" w:right="0" w:hanging="361"/>
        <w:jc w:val="left"/>
        <w:rPr>
          <w:sz w:val="20"/>
        </w:rPr>
      </w:pPr>
      <w:r>
        <w:rPr>
          <w:sz w:val="20"/>
        </w:rPr>
        <w:t>Discuss and agree actions/next</w:t>
      </w:r>
      <w:r>
        <w:rPr>
          <w:spacing w:val="-2"/>
          <w:sz w:val="20"/>
        </w:rPr>
        <w:t> </w:t>
      </w:r>
      <w:r>
        <w:rPr>
          <w:sz w:val="20"/>
        </w:rPr>
        <w:t>steps</w:t>
      </w:r>
    </w:p>
    <w:p>
      <w:pPr>
        <w:pStyle w:val="ListParagraph"/>
        <w:numPr>
          <w:ilvl w:val="0"/>
          <w:numId w:val="1"/>
        </w:numPr>
        <w:tabs>
          <w:tab w:pos="918" w:val="left" w:leader="none"/>
        </w:tabs>
        <w:spacing w:line="240" w:lineRule="auto" w:before="115" w:after="0"/>
        <w:ind w:left="917" w:right="0" w:hanging="361"/>
        <w:jc w:val="left"/>
        <w:rPr>
          <w:sz w:val="20"/>
        </w:rPr>
      </w:pPr>
      <w:r>
        <w:rPr>
          <w:sz w:val="20"/>
        </w:rPr>
        <w:t>Update on ISDA consultation</w:t>
      </w:r>
      <w:r>
        <w:rPr>
          <w:spacing w:val="-5"/>
          <w:sz w:val="20"/>
        </w:rPr>
        <w:t> </w:t>
      </w:r>
      <w:r>
        <w:rPr>
          <w:sz w:val="20"/>
        </w:rPr>
        <w:t>process</w:t>
      </w:r>
    </w:p>
    <w:p>
      <w:pPr>
        <w:pStyle w:val="ListParagraph"/>
        <w:numPr>
          <w:ilvl w:val="1"/>
          <w:numId w:val="1"/>
        </w:numPr>
        <w:tabs>
          <w:tab w:pos="1638" w:val="left" w:leader="none"/>
        </w:tabs>
        <w:spacing w:line="240" w:lineRule="auto" w:before="114" w:after="0"/>
        <w:ind w:left="1637" w:right="0" w:hanging="361"/>
        <w:jc w:val="left"/>
        <w:rPr>
          <w:sz w:val="20"/>
        </w:rPr>
      </w:pPr>
      <w:r>
        <w:rPr>
          <w:sz w:val="20"/>
        </w:rPr>
        <w:t>Pre-cessation</w:t>
      </w:r>
      <w:r>
        <w:rPr>
          <w:spacing w:val="-2"/>
          <w:sz w:val="20"/>
        </w:rPr>
        <w:t> </w:t>
      </w:r>
      <w:r>
        <w:rPr>
          <w:sz w:val="20"/>
        </w:rPr>
        <w:t>triggers</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Parameterisation</w:t>
      </w:r>
    </w:p>
    <w:p>
      <w:pPr>
        <w:pStyle w:val="ListParagraph"/>
        <w:numPr>
          <w:ilvl w:val="0"/>
          <w:numId w:val="1"/>
        </w:numPr>
        <w:tabs>
          <w:tab w:pos="918" w:val="left" w:leader="none"/>
        </w:tabs>
        <w:spacing w:line="240" w:lineRule="auto" w:before="116" w:after="0"/>
        <w:ind w:left="917" w:right="0" w:hanging="361"/>
        <w:jc w:val="left"/>
        <w:rPr>
          <w:sz w:val="20"/>
        </w:rPr>
      </w:pPr>
      <w:r>
        <w:rPr>
          <w:sz w:val="20"/>
        </w:rPr>
        <w:t>Updates on progress and recent developments</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Recap of recent Working Group</w:t>
      </w:r>
      <w:r>
        <w:rPr>
          <w:spacing w:val="-6"/>
          <w:sz w:val="20"/>
        </w:rPr>
        <w:t> </w:t>
      </w:r>
      <w:r>
        <w:rPr>
          <w:sz w:val="20"/>
        </w:rPr>
        <w:t>publications</w:t>
      </w:r>
    </w:p>
    <w:p>
      <w:pPr>
        <w:pStyle w:val="ListParagraph"/>
        <w:numPr>
          <w:ilvl w:val="2"/>
          <w:numId w:val="1"/>
        </w:numPr>
        <w:tabs>
          <w:tab w:pos="2358" w:val="left" w:leader="none"/>
        </w:tabs>
        <w:spacing w:line="240" w:lineRule="auto" w:before="114" w:after="0"/>
        <w:ind w:left="2357" w:right="0" w:hanging="282"/>
        <w:jc w:val="left"/>
        <w:rPr>
          <w:sz w:val="20"/>
        </w:rPr>
      </w:pPr>
      <w:r>
        <w:rPr>
          <w:sz w:val="20"/>
        </w:rPr>
        <w:t>Conventions Statement &amp; Summary of Responses to Discussion</w:t>
      </w:r>
      <w:r>
        <w:rPr>
          <w:spacing w:val="-8"/>
          <w:sz w:val="20"/>
        </w:rPr>
        <w:t> </w:t>
      </w:r>
      <w:r>
        <w:rPr>
          <w:sz w:val="20"/>
        </w:rPr>
        <w:t>Paper</w:t>
      </w:r>
    </w:p>
    <w:p>
      <w:pPr>
        <w:pStyle w:val="ListParagraph"/>
        <w:numPr>
          <w:ilvl w:val="2"/>
          <w:numId w:val="1"/>
        </w:numPr>
        <w:tabs>
          <w:tab w:pos="2358" w:val="left" w:leader="none"/>
        </w:tabs>
        <w:spacing w:line="240" w:lineRule="auto" w:before="116" w:after="0"/>
        <w:ind w:left="2357" w:right="0" w:hanging="325"/>
        <w:jc w:val="left"/>
        <w:rPr>
          <w:sz w:val="20"/>
        </w:rPr>
      </w:pPr>
      <w:r>
        <w:rPr>
          <w:sz w:val="20"/>
        </w:rPr>
        <w:t>Working Paper on Loans</w:t>
      </w:r>
      <w:r>
        <w:rPr>
          <w:spacing w:val="1"/>
          <w:sz w:val="20"/>
        </w:rPr>
        <w:t> </w:t>
      </w:r>
      <w:r>
        <w:rPr>
          <w:sz w:val="20"/>
        </w:rPr>
        <w:t>Processing</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Updates from Sub-groups and Task</w:t>
      </w:r>
      <w:r>
        <w:rPr>
          <w:spacing w:val="5"/>
          <w:sz w:val="20"/>
        </w:rPr>
        <w:t> </w:t>
      </w:r>
      <w:r>
        <w:rPr>
          <w:sz w:val="20"/>
        </w:rPr>
        <w:t>Forces</w:t>
      </w:r>
    </w:p>
    <w:p>
      <w:pPr>
        <w:pStyle w:val="ListParagraph"/>
        <w:numPr>
          <w:ilvl w:val="0"/>
          <w:numId w:val="1"/>
        </w:numPr>
        <w:tabs>
          <w:tab w:pos="918" w:val="left" w:leader="none"/>
        </w:tabs>
        <w:spacing w:line="240" w:lineRule="auto" w:before="116" w:after="0"/>
        <w:ind w:left="917" w:right="0" w:hanging="361"/>
        <w:jc w:val="left"/>
        <w:rPr>
          <w:sz w:val="20"/>
        </w:rPr>
      </w:pPr>
      <w:r>
        <w:rPr>
          <w:sz w:val="20"/>
        </w:rPr>
        <w:t>AOB</w:t>
      </w:r>
    </w:p>
    <w:p>
      <w:pPr>
        <w:pStyle w:val="BodyText"/>
        <w:spacing w:before="1"/>
      </w:pPr>
    </w:p>
    <w:p>
      <w:pPr>
        <w:pStyle w:val="Heading2"/>
        <w:jc w:val="left"/>
      </w:pPr>
      <w:r>
        <w:rPr/>
        <w:t>Standing Items</w:t>
      </w:r>
    </w:p>
    <w:p>
      <w:pPr>
        <w:pStyle w:val="BodyText"/>
        <w:spacing w:before="8"/>
        <w:rPr>
          <w:b/>
        </w:rPr>
      </w:pPr>
    </w:p>
    <w:p>
      <w:pPr>
        <w:pStyle w:val="ListParagraph"/>
        <w:numPr>
          <w:ilvl w:val="0"/>
          <w:numId w:val="2"/>
        </w:numPr>
        <w:tabs>
          <w:tab w:pos="558" w:val="left" w:leader="none"/>
        </w:tabs>
        <w:spacing w:line="360" w:lineRule="auto" w:before="0" w:after="0"/>
        <w:ind w:left="557" w:right="114" w:hanging="360"/>
        <w:jc w:val="both"/>
        <w:rPr>
          <w:sz w:val="20"/>
        </w:rPr>
      </w:pPr>
      <w:r>
        <w:rPr>
          <w:sz w:val="20"/>
        </w:rPr>
        <w:t>The Chair welcomed attendees. The Working Group’s General Counsel (Greg Olsen), reminded firms of their competition law responsibilities in the context of the Sterling Risk Free Reference Rate Working Group (Working Group)</w:t>
      </w:r>
      <w:r>
        <w:rPr>
          <w:spacing w:val="-4"/>
          <w:sz w:val="20"/>
        </w:rPr>
        <w:t> </w:t>
      </w:r>
      <w:r>
        <w:rPr>
          <w:sz w:val="20"/>
        </w:rPr>
        <w:t>meeting.</w:t>
      </w:r>
    </w:p>
    <w:p>
      <w:pPr>
        <w:pStyle w:val="ListParagraph"/>
        <w:numPr>
          <w:ilvl w:val="0"/>
          <w:numId w:val="2"/>
        </w:numPr>
        <w:tabs>
          <w:tab w:pos="558" w:val="left" w:leader="none"/>
        </w:tabs>
        <w:spacing w:line="360" w:lineRule="auto" w:before="119" w:after="0"/>
        <w:ind w:left="557" w:right="112" w:hanging="360"/>
        <w:jc w:val="both"/>
        <w:rPr>
          <w:sz w:val="20"/>
        </w:rPr>
      </w:pPr>
      <w:r>
        <w:rPr>
          <w:sz w:val="20"/>
        </w:rPr>
        <w:t>There were no comments on the draft July Working Group minutes, and the Chair asked firms to direct any further comments to the</w:t>
      </w:r>
      <w:r>
        <w:rPr>
          <w:spacing w:val="-8"/>
          <w:sz w:val="20"/>
        </w:rPr>
        <w:t> </w:t>
      </w:r>
      <w:r>
        <w:rPr>
          <w:sz w:val="20"/>
        </w:rPr>
        <w:t>Secretariat.</w:t>
      </w:r>
    </w:p>
    <w:p>
      <w:pPr>
        <w:pStyle w:val="Heading2"/>
        <w:spacing w:before="120"/>
      </w:pPr>
      <w:r>
        <w:rPr/>
        <w:t>Term Rate Provider Presentation</w:t>
      </w:r>
    </w:p>
    <w:p>
      <w:pPr>
        <w:pStyle w:val="BodyText"/>
        <w:spacing w:before="5"/>
        <w:rPr>
          <w:b/>
        </w:rPr>
      </w:pPr>
    </w:p>
    <w:p>
      <w:pPr>
        <w:pStyle w:val="ListParagraph"/>
        <w:numPr>
          <w:ilvl w:val="0"/>
          <w:numId w:val="2"/>
        </w:numPr>
        <w:tabs>
          <w:tab w:pos="558" w:val="left" w:leader="none"/>
        </w:tabs>
        <w:spacing w:line="360" w:lineRule="auto" w:before="0" w:after="0"/>
        <w:ind w:left="557" w:right="108" w:hanging="360"/>
        <w:jc w:val="both"/>
        <w:rPr>
          <w:sz w:val="20"/>
        </w:rPr>
      </w:pPr>
      <w:r>
        <w:rPr>
          <w:sz w:val="20"/>
        </w:rPr>
        <w:t>In May, the Working Group invited three potential term rate providers to present their work.</w:t>
      </w:r>
      <w:r>
        <w:rPr>
          <w:position w:val="6"/>
          <w:sz w:val="13"/>
        </w:rPr>
        <w:t>1 </w:t>
      </w:r>
      <w:r>
        <w:rPr>
          <w:sz w:val="20"/>
        </w:rPr>
        <w:t>Following this, a further potential provider – IHS Markit – had expressed interest to develop a sterling risk-free rate term benchmark known as a Term SONIA Reference Rate (TSRR).</w:t>
      </w:r>
      <w:r>
        <w:rPr>
          <w:spacing w:val="12"/>
          <w:sz w:val="20"/>
        </w:rPr>
        <w:t> </w:t>
      </w:r>
      <w:r>
        <w:rPr>
          <w:sz w:val="20"/>
        </w:rPr>
        <w:t>As the Working Group</w:t>
      </w:r>
    </w:p>
    <w:p>
      <w:pPr>
        <w:pStyle w:val="BodyText"/>
        <w:spacing w:before="10"/>
        <w:rPr>
          <w:sz w:val="22"/>
        </w:rPr>
      </w:pPr>
      <w:r>
        <w:rPr/>
        <w:pict>
          <v:shape style="position:absolute;margin-left:63.863998pt;margin-top:15.506308pt;width:144.050pt;height:.1pt;mso-position-horizontal-relative:page;mso-position-vertical-relative:paragraph;z-index:-251658240;mso-wrap-distance-left:0;mso-wrap-distance-right:0" coordorigin="1277,310" coordsize="2881,0" path="m1277,310l4158,310e" filled="false" stroked="true" strokeweight=".72003pt" strokecolor="#000000">
            <v:path arrowok="t"/>
            <v:stroke dashstyle="solid"/>
            <w10:wrap type="topAndBottom"/>
          </v:shape>
        </w:pict>
      </w:r>
    </w:p>
    <w:p>
      <w:pPr>
        <w:pStyle w:val="BodyText"/>
        <w:spacing w:before="70"/>
        <w:ind w:left="197" w:right="2867"/>
      </w:pPr>
      <w:r>
        <w:rPr>
          <w:position w:val="6"/>
          <w:sz w:val="13"/>
        </w:rPr>
        <w:t>1 </w:t>
      </w:r>
      <w:r>
        <w:rPr/>
        <w:t>The Working Group met with three potential TSRR providers in May 2019 - </w:t>
      </w:r>
      <w:hyperlink r:id="rId6">
        <w:r>
          <w:rPr>
            <w:color w:val="0000FF"/>
            <w:u w:val="single" w:color="0000FF"/>
          </w:rPr>
          <w:t>https://www.bankofengland.co.uk/minutes/2019/rfr-may-2019</w:t>
        </w:r>
      </w:hyperlink>
    </w:p>
    <w:p>
      <w:pPr>
        <w:spacing w:after="0"/>
        <w:sectPr>
          <w:footerReference w:type="default" r:id="rId5"/>
          <w:type w:val="continuous"/>
          <w:pgSz w:w="11910" w:h="16840"/>
          <w:pgMar w:footer="717" w:top="720" w:bottom="900" w:left="1080" w:right="1020"/>
        </w:sectPr>
      </w:pPr>
    </w:p>
    <w:p>
      <w:pPr>
        <w:pStyle w:val="BodyText"/>
        <w:spacing w:line="360" w:lineRule="auto" w:before="78"/>
        <w:ind w:left="557" w:right="110"/>
        <w:jc w:val="both"/>
      </w:pPr>
      <w:r>
        <w:rPr/>
        <w:t>continues to be supportive of the development of a TSRR, the provider was invited to present their work and have their presentation made publically available on the Working Group’s website</w:t>
      </w:r>
      <w:r>
        <w:rPr>
          <w:position w:val="6"/>
          <w:sz w:val="13"/>
        </w:rPr>
        <w:t>2 </w:t>
      </w:r>
      <w:r>
        <w:rPr/>
        <w:t>– consistent with those that presented to the Working Group in</w:t>
      </w:r>
      <w:r>
        <w:rPr>
          <w:spacing w:val="-6"/>
        </w:rPr>
        <w:t> </w:t>
      </w:r>
      <w:r>
        <w:rPr/>
        <w:t>May.</w:t>
      </w:r>
    </w:p>
    <w:p>
      <w:pPr>
        <w:pStyle w:val="ListParagraph"/>
        <w:numPr>
          <w:ilvl w:val="0"/>
          <w:numId w:val="2"/>
        </w:numPr>
        <w:tabs>
          <w:tab w:pos="558" w:val="left" w:leader="none"/>
        </w:tabs>
        <w:spacing w:line="360" w:lineRule="auto" w:before="120" w:after="0"/>
        <w:ind w:left="557" w:right="112" w:hanging="360"/>
        <w:jc w:val="both"/>
        <w:rPr>
          <w:sz w:val="20"/>
        </w:rPr>
      </w:pPr>
      <w:r>
        <w:rPr>
          <w:sz w:val="20"/>
        </w:rPr>
        <w:t>Working Group members were reminded that the presentation was an opportunity for the interested provider to present to an informed audience and seek comments, but that the Working Group would  not be determining a preferred provider. Members were asked to recuse themselves from the room where any potential conflict of interest may arise with the provider. The benchmark provider was reminded of competition law requirements prior to the</w:t>
      </w:r>
      <w:r>
        <w:rPr>
          <w:spacing w:val="-3"/>
          <w:sz w:val="20"/>
        </w:rPr>
        <w:t> </w:t>
      </w:r>
      <w:r>
        <w:rPr>
          <w:sz w:val="20"/>
        </w:rPr>
        <w:t>presentation.</w:t>
      </w:r>
    </w:p>
    <w:p>
      <w:pPr>
        <w:pStyle w:val="ListParagraph"/>
        <w:numPr>
          <w:ilvl w:val="0"/>
          <w:numId w:val="2"/>
        </w:numPr>
        <w:tabs>
          <w:tab w:pos="558" w:val="left" w:leader="none"/>
        </w:tabs>
        <w:spacing w:line="240" w:lineRule="auto" w:before="118" w:after="0"/>
        <w:ind w:left="557" w:right="0" w:hanging="361"/>
        <w:jc w:val="left"/>
        <w:rPr>
          <w:i/>
          <w:sz w:val="20"/>
        </w:rPr>
      </w:pPr>
      <w:r>
        <w:rPr>
          <w:i/>
          <w:sz w:val="20"/>
        </w:rPr>
        <w:t>IHS Markit</w:t>
      </w:r>
    </w:p>
    <w:p>
      <w:pPr>
        <w:pStyle w:val="BodyText"/>
        <w:spacing w:before="5"/>
        <w:rPr>
          <w:i/>
        </w:rPr>
      </w:pPr>
    </w:p>
    <w:p>
      <w:pPr>
        <w:pStyle w:val="ListParagraph"/>
        <w:numPr>
          <w:ilvl w:val="0"/>
          <w:numId w:val="2"/>
        </w:numPr>
        <w:tabs>
          <w:tab w:pos="558" w:val="left" w:leader="none"/>
        </w:tabs>
        <w:spacing w:line="360" w:lineRule="auto" w:before="1" w:after="0"/>
        <w:ind w:left="557" w:right="110" w:hanging="360"/>
        <w:jc w:val="both"/>
        <w:rPr>
          <w:sz w:val="20"/>
        </w:rPr>
      </w:pPr>
      <w:r>
        <w:rPr>
          <w:sz w:val="20"/>
        </w:rPr>
        <w:t>IHS Markit’s presentation was delivered by Marcus Schüler, Head of Benchmark Administration. The provider’s term risk-free rate development work for the Australian dollar was being expanded to pound sterling and other currencies. IHS Markit is an FCA authorised Benchmark Administrator and prepares for administration of TSRRs as EU Critical Benchmarks in early-2020. It had a clear preference for using transaction data where possible but recognised sufficient RFR liquidity needed to continue to be developed. As a result, a waterfall approach had been established to support the robustness of term rate</w:t>
      </w:r>
      <w:r>
        <w:rPr>
          <w:spacing w:val="-3"/>
          <w:sz w:val="20"/>
        </w:rPr>
        <w:t> </w:t>
      </w:r>
      <w:r>
        <w:rPr>
          <w:sz w:val="20"/>
        </w:rPr>
        <w:t>calculations.</w:t>
      </w:r>
    </w:p>
    <w:p>
      <w:pPr>
        <w:pStyle w:val="BodyText"/>
        <w:spacing w:line="360" w:lineRule="auto" w:before="120"/>
        <w:ind w:left="557" w:right="109"/>
        <w:jc w:val="both"/>
      </w:pPr>
      <w:r>
        <w:rPr/>
        <w:t>In its methodology a TSRR curve would be constructed from both spot starting and forward starting OIS transactions as well as futures prices, over a 24 hour period. In most cases a hybrid approach using the OIS and futures data would be used, with OIS transactions as the starting point. OIS data would be sought from cleared transactions across a variety of trade execution methods (on-platform and OTC) meeting a minimum notional amount. The end-of-day base population of data would be validated and tested against the waterfall approach. The term structure would be calculated and published the following day. In the event of insufficient data, it was noted that a waterfall of fallbacks were present and this included previous days’ prices at the lower end of the waterfall. A compounded SONIA rate would act as the ultimate</w:t>
      </w:r>
      <w:r>
        <w:rPr>
          <w:spacing w:val="-3"/>
        </w:rPr>
        <w:t> </w:t>
      </w:r>
      <w:r>
        <w:rPr/>
        <w:t>fallback.</w:t>
      </w:r>
    </w:p>
    <w:p>
      <w:pPr>
        <w:pStyle w:val="Heading2"/>
        <w:spacing w:before="119"/>
      </w:pPr>
      <w:r>
        <w:rPr/>
        <w:t>Update on OIS quote streaming discussions</w:t>
      </w:r>
    </w:p>
    <w:p>
      <w:pPr>
        <w:pStyle w:val="BodyText"/>
        <w:spacing w:before="7"/>
        <w:rPr>
          <w:b/>
        </w:rPr>
      </w:pPr>
    </w:p>
    <w:p>
      <w:pPr>
        <w:pStyle w:val="ListParagraph"/>
        <w:numPr>
          <w:ilvl w:val="0"/>
          <w:numId w:val="2"/>
        </w:numPr>
        <w:tabs>
          <w:tab w:pos="558" w:val="left" w:leader="none"/>
        </w:tabs>
        <w:spacing w:line="360" w:lineRule="auto" w:before="1" w:after="0"/>
        <w:ind w:left="557" w:right="109" w:hanging="360"/>
        <w:jc w:val="both"/>
        <w:rPr>
          <w:sz w:val="20"/>
        </w:rPr>
      </w:pPr>
      <w:r>
        <w:rPr>
          <w:sz w:val="20"/>
        </w:rPr>
        <w:t>The FCA reminded members that compounded overnight rates were expected to be used for most new business, with the TSRR intended to play a role only in a limited range of cash markets and fallbacks for legacy products. 15 major market makers in SONIA OIS  had been engaged on a bilateral basis  and collectively in July with broad support for streaming executable OIS quotes. Some had noted concerns that early availability of a TSRR might inhibit adoption of compounded SONIA as the primary market standard, and there was a preference for a testing period for firms to establish sufficient comfort in their ability to stream prices consistently. Both the Bank of England and the FCA were therefore supportive of planning for a period of ‘beta testing’ beginning from the Working Group’s Q1 2020 target</w:t>
      </w:r>
      <w:r>
        <w:rPr>
          <w:position w:val="6"/>
          <w:sz w:val="13"/>
        </w:rPr>
        <w:t>3</w:t>
      </w:r>
      <w:r>
        <w:rPr>
          <w:sz w:val="20"/>
        </w:rPr>
        <w:t>, with the date for full go-live kept under</w:t>
      </w:r>
      <w:r>
        <w:rPr>
          <w:spacing w:val="-8"/>
          <w:sz w:val="20"/>
        </w:rPr>
        <w:t> </w:t>
      </w:r>
      <w:r>
        <w:rPr>
          <w:sz w:val="20"/>
        </w:rPr>
        <w:t>review.</w:t>
      </w:r>
    </w:p>
    <w:p>
      <w:pPr>
        <w:pStyle w:val="BodyText"/>
      </w:pPr>
    </w:p>
    <w:p>
      <w:pPr>
        <w:pStyle w:val="BodyText"/>
      </w:pPr>
    </w:p>
    <w:p>
      <w:pPr>
        <w:pStyle w:val="BodyText"/>
        <w:spacing w:before="7"/>
        <w:rPr>
          <w:sz w:val="28"/>
        </w:rPr>
      </w:pPr>
    </w:p>
    <w:p>
      <w:pPr>
        <w:pStyle w:val="BodyText"/>
        <w:spacing w:before="87"/>
        <w:ind w:left="197"/>
      </w:pPr>
      <w:r>
        <w:rPr>
          <w:rFonts w:ascii="Calibri"/>
          <w:position w:val="7"/>
          <w:sz w:val="13"/>
        </w:rPr>
        <w:t>2 </w:t>
      </w:r>
      <w:hyperlink r:id="rId8">
        <w:r>
          <w:rPr>
            <w:color w:val="0000FF"/>
            <w:u w:val="single" w:color="0000FF"/>
          </w:rPr>
          <w:t>https://www.bankofengland.co.uk/markets/transition-to-sterling-risk-free-rates-from-libor</w:t>
        </w:r>
        <w:r>
          <w:rPr/>
          <w:t>.</w:t>
        </w:r>
      </w:hyperlink>
    </w:p>
    <w:p>
      <w:pPr>
        <w:pStyle w:val="BodyText"/>
        <w:spacing w:before="6"/>
        <w:ind w:left="197"/>
      </w:pPr>
      <w:r>
        <w:rPr>
          <w:rFonts w:ascii="Calibri" w:hAnsi="Calibri"/>
          <w:position w:val="7"/>
          <w:sz w:val="13"/>
        </w:rPr>
        <w:t>3 </w:t>
      </w:r>
      <w:r>
        <w:rPr/>
        <w:t>Found in the Working Group’s Roadmap </w:t>
      </w:r>
      <w:hyperlink r:id="rId9">
        <w:r>
          <w:rPr>
            <w:color w:val="0000FF"/>
            <w:u w:val="single" w:color="0000FF"/>
          </w:rPr>
          <w:t>here</w:t>
        </w:r>
        <w:r>
          <w:rPr/>
          <w:t>.</w:t>
        </w:r>
      </w:hyperlink>
    </w:p>
    <w:p>
      <w:pPr>
        <w:spacing w:after="0"/>
        <w:sectPr>
          <w:footerReference w:type="default" r:id="rId7"/>
          <w:pgSz w:w="11910" w:h="16840"/>
          <w:pgMar w:footer="1133" w:header="0" w:top="1180" w:bottom="1320" w:left="1080" w:right="1020"/>
        </w:sectPr>
      </w:pPr>
    </w:p>
    <w:p>
      <w:pPr>
        <w:pStyle w:val="ListParagraph"/>
        <w:numPr>
          <w:ilvl w:val="0"/>
          <w:numId w:val="2"/>
        </w:numPr>
        <w:tabs>
          <w:tab w:pos="558" w:val="left" w:leader="none"/>
        </w:tabs>
        <w:spacing w:line="360" w:lineRule="auto" w:before="78" w:after="0"/>
        <w:ind w:left="557" w:right="111" w:hanging="360"/>
        <w:jc w:val="both"/>
        <w:rPr>
          <w:sz w:val="20"/>
        </w:rPr>
      </w:pPr>
      <w:r>
        <w:rPr>
          <w:sz w:val="20"/>
        </w:rPr>
        <w:t>One member queried whether market makers would be obliged to stream OIS quotes. The FCA confirmed there was no requirement, but a critical mass of liquidity providers had agreed to take part. The Bank of England noted that this was a business decision for the market makers</w:t>
      </w:r>
      <w:r>
        <w:rPr>
          <w:spacing w:val="-4"/>
          <w:sz w:val="20"/>
        </w:rPr>
        <w:t> </w:t>
      </w:r>
      <w:r>
        <w:rPr>
          <w:sz w:val="20"/>
        </w:rPr>
        <w:t>involved.</w:t>
      </w:r>
    </w:p>
    <w:p>
      <w:pPr>
        <w:pStyle w:val="ListParagraph"/>
        <w:numPr>
          <w:ilvl w:val="0"/>
          <w:numId w:val="2"/>
        </w:numPr>
        <w:tabs>
          <w:tab w:pos="558" w:val="left" w:leader="none"/>
        </w:tabs>
        <w:spacing w:line="360" w:lineRule="auto" w:before="120" w:after="0"/>
        <w:ind w:left="557" w:right="118" w:hanging="360"/>
        <w:jc w:val="both"/>
        <w:rPr>
          <w:sz w:val="20"/>
        </w:rPr>
      </w:pPr>
      <w:r>
        <w:rPr>
          <w:sz w:val="20"/>
        </w:rPr>
        <w:t>The Term Rate Use Case Task Force had separately received updates from those providers previously confirmed to be developing TSRRs. Expected build times had varied, but the primary outstanding input required was the availability of pricing data as discussed</w:t>
      </w:r>
      <w:r>
        <w:rPr>
          <w:spacing w:val="2"/>
          <w:sz w:val="20"/>
        </w:rPr>
        <w:t> </w:t>
      </w:r>
      <w:r>
        <w:rPr>
          <w:sz w:val="20"/>
        </w:rPr>
        <w:t>above.</w:t>
      </w:r>
    </w:p>
    <w:p>
      <w:pPr>
        <w:pStyle w:val="Heading2"/>
        <w:spacing w:before="119"/>
      </w:pPr>
      <w:r>
        <w:rPr/>
        <w:t>Working Group priorities</w:t>
      </w:r>
    </w:p>
    <w:p>
      <w:pPr>
        <w:pStyle w:val="BodyText"/>
        <w:spacing w:before="6"/>
        <w:rPr>
          <w:b/>
        </w:rPr>
      </w:pPr>
    </w:p>
    <w:p>
      <w:pPr>
        <w:pStyle w:val="ListParagraph"/>
        <w:numPr>
          <w:ilvl w:val="0"/>
          <w:numId w:val="2"/>
        </w:numPr>
        <w:tabs>
          <w:tab w:pos="558" w:val="left" w:leader="none"/>
        </w:tabs>
        <w:spacing w:line="360" w:lineRule="auto" w:before="0" w:after="0"/>
        <w:ind w:left="557" w:right="107" w:hanging="360"/>
        <w:jc w:val="both"/>
        <w:rPr>
          <w:sz w:val="20"/>
        </w:rPr>
      </w:pPr>
      <w:r>
        <w:rPr>
          <w:sz w:val="20"/>
        </w:rPr>
        <w:t>The Chair stated that priorities had been identified for the Working Group to progress over the next six months, and views were sought from members on how to take these forward. The priorities involved the encouragement of greater adoption of SONIA in cash markets and a further increase in volumes in SONIA derivatives. They also included the need to continue to support the design and adoption of robust fallbacks in contracts, momentum on TSRR development, and provide market input to identify issues around the expected ‘tough legacy’ of LIBOR stock where it may not be possible to change benchmark or insert fallbacks retrospectively.</w:t>
      </w:r>
      <w:r>
        <w:rPr>
          <w:position w:val="6"/>
          <w:sz w:val="13"/>
        </w:rPr>
        <w:t>4 </w:t>
      </w:r>
      <w:r>
        <w:rPr>
          <w:sz w:val="20"/>
        </w:rPr>
        <w:t>The Bank of England and the FCA also voiced support on the identified</w:t>
      </w:r>
      <w:r>
        <w:rPr>
          <w:spacing w:val="-2"/>
          <w:sz w:val="20"/>
        </w:rPr>
        <w:t> </w:t>
      </w:r>
      <w:r>
        <w:rPr>
          <w:sz w:val="20"/>
        </w:rPr>
        <w:t>priorities.</w:t>
      </w:r>
    </w:p>
    <w:p>
      <w:pPr>
        <w:pStyle w:val="ListParagraph"/>
        <w:numPr>
          <w:ilvl w:val="0"/>
          <w:numId w:val="2"/>
        </w:numPr>
        <w:tabs>
          <w:tab w:pos="558" w:val="left" w:leader="none"/>
        </w:tabs>
        <w:spacing w:line="360" w:lineRule="auto" w:before="121" w:after="0"/>
        <w:ind w:left="557" w:right="109" w:hanging="360"/>
        <w:jc w:val="both"/>
        <w:rPr>
          <w:sz w:val="20"/>
        </w:rPr>
      </w:pPr>
      <w:r>
        <w:rPr>
          <w:sz w:val="20"/>
        </w:rPr>
        <w:t>Following discussion among members, a number of new actions were agreed to support the priorities, including: developing an information factsheet for cash market end-users; educating and raising awareness for UK regional centres; more international coordination; and analysing how to develop SONIA liquidity in non-linear derivatives. The Chair and the Secretariat would review and update the Working Group’s plans accordingly based on such ideas. The Regulatory Dependencies Task Force would be repurposed to provide market input to help identify issues around the ‘tough legacy’, responding to a call from Andrew Bailey for more public debate around the potential outcomes for legacy contracts that prove unable to convert or be amended to include fallbacks. The objective would be to establish the expected extent of these issues and likely market outcomes in the event of LIBOR cessation, any particular factors which lead contracts to be less likely to be able to convert, and any potential mitigants suggested by market participants to address the risks identified. The Chair of the Task Force emphasised that most suggestions aired so far had clear limitations on their effectiveness or deliverability, so it would be important for the group to consider the full range of risks as well as benefits to any options identified, and for market participants to continue to make every effort to avoid the uncertainty associated with retaining legacy exposures beyond the end of 2021. Existing members of the task force and of the broader working group were invited to express interest in contributing to this work in order to form a small group with the relevant expertise, to deliver a near-term</w:t>
      </w:r>
      <w:r>
        <w:rPr>
          <w:spacing w:val="-6"/>
          <w:sz w:val="20"/>
        </w:rPr>
        <w:t> </w:t>
      </w:r>
      <w:r>
        <w:rPr>
          <w:sz w:val="20"/>
        </w:rPr>
        <w:t>output.</w:t>
      </w:r>
    </w:p>
    <w:p>
      <w:pPr>
        <w:pStyle w:val="ListParagraph"/>
        <w:numPr>
          <w:ilvl w:val="0"/>
          <w:numId w:val="2"/>
        </w:numPr>
        <w:tabs>
          <w:tab w:pos="558" w:val="left" w:leader="none"/>
        </w:tabs>
        <w:spacing w:line="362" w:lineRule="auto" w:before="119" w:after="0"/>
        <w:ind w:left="557" w:right="110" w:hanging="360"/>
        <w:jc w:val="both"/>
        <w:rPr>
          <w:sz w:val="20"/>
        </w:rPr>
      </w:pPr>
      <w:r>
        <w:rPr>
          <w:sz w:val="20"/>
        </w:rPr>
        <w:t>The representative for the Loan Markets Association noted that template documentation for compounded SONIA loan facilities would soon be made</w:t>
      </w:r>
      <w:r>
        <w:rPr>
          <w:spacing w:val="2"/>
          <w:sz w:val="20"/>
        </w:rPr>
        <w:t> </w:t>
      </w:r>
      <w:r>
        <w:rPr>
          <w:sz w:val="20"/>
        </w:rPr>
        <w:t>available.</w:t>
      </w:r>
    </w:p>
    <w:p>
      <w:pPr>
        <w:pStyle w:val="Heading2"/>
        <w:spacing w:before="117"/>
      </w:pPr>
      <w:r>
        <w:rPr/>
        <w:t>Update on ISDA consultation process</w:t>
      </w:r>
    </w:p>
    <w:p>
      <w:pPr>
        <w:pStyle w:val="BodyText"/>
        <w:spacing w:before="3"/>
        <w:rPr>
          <w:b/>
        </w:rPr>
      </w:pPr>
    </w:p>
    <w:p>
      <w:pPr>
        <w:pStyle w:val="ListParagraph"/>
        <w:numPr>
          <w:ilvl w:val="0"/>
          <w:numId w:val="2"/>
        </w:numPr>
        <w:tabs>
          <w:tab w:pos="558" w:val="left" w:leader="none"/>
        </w:tabs>
        <w:spacing w:line="360" w:lineRule="auto" w:before="0" w:after="0"/>
        <w:ind w:left="557" w:right="108" w:hanging="360"/>
        <w:jc w:val="both"/>
        <w:rPr>
          <w:sz w:val="20"/>
        </w:rPr>
      </w:pPr>
      <w:r>
        <w:rPr>
          <w:sz w:val="20"/>
        </w:rPr>
        <w:t>Rick Sandilands (ISDA) updated members on ISDA’s recent consultation on pre-cessation. This had received</w:t>
      </w:r>
      <w:r>
        <w:rPr>
          <w:spacing w:val="16"/>
          <w:sz w:val="20"/>
        </w:rPr>
        <w:t> </w:t>
      </w:r>
      <w:r>
        <w:rPr>
          <w:sz w:val="20"/>
        </w:rPr>
        <w:t>a</w:t>
      </w:r>
      <w:r>
        <w:rPr>
          <w:spacing w:val="19"/>
          <w:sz w:val="20"/>
        </w:rPr>
        <w:t> </w:t>
      </w:r>
      <w:r>
        <w:rPr>
          <w:sz w:val="20"/>
        </w:rPr>
        <w:t>good</w:t>
      </w:r>
      <w:r>
        <w:rPr>
          <w:spacing w:val="17"/>
          <w:sz w:val="20"/>
        </w:rPr>
        <w:t> </w:t>
      </w:r>
      <w:r>
        <w:rPr>
          <w:sz w:val="20"/>
        </w:rPr>
        <w:t>level</w:t>
      </w:r>
      <w:r>
        <w:rPr>
          <w:spacing w:val="16"/>
          <w:sz w:val="20"/>
        </w:rPr>
        <w:t> </w:t>
      </w:r>
      <w:r>
        <w:rPr>
          <w:sz w:val="20"/>
        </w:rPr>
        <w:t>of</w:t>
      </w:r>
      <w:r>
        <w:rPr>
          <w:spacing w:val="19"/>
          <w:sz w:val="20"/>
        </w:rPr>
        <w:t> </w:t>
      </w:r>
      <w:r>
        <w:rPr>
          <w:sz w:val="20"/>
        </w:rPr>
        <w:t>response</w:t>
      </w:r>
      <w:r>
        <w:rPr>
          <w:spacing w:val="17"/>
          <w:sz w:val="20"/>
        </w:rPr>
        <w:t> </w:t>
      </w:r>
      <w:r>
        <w:rPr>
          <w:sz w:val="20"/>
        </w:rPr>
        <w:t>and</w:t>
      </w:r>
      <w:r>
        <w:rPr>
          <w:spacing w:val="17"/>
          <w:sz w:val="20"/>
        </w:rPr>
        <w:t> </w:t>
      </w:r>
      <w:r>
        <w:rPr>
          <w:sz w:val="20"/>
        </w:rPr>
        <w:t>a</w:t>
      </w:r>
      <w:r>
        <w:rPr>
          <w:spacing w:val="18"/>
          <w:sz w:val="20"/>
        </w:rPr>
        <w:t> </w:t>
      </w:r>
      <w:r>
        <w:rPr>
          <w:sz w:val="20"/>
        </w:rPr>
        <w:t>high</w:t>
      </w:r>
      <w:r>
        <w:rPr>
          <w:spacing w:val="17"/>
          <w:sz w:val="20"/>
        </w:rPr>
        <w:t> </w:t>
      </w:r>
      <w:r>
        <w:rPr>
          <w:sz w:val="20"/>
        </w:rPr>
        <w:t>level</w:t>
      </w:r>
      <w:r>
        <w:rPr>
          <w:spacing w:val="16"/>
          <w:sz w:val="20"/>
        </w:rPr>
        <w:t> </w:t>
      </w:r>
      <w:r>
        <w:rPr>
          <w:sz w:val="20"/>
        </w:rPr>
        <w:t>statement</w:t>
      </w:r>
      <w:r>
        <w:rPr>
          <w:spacing w:val="17"/>
          <w:sz w:val="20"/>
        </w:rPr>
        <w:t> </w:t>
      </w:r>
      <w:r>
        <w:rPr>
          <w:sz w:val="20"/>
        </w:rPr>
        <w:t>of</w:t>
      </w:r>
      <w:r>
        <w:rPr>
          <w:spacing w:val="19"/>
          <w:sz w:val="20"/>
        </w:rPr>
        <w:t> </w:t>
      </w:r>
      <w:r>
        <w:rPr>
          <w:sz w:val="20"/>
        </w:rPr>
        <w:t>the</w:t>
      </w:r>
      <w:r>
        <w:rPr>
          <w:spacing w:val="16"/>
          <w:sz w:val="20"/>
        </w:rPr>
        <w:t> </w:t>
      </w:r>
      <w:r>
        <w:rPr>
          <w:sz w:val="20"/>
        </w:rPr>
        <w:t>results</w:t>
      </w:r>
      <w:r>
        <w:rPr>
          <w:spacing w:val="20"/>
          <w:sz w:val="20"/>
        </w:rPr>
        <w:t> </w:t>
      </w:r>
      <w:r>
        <w:rPr>
          <w:sz w:val="20"/>
        </w:rPr>
        <w:t>was</w:t>
      </w:r>
      <w:r>
        <w:rPr>
          <w:spacing w:val="21"/>
          <w:sz w:val="20"/>
        </w:rPr>
        <w:t> </w:t>
      </w:r>
      <w:r>
        <w:rPr>
          <w:sz w:val="20"/>
        </w:rPr>
        <w:t>available,</w:t>
      </w:r>
      <w:r>
        <w:rPr>
          <w:spacing w:val="19"/>
          <w:sz w:val="20"/>
        </w:rPr>
        <w:t> </w:t>
      </w:r>
      <w:r>
        <w:rPr>
          <w:sz w:val="20"/>
        </w:rPr>
        <w:t>with</w:t>
      </w:r>
      <w:r>
        <w:rPr>
          <w:spacing w:val="17"/>
          <w:sz w:val="20"/>
        </w:rPr>
        <w:t> </w:t>
      </w:r>
      <w:r>
        <w:rPr>
          <w:sz w:val="20"/>
        </w:rPr>
        <w:t>more</w:t>
      </w:r>
    </w:p>
    <w:p>
      <w:pPr>
        <w:pStyle w:val="BodyText"/>
        <w:spacing w:before="9"/>
        <w:rPr>
          <w:sz w:val="13"/>
        </w:rPr>
      </w:pPr>
      <w:r>
        <w:rPr/>
        <w:pict>
          <v:shape style="position:absolute;margin-left:63.863998pt;margin-top:10.301210pt;width:144.050pt;height:.1pt;mso-position-horizontal-relative:page;mso-position-vertical-relative:paragraph;z-index:-251656192;mso-wrap-distance-left:0;mso-wrap-distance-right:0" coordorigin="1277,206" coordsize="2881,0" path="m1277,206l4158,206e" filled="false" stroked="true" strokeweight=".71997pt" strokecolor="#000000">
            <v:path arrowok="t"/>
            <v:stroke dashstyle="solid"/>
            <w10:wrap type="topAndBottom"/>
          </v:shape>
        </w:pict>
      </w:r>
    </w:p>
    <w:p>
      <w:pPr>
        <w:pStyle w:val="BodyText"/>
        <w:spacing w:before="67"/>
        <w:ind w:left="197"/>
        <w:rPr>
          <w:rFonts w:ascii="Calibri" w:hAnsi="Calibri"/>
        </w:rPr>
      </w:pPr>
      <w:r>
        <w:rPr>
          <w:rFonts w:ascii="Calibri" w:hAnsi="Calibri"/>
          <w:position w:val="7"/>
          <w:sz w:val="13"/>
        </w:rPr>
        <w:t>4 </w:t>
      </w:r>
      <w:r>
        <w:rPr>
          <w:rFonts w:ascii="Calibri" w:hAnsi="Calibri"/>
        </w:rPr>
        <w:t>The FCA’s Andrew Bailey described this as ‘tough legacy’ in a July 2019 speech found </w:t>
      </w:r>
      <w:hyperlink r:id="rId11">
        <w:r>
          <w:rPr>
            <w:rFonts w:ascii="Calibri" w:hAnsi="Calibri"/>
            <w:color w:val="0000FF"/>
            <w:u w:val="single" w:color="0000FF"/>
          </w:rPr>
          <w:t>here</w:t>
        </w:r>
        <w:r>
          <w:rPr>
            <w:rFonts w:ascii="Calibri" w:hAnsi="Calibri"/>
          </w:rPr>
          <w:t>.</w:t>
        </w:r>
      </w:hyperlink>
    </w:p>
    <w:p>
      <w:pPr>
        <w:spacing w:after="0"/>
        <w:rPr>
          <w:rFonts w:ascii="Calibri" w:hAnsi="Calibri"/>
        </w:rPr>
        <w:sectPr>
          <w:footerReference w:type="default" r:id="rId10"/>
          <w:pgSz w:w="11910" w:h="16840"/>
          <w:pgMar w:footer="717" w:header="0" w:top="1180" w:bottom="900" w:left="1080" w:right="1020"/>
          <w:pgNumType w:start="3"/>
        </w:sectPr>
      </w:pPr>
    </w:p>
    <w:p>
      <w:pPr>
        <w:pStyle w:val="BodyText"/>
        <w:spacing w:line="360" w:lineRule="auto" w:before="78"/>
        <w:ind w:left="557" w:right="115"/>
        <w:jc w:val="both"/>
      </w:pPr>
      <w:r>
        <w:rPr/>
        <w:t>detailed results published in September. A further consultation on parameterisation of the credit adjustment spread would be issued soon, with amended ISDA definitions incorporating the consultation results expected to be made available by year-end.</w:t>
      </w:r>
    </w:p>
    <w:p>
      <w:pPr>
        <w:pStyle w:val="Heading2"/>
        <w:spacing w:before="117"/>
      </w:pPr>
      <w:r>
        <w:rPr/>
        <w:t>Update on progress and recent developments</w:t>
      </w:r>
    </w:p>
    <w:p>
      <w:pPr>
        <w:pStyle w:val="BodyText"/>
        <w:spacing w:before="8"/>
        <w:rPr>
          <w:b/>
        </w:rPr>
      </w:pPr>
    </w:p>
    <w:p>
      <w:pPr>
        <w:pStyle w:val="ListParagraph"/>
        <w:numPr>
          <w:ilvl w:val="0"/>
          <w:numId w:val="2"/>
        </w:numPr>
        <w:tabs>
          <w:tab w:pos="558" w:val="left" w:leader="none"/>
        </w:tabs>
        <w:spacing w:line="360" w:lineRule="auto" w:before="0" w:after="0"/>
        <w:ind w:left="557" w:right="111" w:hanging="360"/>
        <w:jc w:val="both"/>
        <w:rPr>
          <w:sz w:val="20"/>
        </w:rPr>
      </w:pPr>
      <w:r>
        <w:rPr>
          <w:sz w:val="20"/>
        </w:rPr>
        <w:t>The Chair noted that the following outputs from the Working Group were published in August:</w:t>
      </w:r>
      <w:hyperlink r:id="rId12">
        <w:r>
          <w:rPr>
            <w:color w:val="0000FF"/>
            <w:sz w:val="20"/>
            <w:u w:val="single" w:color="0000FF"/>
          </w:rPr>
          <w:t> Statement from the Working Group and Summary of Responses to Discussion Paper on Conventions</w:t>
        </w:r>
      </w:hyperlink>
      <w:hyperlink r:id="rId12">
        <w:r>
          <w:rPr>
            <w:color w:val="0000FF"/>
            <w:sz w:val="20"/>
            <w:u w:val="single" w:color="0000FF"/>
          </w:rPr>
          <w:t> for referencing SONIA in new contracts</w:t>
        </w:r>
      </w:hyperlink>
      <w:r>
        <w:rPr>
          <w:color w:val="0000FF"/>
          <w:sz w:val="20"/>
        </w:rPr>
        <w:t> </w:t>
      </w:r>
      <w:r>
        <w:rPr>
          <w:sz w:val="20"/>
        </w:rPr>
        <w:t>and</w:t>
      </w:r>
      <w:hyperlink r:id="rId13">
        <w:r>
          <w:rPr>
            <w:color w:val="0000FF"/>
            <w:sz w:val="20"/>
          </w:rPr>
          <w:t> </w:t>
        </w:r>
        <w:r>
          <w:rPr>
            <w:color w:val="0000FF"/>
            <w:sz w:val="20"/>
            <w:u w:val="single" w:color="0000FF"/>
          </w:rPr>
          <w:t>Working Paper on Loans Processing</w:t>
        </w:r>
        <w:r>
          <w:rPr>
            <w:sz w:val="20"/>
          </w:rPr>
          <w:t>.</w:t>
        </w:r>
      </w:hyperlink>
      <w:r>
        <w:rPr>
          <w:sz w:val="20"/>
        </w:rPr>
        <w:t> A</w:t>
      </w:r>
      <w:hyperlink r:id="rId14">
        <w:r>
          <w:rPr>
            <w:color w:val="0000FF"/>
            <w:sz w:val="20"/>
          </w:rPr>
          <w:t> </w:t>
        </w:r>
        <w:r>
          <w:rPr>
            <w:color w:val="0000FF"/>
            <w:sz w:val="20"/>
            <w:u w:val="single" w:color="0000FF"/>
          </w:rPr>
          <w:t>Letter to the</w:t>
        </w:r>
      </w:hyperlink>
      <w:hyperlink r:id="rId14">
        <w:r>
          <w:rPr>
            <w:color w:val="0000FF"/>
            <w:sz w:val="20"/>
            <w:u w:val="single" w:color="0000FF"/>
          </w:rPr>
          <w:t> European Insurance and Occupational Pensions Authority</w:t>
        </w:r>
        <w:r>
          <w:rPr>
            <w:color w:val="0000FF"/>
            <w:sz w:val="20"/>
          </w:rPr>
          <w:t> </w:t>
        </w:r>
      </w:hyperlink>
      <w:r>
        <w:rPr>
          <w:sz w:val="20"/>
        </w:rPr>
        <w:t>was published in</w:t>
      </w:r>
      <w:r>
        <w:rPr>
          <w:spacing w:val="-6"/>
          <w:sz w:val="20"/>
        </w:rPr>
        <w:t> </w:t>
      </w:r>
      <w:r>
        <w:rPr>
          <w:sz w:val="20"/>
        </w:rPr>
        <w:t>July.</w:t>
      </w:r>
    </w:p>
    <w:p>
      <w:pPr>
        <w:pStyle w:val="ListParagraph"/>
        <w:numPr>
          <w:ilvl w:val="0"/>
          <w:numId w:val="2"/>
        </w:numPr>
        <w:tabs>
          <w:tab w:pos="555" w:val="left" w:leader="none"/>
        </w:tabs>
        <w:spacing w:line="360" w:lineRule="auto" w:before="120" w:after="0"/>
        <w:ind w:left="554" w:right="110" w:hanging="358"/>
        <w:jc w:val="both"/>
        <w:rPr>
          <w:sz w:val="20"/>
        </w:rPr>
      </w:pPr>
      <w:r>
        <w:rPr>
          <w:sz w:val="20"/>
        </w:rPr>
        <w:t>Working Group members were updated on progress of the upcoming paper on TSRR use cases, the consultation paper on the credit adjustment spread, and the production of letters to highlight a range of regulatory, conduct and prudential barriers to LIBOR transition to the relevant</w:t>
      </w:r>
      <w:r>
        <w:rPr>
          <w:spacing w:val="37"/>
          <w:sz w:val="20"/>
        </w:rPr>
        <w:t> </w:t>
      </w:r>
      <w:r>
        <w:rPr>
          <w:sz w:val="20"/>
        </w:rPr>
        <w:t>authorities.</w:t>
      </w:r>
    </w:p>
    <w:p>
      <w:pPr>
        <w:spacing w:after="0" w:line="360" w:lineRule="auto"/>
        <w:jc w:val="both"/>
        <w:rPr>
          <w:sz w:val="20"/>
        </w:rPr>
        <w:sectPr>
          <w:pgSz w:w="11910" w:h="16840"/>
          <w:pgMar w:header="0" w:footer="717" w:top="1180" w:bottom="900" w:left="1080" w:right="1020"/>
        </w:sectPr>
      </w:pPr>
    </w:p>
    <w:p>
      <w:pPr>
        <w:pStyle w:val="Heading2"/>
        <w:spacing w:before="64"/>
        <w:jc w:val="left"/>
      </w:pPr>
      <w:r>
        <w:rPr/>
        <w:t>Private sector</w:t>
      </w:r>
      <w:r>
        <w:rPr>
          <w:spacing w:val="-11"/>
        </w:rPr>
        <w:t> </w:t>
      </w:r>
      <w:r>
        <w:rPr/>
        <w:t>attendees</w:t>
      </w:r>
    </w:p>
    <w:p>
      <w:pPr>
        <w:pStyle w:val="BodyText"/>
        <w:spacing w:before="4"/>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5421"/>
      </w:tblGrid>
      <w:tr>
        <w:trPr>
          <w:trHeight w:val="262" w:hRule="atLeast"/>
        </w:trPr>
        <w:tc>
          <w:tcPr>
            <w:tcW w:w="2914" w:type="dxa"/>
          </w:tcPr>
          <w:p>
            <w:pPr>
              <w:pStyle w:val="TableParagraph"/>
              <w:spacing w:line="225" w:lineRule="exact" w:before="0"/>
              <w:rPr>
                <w:sz w:val="20"/>
              </w:rPr>
            </w:pPr>
            <w:r>
              <w:rPr>
                <w:sz w:val="20"/>
              </w:rPr>
              <w:t>Tushar Morzaria</w:t>
            </w:r>
          </w:p>
        </w:tc>
        <w:tc>
          <w:tcPr>
            <w:tcW w:w="5421" w:type="dxa"/>
          </w:tcPr>
          <w:p>
            <w:pPr>
              <w:pStyle w:val="TableParagraph"/>
              <w:spacing w:line="223" w:lineRule="exact" w:before="0"/>
              <w:ind w:left="404"/>
              <w:rPr>
                <w:b/>
                <w:sz w:val="20"/>
              </w:rPr>
            </w:pPr>
            <w:r>
              <w:rPr>
                <w:b/>
                <w:sz w:val="20"/>
              </w:rPr>
              <w:t>Barclays (Chair)</w:t>
            </w:r>
          </w:p>
        </w:tc>
      </w:tr>
      <w:tr>
        <w:trPr>
          <w:trHeight w:val="300" w:hRule="atLeast"/>
        </w:trPr>
        <w:tc>
          <w:tcPr>
            <w:tcW w:w="2914" w:type="dxa"/>
          </w:tcPr>
          <w:p>
            <w:pPr>
              <w:pStyle w:val="TableParagraph"/>
              <w:spacing w:before="32"/>
              <w:rPr>
                <w:sz w:val="20"/>
              </w:rPr>
            </w:pPr>
            <w:r>
              <w:rPr>
                <w:sz w:val="20"/>
              </w:rPr>
              <w:t>Paul Mansour</w:t>
            </w:r>
          </w:p>
        </w:tc>
        <w:tc>
          <w:tcPr>
            <w:tcW w:w="5421"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3"/>
              <w:rPr>
                <w:sz w:val="20"/>
              </w:rPr>
            </w:pPr>
            <w:r>
              <w:rPr>
                <w:sz w:val="20"/>
              </w:rPr>
              <w:t>Andreas Giannopoulos</w:t>
            </w:r>
          </w:p>
        </w:tc>
        <w:tc>
          <w:tcPr>
            <w:tcW w:w="5421"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2"/>
              <w:rPr>
                <w:sz w:val="20"/>
              </w:rPr>
            </w:pPr>
            <w:r>
              <w:rPr>
                <w:sz w:val="20"/>
              </w:rPr>
              <w:t>Robert de Roeck</w:t>
            </w:r>
          </w:p>
        </w:tc>
        <w:tc>
          <w:tcPr>
            <w:tcW w:w="5421" w:type="dxa"/>
          </w:tcPr>
          <w:p>
            <w:pPr>
              <w:pStyle w:val="TableParagraph"/>
              <w:ind w:left="404"/>
              <w:rPr>
                <w:b/>
                <w:sz w:val="20"/>
              </w:rPr>
            </w:pPr>
            <w:r>
              <w:rPr>
                <w:b/>
                <w:sz w:val="20"/>
              </w:rPr>
              <w:t>Aberdeen Standard</w:t>
            </w:r>
          </w:p>
        </w:tc>
      </w:tr>
      <w:tr>
        <w:trPr>
          <w:trHeight w:val="300" w:hRule="atLeast"/>
        </w:trPr>
        <w:tc>
          <w:tcPr>
            <w:tcW w:w="2914" w:type="dxa"/>
          </w:tcPr>
          <w:p>
            <w:pPr>
              <w:pStyle w:val="TableParagraph"/>
              <w:spacing w:before="32"/>
              <w:rPr>
                <w:sz w:val="20"/>
              </w:rPr>
            </w:pPr>
            <w:r>
              <w:rPr>
                <w:sz w:val="20"/>
              </w:rPr>
              <w:t>Shaun Kennedy</w:t>
            </w:r>
          </w:p>
        </w:tc>
        <w:tc>
          <w:tcPr>
            <w:tcW w:w="5421" w:type="dxa"/>
          </w:tcPr>
          <w:p>
            <w:pPr>
              <w:pStyle w:val="TableParagraph"/>
              <w:ind w:left="404"/>
              <w:rPr>
                <w:b/>
                <w:sz w:val="20"/>
              </w:rPr>
            </w:pPr>
            <w:r>
              <w:rPr>
                <w:b/>
                <w:sz w:val="20"/>
              </w:rPr>
              <w:t>Associated British Ports</w:t>
            </w:r>
          </w:p>
        </w:tc>
      </w:tr>
      <w:tr>
        <w:trPr>
          <w:trHeight w:val="300" w:hRule="atLeast"/>
        </w:trPr>
        <w:tc>
          <w:tcPr>
            <w:tcW w:w="2914" w:type="dxa"/>
          </w:tcPr>
          <w:p>
            <w:pPr>
              <w:pStyle w:val="TableParagraph"/>
              <w:spacing w:before="32"/>
              <w:rPr>
                <w:sz w:val="20"/>
              </w:rPr>
            </w:pPr>
            <w:r>
              <w:rPr>
                <w:sz w:val="20"/>
              </w:rPr>
              <w:t>Sarah Boyce</w:t>
            </w:r>
          </w:p>
        </w:tc>
        <w:tc>
          <w:tcPr>
            <w:tcW w:w="5421" w:type="dxa"/>
          </w:tcPr>
          <w:p>
            <w:pPr>
              <w:pStyle w:val="TableParagraph"/>
              <w:ind w:left="404"/>
              <w:rPr>
                <w:b/>
                <w:sz w:val="20"/>
              </w:rPr>
            </w:pPr>
            <w:r>
              <w:rPr>
                <w:b/>
                <w:sz w:val="20"/>
              </w:rPr>
              <w:t>Association of Corporate Treasurers</w:t>
            </w:r>
          </w:p>
        </w:tc>
      </w:tr>
      <w:tr>
        <w:trPr>
          <w:trHeight w:val="300" w:hRule="atLeast"/>
        </w:trPr>
        <w:tc>
          <w:tcPr>
            <w:tcW w:w="2914" w:type="dxa"/>
          </w:tcPr>
          <w:p>
            <w:pPr>
              <w:pStyle w:val="TableParagraph"/>
              <w:spacing w:before="32"/>
              <w:rPr>
                <w:sz w:val="20"/>
              </w:rPr>
            </w:pPr>
            <w:r>
              <w:rPr>
                <w:sz w:val="20"/>
              </w:rPr>
              <w:t>Alexandre Pappadacci</w:t>
            </w:r>
          </w:p>
        </w:tc>
        <w:tc>
          <w:tcPr>
            <w:tcW w:w="5421" w:type="dxa"/>
          </w:tcPr>
          <w:p>
            <w:pPr>
              <w:pStyle w:val="TableParagraph"/>
              <w:ind w:left="404"/>
              <w:rPr>
                <w:b/>
                <w:sz w:val="20"/>
              </w:rPr>
            </w:pPr>
            <w:r>
              <w:rPr>
                <w:b/>
                <w:sz w:val="20"/>
              </w:rPr>
              <w:t>AXA (Vice-Chair)</w:t>
            </w:r>
          </w:p>
        </w:tc>
      </w:tr>
      <w:tr>
        <w:trPr>
          <w:trHeight w:val="300" w:hRule="atLeast"/>
        </w:trPr>
        <w:tc>
          <w:tcPr>
            <w:tcW w:w="2914" w:type="dxa"/>
          </w:tcPr>
          <w:p>
            <w:pPr>
              <w:pStyle w:val="TableParagraph"/>
              <w:spacing w:before="32"/>
              <w:rPr>
                <w:sz w:val="20"/>
              </w:rPr>
            </w:pPr>
            <w:r>
              <w:rPr>
                <w:sz w:val="20"/>
              </w:rPr>
              <w:t>Snigdha Singh</w:t>
            </w:r>
          </w:p>
        </w:tc>
        <w:tc>
          <w:tcPr>
            <w:tcW w:w="5421" w:type="dxa"/>
          </w:tcPr>
          <w:p>
            <w:pPr>
              <w:pStyle w:val="TableParagraph"/>
              <w:ind w:left="404"/>
              <w:rPr>
                <w:b/>
                <w:sz w:val="20"/>
              </w:rPr>
            </w:pPr>
            <w:r>
              <w:rPr>
                <w:b/>
                <w:sz w:val="20"/>
              </w:rPr>
              <w:t>Bank of America Merrill Lynch</w:t>
            </w:r>
          </w:p>
        </w:tc>
      </w:tr>
      <w:tr>
        <w:trPr>
          <w:trHeight w:val="300" w:hRule="atLeast"/>
        </w:trPr>
        <w:tc>
          <w:tcPr>
            <w:tcW w:w="2914" w:type="dxa"/>
          </w:tcPr>
          <w:p>
            <w:pPr>
              <w:pStyle w:val="TableParagraph"/>
              <w:spacing w:before="32"/>
              <w:rPr>
                <w:sz w:val="20"/>
              </w:rPr>
            </w:pPr>
            <w:r>
              <w:rPr>
                <w:sz w:val="20"/>
              </w:rPr>
              <w:t>Doug Laurie</w:t>
            </w:r>
          </w:p>
        </w:tc>
        <w:tc>
          <w:tcPr>
            <w:tcW w:w="5421"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Tejonidhi Kashyap</w:t>
            </w:r>
          </w:p>
        </w:tc>
        <w:tc>
          <w:tcPr>
            <w:tcW w:w="5421"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Rob Mitchelson</w:t>
            </w:r>
          </w:p>
        </w:tc>
        <w:tc>
          <w:tcPr>
            <w:tcW w:w="5421" w:type="dxa"/>
          </w:tcPr>
          <w:p>
            <w:pPr>
              <w:pStyle w:val="TableParagraph"/>
              <w:ind w:left="404"/>
              <w:rPr>
                <w:b/>
                <w:sz w:val="20"/>
              </w:rPr>
            </w:pPr>
            <w:r>
              <w:rPr>
                <w:b/>
                <w:sz w:val="20"/>
              </w:rPr>
              <w:t>Blackrock</w:t>
            </w:r>
          </w:p>
        </w:tc>
      </w:tr>
      <w:tr>
        <w:trPr>
          <w:trHeight w:val="300" w:hRule="atLeast"/>
        </w:trPr>
        <w:tc>
          <w:tcPr>
            <w:tcW w:w="2914" w:type="dxa"/>
          </w:tcPr>
          <w:p>
            <w:pPr>
              <w:pStyle w:val="TableParagraph"/>
              <w:spacing w:before="32"/>
              <w:rPr>
                <w:sz w:val="20"/>
              </w:rPr>
            </w:pPr>
            <w:r>
              <w:rPr>
                <w:sz w:val="20"/>
              </w:rPr>
              <w:t>Greg Olsen</w:t>
            </w:r>
          </w:p>
        </w:tc>
        <w:tc>
          <w:tcPr>
            <w:tcW w:w="5421" w:type="dxa"/>
          </w:tcPr>
          <w:p>
            <w:pPr>
              <w:pStyle w:val="TableParagraph"/>
              <w:ind w:left="404"/>
              <w:rPr>
                <w:b/>
                <w:sz w:val="20"/>
              </w:rPr>
            </w:pPr>
            <w:r>
              <w:rPr>
                <w:b/>
                <w:sz w:val="20"/>
              </w:rPr>
              <w:t>Clifford Chance (General Counsel)</w:t>
            </w:r>
          </w:p>
        </w:tc>
      </w:tr>
      <w:tr>
        <w:trPr>
          <w:trHeight w:val="300" w:hRule="atLeast"/>
        </w:trPr>
        <w:tc>
          <w:tcPr>
            <w:tcW w:w="2914" w:type="dxa"/>
          </w:tcPr>
          <w:p>
            <w:pPr>
              <w:pStyle w:val="TableParagraph"/>
              <w:spacing w:before="32"/>
              <w:rPr>
                <w:sz w:val="20"/>
              </w:rPr>
            </w:pPr>
            <w:r>
              <w:rPr>
                <w:sz w:val="20"/>
              </w:rPr>
              <w:t>Sebastien Angles-Dauriac</w:t>
            </w:r>
          </w:p>
        </w:tc>
        <w:tc>
          <w:tcPr>
            <w:tcW w:w="5421" w:type="dxa"/>
          </w:tcPr>
          <w:p>
            <w:pPr>
              <w:pStyle w:val="TableParagraph"/>
              <w:ind w:left="404"/>
              <w:rPr>
                <w:b/>
                <w:sz w:val="20"/>
              </w:rPr>
            </w:pPr>
            <w:r>
              <w:rPr>
                <w:b/>
                <w:sz w:val="20"/>
              </w:rPr>
              <w:t>Deutsche Bank</w:t>
            </w:r>
          </w:p>
        </w:tc>
      </w:tr>
      <w:tr>
        <w:trPr>
          <w:trHeight w:val="300" w:hRule="atLeast"/>
        </w:trPr>
        <w:tc>
          <w:tcPr>
            <w:tcW w:w="2914" w:type="dxa"/>
          </w:tcPr>
          <w:p>
            <w:pPr>
              <w:pStyle w:val="TableParagraph"/>
              <w:spacing w:before="32"/>
              <w:rPr>
                <w:sz w:val="20"/>
              </w:rPr>
            </w:pPr>
            <w:r>
              <w:rPr>
                <w:sz w:val="20"/>
              </w:rPr>
              <w:t>Jasper Lillingston</w:t>
            </w:r>
          </w:p>
        </w:tc>
        <w:tc>
          <w:tcPr>
            <w:tcW w:w="5421" w:type="dxa"/>
          </w:tcPr>
          <w:p>
            <w:pPr>
              <w:pStyle w:val="TableParagraph"/>
              <w:ind w:left="404"/>
              <w:rPr>
                <w:b/>
                <w:sz w:val="20"/>
              </w:rPr>
            </w:pPr>
            <w:r>
              <w:rPr>
                <w:b/>
                <w:sz w:val="20"/>
              </w:rPr>
              <w:t>European Bank for Reconstruction &amp; Development</w:t>
            </w:r>
          </w:p>
        </w:tc>
      </w:tr>
      <w:tr>
        <w:trPr>
          <w:trHeight w:val="300" w:hRule="atLeast"/>
        </w:trPr>
        <w:tc>
          <w:tcPr>
            <w:tcW w:w="2914" w:type="dxa"/>
          </w:tcPr>
          <w:p>
            <w:pPr>
              <w:pStyle w:val="TableParagraph"/>
              <w:spacing w:before="32"/>
              <w:rPr>
                <w:sz w:val="20"/>
              </w:rPr>
            </w:pPr>
            <w:r>
              <w:rPr>
                <w:sz w:val="20"/>
              </w:rPr>
              <w:t>Chirag Dave</w:t>
            </w:r>
          </w:p>
        </w:tc>
        <w:tc>
          <w:tcPr>
            <w:tcW w:w="5421" w:type="dxa"/>
          </w:tcPr>
          <w:p>
            <w:pPr>
              <w:pStyle w:val="TableParagraph"/>
              <w:ind w:left="404"/>
              <w:rPr>
                <w:b/>
                <w:sz w:val="20"/>
              </w:rPr>
            </w:pPr>
            <w:r>
              <w:rPr>
                <w:b/>
                <w:sz w:val="20"/>
              </w:rPr>
              <w:t>Goldman Sachs</w:t>
            </w:r>
          </w:p>
        </w:tc>
      </w:tr>
      <w:tr>
        <w:trPr>
          <w:trHeight w:val="300" w:hRule="atLeast"/>
        </w:trPr>
        <w:tc>
          <w:tcPr>
            <w:tcW w:w="2914" w:type="dxa"/>
          </w:tcPr>
          <w:p>
            <w:pPr>
              <w:pStyle w:val="TableParagraph"/>
              <w:spacing w:before="33"/>
              <w:rPr>
                <w:sz w:val="20"/>
              </w:rPr>
            </w:pPr>
            <w:r>
              <w:rPr>
                <w:sz w:val="20"/>
              </w:rPr>
              <w:t>Sander Slotema</w:t>
            </w:r>
          </w:p>
        </w:tc>
        <w:tc>
          <w:tcPr>
            <w:tcW w:w="5421" w:type="dxa"/>
          </w:tcPr>
          <w:p>
            <w:pPr>
              <w:pStyle w:val="TableParagraph"/>
              <w:ind w:left="404"/>
              <w:rPr>
                <w:b/>
                <w:sz w:val="20"/>
              </w:rPr>
            </w:pPr>
            <w:r>
              <w:rPr>
                <w:b/>
                <w:sz w:val="20"/>
              </w:rPr>
              <w:t>HSBC</w:t>
            </w:r>
          </w:p>
        </w:tc>
      </w:tr>
      <w:tr>
        <w:trPr>
          <w:trHeight w:val="300" w:hRule="atLeast"/>
        </w:trPr>
        <w:tc>
          <w:tcPr>
            <w:tcW w:w="2914" w:type="dxa"/>
          </w:tcPr>
          <w:p>
            <w:pPr>
              <w:pStyle w:val="TableParagraph"/>
              <w:spacing w:before="32"/>
              <w:rPr>
                <w:sz w:val="20"/>
              </w:rPr>
            </w:pPr>
            <w:r>
              <w:rPr>
                <w:sz w:val="20"/>
              </w:rPr>
              <w:t>Chris Rhodes</w:t>
            </w:r>
          </w:p>
        </w:tc>
        <w:tc>
          <w:tcPr>
            <w:tcW w:w="5421" w:type="dxa"/>
          </w:tcPr>
          <w:p>
            <w:pPr>
              <w:pStyle w:val="TableParagraph"/>
              <w:ind w:left="404"/>
              <w:rPr>
                <w:b/>
                <w:sz w:val="20"/>
              </w:rPr>
            </w:pPr>
            <w:r>
              <w:rPr>
                <w:b/>
                <w:sz w:val="20"/>
              </w:rPr>
              <w:t>ICE Group</w:t>
            </w:r>
          </w:p>
        </w:tc>
      </w:tr>
      <w:tr>
        <w:trPr>
          <w:trHeight w:val="300" w:hRule="atLeast"/>
        </w:trPr>
        <w:tc>
          <w:tcPr>
            <w:tcW w:w="2914" w:type="dxa"/>
          </w:tcPr>
          <w:p>
            <w:pPr>
              <w:pStyle w:val="TableParagraph"/>
              <w:spacing w:before="32"/>
              <w:rPr>
                <w:sz w:val="20"/>
              </w:rPr>
            </w:pPr>
            <w:r>
              <w:rPr>
                <w:sz w:val="20"/>
              </w:rPr>
              <w:t>Paul Richards</w:t>
            </w:r>
          </w:p>
        </w:tc>
        <w:tc>
          <w:tcPr>
            <w:tcW w:w="5421" w:type="dxa"/>
          </w:tcPr>
          <w:p>
            <w:pPr>
              <w:pStyle w:val="TableParagraph"/>
              <w:ind w:left="404"/>
              <w:rPr>
                <w:b/>
                <w:sz w:val="20"/>
              </w:rPr>
            </w:pPr>
            <w:r>
              <w:rPr>
                <w:b/>
                <w:sz w:val="20"/>
              </w:rPr>
              <w:t>ICMA</w:t>
            </w:r>
          </w:p>
        </w:tc>
      </w:tr>
      <w:tr>
        <w:trPr>
          <w:trHeight w:val="300" w:hRule="atLeast"/>
        </w:trPr>
        <w:tc>
          <w:tcPr>
            <w:tcW w:w="2914" w:type="dxa"/>
          </w:tcPr>
          <w:p>
            <w:pPr>
              <w:pStyle w:val="TableParagraph"/>
              <w:spacing w:before="32"/>
              <w:rPr>
                <w:sz w:val="20"/>
              </w:rPr>
            </w:pPr>
            <w:r>
              <w:rPr>
                <w:sz w:val="20"/>
              </w:rPr>
              <w:t>David Jamieson</w:t>
            </w:r>
          </w:p>
        </w:tc>
        <w:tc>
          <w:tcPr>
            <w:tcW w:w="5421" w:type="dxa"/>
          </w:tcPr>
          <w:p>
            <w:pPr>
              <w:pStyle w:val="TableParagraph"/>
              <w:ind w:left="404"/>
              <w:rPr>
                <w:b/>
                <w:sz w:val="20"/>
              </w:rPr>
            </w:pPr>
            <w:r>
              <w:rPr>
                <w:b/>
                <w:sz w:val="20"/>
              </w:rPr>
              <w:t>Insight Investment</w:t>
            </w:r>
          </w:p>
        </w:tc>
      </w:tr>
      <w:tr>
        <w:trPr>
          <w:trHeight w:val="300" w:hRule="atLeast"/>
        </w:trPr>
        <w:tc>
          <w:tcPr>
            <w:tcW w:w="2914" w:type="dxa"/>
          </w:tcPr>
          <w:p>
            <w:pPr>
              <w:pStyle w:val="TableParagraph"/>
              <w:spacing w:before="32"/>
              <w:rPr>
                <w:sz w:val="20"/>
              </w:rPr>
            </w:pPr>
            <w:r>
              <w:rPr>
                <w:sz w:val="20"/>
              </w:rPr>
              <w:t>Rick Sandilands</w:t>
            </w:r>
          </w:p>
        </w:tc>
        <w:tc>
          <w:tcPr>
            <w:tcW w:w="5421" w:type="dxa"/>
          </w:tcPr>
          <w:p>
            <w:pPr>
              <w:pStyle w:val="TableParagraph"/>
              <w:ind w:left="404"/>
              <w:rPr>
                <w:b/>
                <w:sz w:val="20"/>
              </w:rPr>
            </w:pPr>
            <w:r>
              <w:rPr>
                <w:b/>
                <w:sz w:val="20"/>
              </w:rPr>
              <w:t>ISDA</w:t>
            </w:r>
          </w:p>
        </w:tc>
      </w:tr>
      <w:tr>
        <w:trPr>
          <w:trHeight w:val="300" w:hRule="atLeast"/>
        </w:trPr>
        <w:tc>
          <w:tcPr>
            <w:tcW w:w="2914" w:type="dxa"/>
          </w:tcPr>
          <w:p>
            <w:pPr>
              <w:pStyle w:val="TableParagraph"/>
              <w:spacing w:before="32"/>
              <w:rPr>
                <w:sz w:val="20"/>
              </w:rPr>
            </w:pPr>
            <w:r>
              <w:rPr>
                <w:sz w:val="20"/>
              </w:rPr>
              <w:t>Philip Whitehurst</w:t>
            </w:r>
          </w:p>
        </w:tc>
        <w:tc>
          <w:tcPr>
            <w:tcW w:w="5421" w:type="dxa"/>
          </w:tcPr>
          <w:p>
            <w:pPr>
              <w:pStyle w:val="TableParagraph"/>
              <w:ind w:left="404"/>
              <w:rPr>
                <w:b/>
                <w:sz w:val="20"/>
              </w:rPr>
            </w:pPr>
            <w:r>
              <w:rPr>
                <w:b/>
                <w:sz w:val="20"/>
              </w:rPr>
              <w:t>LCH</w:t>
            </w:r>
          </w:p>
        </w:tc>
      </w:tr>
      <w:tr>
        <w:trPr>
          <w:trHeight w:val="300" w:hRule="atLeast"/>
        </w:trPr>
        <w:tc>
          <w:tcPr>
            <w:tcW w:w="2914" w:type="dxa"/>
          </w:tcPr>
          <w:p>
            <w:pPr>
              <w:pStyle w:val="TableParagraph"/>
              <w:spacing w:before="32"/>
              <w:rPr>
                <w:sz w:val="20"/>
              </w:rPr>
            </w:pPr>
            <w:r>
              <w:rPr>
                <w:sz w:val="20"/>
              </w:rPr>
              <w:t>Chi-Kit Pang</w:t>
            </w:r>
          </w:p>
        </w:tc>
        <w:tc>
          <w:tcPr>
            <w:tcW w:w="5421" w:type="dxa"/>
          </w:tcPr>
          <w:p>
            <w:pPr>
              <w:pStyle w:val="TableParagraph"/>
              <w:ind w:left="404"/>
              <w:rPr>
                <w:b/>
                <w:sz w:val="20"/>
              </w:rPr>
            </w:pPr>
            <w:r>
              <w:rPr>
                <w:b/>
                <w:sz w:val="20"/>
              </w:rPr>
              <w:t>Legal &amp; General Investment Management</w:t>
            </w:r>
          </w:p>
        </w:tc>
      </w:tr>
      <w:tr>
        <w:trPr>
          <w:trHeight w:val="300" w:hRule="atLeast"/>
        </w:trPr>
        <w:tc>
          <w:tcPr>
            <w:tcW w:w="2914" w:type="dxa"/>
          </w:tcPr>
          <w:p>
            <w:pPr>
              <w:pStyle w:val="TableParagraph"/>
              <w:spacing w:before="32"/>
              <w:rPr>
                <w:sz w:val="20"/>
              </w:rPr>
            </w:pPr>
            <w:r>
              <w:rPr>
                <w:sz w:val="20"/>
              </w:rPr>
              <w:t>Ian Fox</w:t>
            </w:r>
          </w:p>
        </w:tc>
        <w:tc>
          <w:tcPr>
            <w:tcW w:w="5421" w:type="dxa"/>
          </w:tcPr>
          <w:p>
            <w:pPr>
              <w:pStyle w:val="TableParagraph"/>
              <w:ind w:left="404"/>
              <w:rPr>
                <w:b/>
                <w:sz w:val="20"/>
              </w:rPr>
            </w:pPr>
            <w:r>
              <w:rPr>
                <w:b/>
                <w:sz w:val="20"/>
              </w:rPr>
              <w:t>Lloyds Banking Group</w:t>
            </w:r>
          </w:p>
        </w:tc>
      </w:tr>
      <w:tr>
        <w:trPr>
          <w:trHeight w:val="300" w:hRule="atLeast"/>
        </w:trPr>
        <w:tc>
          <w:tcPr>
            <w:tcW w:w="2914" w:type="dxa"/>
          </w:tcPr>
          <w:p>
            <w:pPr>
              <w:pStyle w:val="TableParagraph"/>
              <w:spacing w:before="32"/>
              <w:rPr>
                <w:sz w:val="20"/>
              </w:rPr>
            </w:pPr>
            <w:r>
              <w:rPr>
                <w:sz w:val="20"/>
              </w:rPr>
              <w:t>Kam Mahil</w:t>
            </w:r>
          </w:p>
        </w:tc>
        <w:tc>
          <w:tcPr>
            <w:tcW w:w="5421" w:type="dxa"/>
          </w:tcPr>
          <w:p>
            <w:pPr>
              <w:pStyle w:val="TableParagraph"/>
              <w:ind w:left="404"/>
              <w:rPr>
                <w:b/>
                <w:sz w:val="20"/>
              </w:rPr>
            </w:pPr>
            <w:r>
              <w:rPr>
                <w:b/>
                <w:sz w:val="20"/>
              </w:rPr>
              <w:t>Loan Market Association</w:t>
            </w:r>
          </w:p>
        </w:tc>
      </w:tr>
      <w:tr>
        <w:trPr>
          <w:trHeight w:val="300" w:hRule="atLeast"/>
        </w:trPr>
        <w:tc>
          <w:tcPr>
            <w:tcW w:w="2914" w:type="dxa"/>
          </w:tcPr>
          <w:p>
            <w:pPr>
              <w:pStyle w:val="TableParagraph"/>
              <w:spacing w:before="32"/>
              <w:rPr>
                <w:sz w:val="20"/>
              </w:rPr>
            </w:pPr>
            <w:r>
              <w:rPr>
                <w:sz w:val="20"/>
              </w:rPr>
              <w:t>Siobhan Clarke</w:t>
            </w:r>
          </w:p>
        </w:tc>
        <w:tc>
          <w:tcPr>
            <w:tcW w:w="5421" w:type="dxa"/>
          </w:tcPr>
          <w:p>
            <w:pPr>
              <w:pStyle w:val="TableParagraph"/>
              <w:ind w:left="404"/>
              <w:rPr>
                <w:b/>
                <w:sz w:val="20"/>
              </w:rPr>
            </w:pPr>
            <w:r>
              <w:rPr>
                <w:b/>
                <w:sz w:val="20"/>
              </w:rPr>
              <w:t>M&amp;G</w:t>
            </w:r>
          </w:p>
        </w:tc>
      </w:tr>
      <w:tr>
        <w:trPr>
          <w:trHeight w:val="300" w:hRule="atLeast"/>
        </w:trPr>
        <w:tc>
          <w:tcPr>
            <w:tcW w:w="2914" w:type="dxa"/>
          </w:tcPr>
          <w:p>
            <w:pPr>
              <w:pStyle w:val="TableParagraph"/>
              <w:spacing w:before="32"/>
              <w:rPr>
                <w:sz w:val="20"/>
              </w:rPr>
            </w:pPr>
            <w:r>
              <w:rPr>
                <w:sz w:val="20"/>
              </w:rPr>
              <w:t>David Covey</w:t>
            </w:r>
          </w:p>
        </w:tc>
        <w:tc>
          <w:tcPr>
            <w:tcW w:w="5421" w:type="dxa"/>
          </w:tcPr>
          <w:p>
            <w:pPr>
              <w:pStyle w:val="TableParagraph"/>
              <w:ind w:left="404"/>
              <w:rPr>
                <w:b/>
                <w:sz w:val="20"/>
              </w:rPr>
            </w:pPr>
            <w:r>
              <w:rPr>
                <w:b/>
                <w:sz w:val="20"/>
              </w:rPr>
              <w:t>M&amp;G Investments</w:t>
            </w:r>
          </w:p>
        </w:tc>
      </w:tr>
      <w:tr>
        <w:trPr>
          <w:trHeight w:val="300" w:hRule="atLeast"/>
        </w:trPr>
        <w:tc>
          <w:tcPr>
            <w:tcW w:w="2914" w:type="dxa"/>
          </w:tcPr>
          <w:p>
            <w:pPr>
              <w:pStyle w:val="TableParagraph"/>
              <w:spacing w:before="32"/>
              <w:rPr>
                <w:sz w:val="20"/>
              </w:rPr>
            </w:pPr>
            <w:r>
              <w:rPr>
                <w:sz w:val="20"/>
              </w:rPr>
              <w:t>Kwok Liu</w:t>
            </w:r>
          </w:p>
        </w:tc>
        <w:tc>
          <w:tcPr>
            <w:tcW w:w="5421" w:type="dxa"/>
          </w:tcPr>
          <w:p>
            <w:pPr>
              <w:pStyle w:val="TableParagraph"/>
              <w:ind w:left="404"/>
              <w:rPr>
                <w:b/>
                <w:sz w:val="20"/>
              </w:rPr>
            </w:pPr>
            <w:r>
              <w:rPr>
                <w:b/>
                <w:sz w:val="20"/>
              </w:rPr>
              <w:t>National Grid</w:t>
            </w:r>
          </w:p>
        </w:tc>
      </w:tr>
      <w:tr>
        <w:trPr>
          <w:trHeight w:val="300" w:hRule="atLeast"/>
        </w:trPr>
        <w:tc>
          <w:tcPr>
            <w:tcW w:w="2914" w:type="dxa"/>
          </w:tcPr>
          <w:p>
            <w:pPr>
              <w:pStyle w:val="TableParagraph"/>
              <w:spacing w:before="33"/>
              <w:rPr>
                <w:sz w:val="20"/>
              </w:rPr>
            </w:pPr>
            <w:r>
              <w:rPr>
                <w:sz w:val="20"/>
              </w:rPr>
              <w:t>Richard Merrett</w:t>
            </w:r>
          </w:p>
        </w:tc>
        <w:tc>
          <w:tcPr>
            <w:tcW w:w="5421" w:type="dxa"/>
          </w:tcPr>
          <w:p>
            <w:pPr>
              <w:pStyle w:val="TableParagraph"/>
              <w:ind w:left="404"/>
              <w:rPr>
                <w:b/>
                <w:sz w:val="20"/>
              </w:rPr>
            </w:pPr>
            <w:r>
              <w:rPr>
                <w:b/>
                <w:sz w:val="20"/>
              </w:rPr>
              <w:t>Nationwide Building Society</w:t>
            </w:r>
          </w:p>
        </w:tc>
      </w:tr>
      <w:tr>
        <w:trPr>
          <w:trHeight w:val="300" w:hRule="atLeast"/>
        </w:trPr>
        <w:tc>
          <w:tcPr>
            <w:tcW w:w="2914" w:type="dxa"/>
          </w:tcPr>
          <w:p>
            <w:pPr>
              <w:pStyle w:val="TableParagraph"/>
              <w:spacing w:before="32"/>
              <w:rPr>
                <w:sz w:val="20"/>
              </w:rPr>
            </w:pPr>
            <w:r>
              <w:rPr>
                <w:sz w:val="20"/>
              </w:rPr>
              <w:t>Phil Lloyd</w:t>
            </w:r>
          </w:p>
        </w:tc>
        <w:tc>
          <w:tcPr>
            <w:tcW w:w="5421" w:type="dxa"/>
          </w:tcPr>
          <w:p>
            <w:pPr>
              <w:pStyle w:val="TableParagraph"/>
              <w:ind w:left="404"/>
              <w:rPr>
                <w:b/>
                <w:sz w:val="20"/>
              </w:rPr>
            </w:pPr>
            <w:r>
              <w:rPr>
                <w:b/>
                <w:sz w:val="20"/>
              </w:rPr>
              <w:t>NatWest Markets</w:t>
            </w:r>
          </w:p>
        </w:tc>
      </w:tr>
      <w:tr>
        <w:trPr>
          <w:trHeight w:val="300" w:hRule="atLeast"/>
        </w:trPr>
        <w:tc>
          <w:tcPr>
            <w:tcW w:w="2914" w:type="dxa"/>
          </w:tcPr>
          <w:p>
            <w:pPr>
              <w:pStyle w:val="TableParagraph"/>
              <w:spacing w:before="32"/>
              <w:rPr>
                <w:sz w:val="20"/>
              </w:rPr>
            </w:pPr>
            <w:r>
              <w:rPr>
                <w:sz w:val="20"/>
              </w:rPr>
              <w:t>Kieran Higgins</w:t>
            </w:r>
          </w:p>
        </w:tc>
        <w:tc>
          <w:tcPr>
            <w:tcW w:w="5421" w:type="dxa"/>
          </w:tcPr>
          <w:p>
            <w:pPr>
              <w:pStyle w:val="TableParagraph"/>
              <w:ind w:left="404"/>
              <w:rPr>
                <w:b/>
                <w:sz w:val="20"/>
              </w:rPr>
            </w:pPr>
            <w:r>
              <w:rPr>
                <w:b/>
                <w:sz w:val="20"/>
              </w:rPr>
              <w:t>Royal Bank of Scotland</w:t>
            </w:r>
          </w:p>
        </w:tc>
      </w:tr>
      <w:tr>
        <w:trPr>
          <w:trHeight w:val="262" w:hRule="atLeast"/>
        </w:trPr>
        <w:tc>
          <w:tcPr>
            <w:tcW w:w="2914" w:type="dxa"/>
          </w:tcPr>
          <w:p>
            <w:pPr>
              <w:pStyle w:val="TableParagraph"/>
              <w:spacing w:line="210" w:lineRule="exact" w:before="32"/>
              <w:rPr>
                <w:sz w:val="20"/>
              </w:rPr>
            </w:pPr>
            <w:r>
              <w:rPr>
                <w:sz w:val="20"/>
              </w:rPr>
              <w:t>Ronald Kent</w:t>
            </w:r>
          </w:p>
        </w:tc>
        <w:tc>
          <w:tcPr>
            <w:tcW w:w="5421" w:type="dxa"/>
          </w:tcPr>
          <w:p>
            <w:pPr>
              <w:pStyle w:val="TableParagraph"/>
              <w:spacing w:line="212" w:lineRule="exact"/>
              <w:ind w:left="404"/>
              <w:rPr>
                <w:b/>
                <w:sz w:val="20"/>
              </w:rPr>
            </w:pPr>
            <w:r>
              <w:rPr>
                <w:b/>
                <w:sz w:val="20"/>
              </w:rPr>
              <w:t>UK Finance</w:t>
            </w:r>
          </w:p>
        </w:tc>
      </w:tr>
    </w:tbl>
    <w:p>
      <w:pPr>
        <w:spacing w:before="154"/>
        <w:ind w:left="197" w:right="0" w:firstLine="0"/>
        <w:jc w:val="left"/>
        <w:rPr>
          <w:b/>
          <w:sz w:val="20"/>
        </w:rPr>
      </w:pPr>
      <w:r>
        <w:rPr>
          <w:b/>
          <w:sz w:val="20"/>
        </w:rPr>
        <w:t>Official sector</w:t>
      </w:r>
      <w:r>
        <w:rPr>
          <w:b/>
          <w:spacing w:val="-8"/>
          <w:sz w:val="20"/>
        </w:rPr>
        <w:t> </w:t>
      </w:r>
      <w:r>
        <w:rPr>
          <w:b/>
          <w:sz w:val="20"/>
        </w:rPr>
        <w:t>attendees</w:t>
      </w:r>
    </w:p>
    <w:p>
      <w:pPr>
        <w:pStyle w:val="BodyText"/>
        <w:spacing w:before="5"/>
        <w:rPr>
          <w:b/>
          <w:sz w:val="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5"/>
      </w:tblGrid>
      <w:tr>
        <w:trPr>
          <w:trHeight w:val="255" w:hRule="atLeast"/>
        </w:trPr>
        <w:tc>
          <w:tcPr>
            <w:tcW w:w="2802" w:type="dxa"/>
          </w:tcPr>
          <w:p>
            <w:pPr>
              <w:pStyle w:val="TableParagraph"/>
              <w:spacing w:line="225" w:lineRule="exact" w:before="0"/>
              <w:rPr>
                <w:sz w:val="20"/>
              </w:rPr>
            </w:pPr>
            <w:r>
              <w:rPr>
                <w:sz w:val="20"/>
              </w:rPr>
              <w:t>Andrew Hauser</w:t>
            </w:r>
          </w:p>
        </w:tc>
        <w:tc>
          <w:tcPr>
            <w:tcW w:w="3435" w:type="dxa"/>
          </w:tcPr>
          <w:p>
            <w:pPr>
              <w:pStyle w:val="TableParagraph"/>
              <w:spacing w:line="223" w:lineRule="exact" w:before="0"/>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Alastair Hughes</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6"/>
              <w:rPr>
                <w:sz w:val="20"/>
              </w:rPr>
            </w:pPr>
            <w:r>
              <w:rPr>
                <w:sz w:val="20"/>
              </w:rPr>
              <w:t>Wayne Leslie</w:t>
            </w:r>
          </w:p>
        </w:tc>
        <w:tc>
          <w:tcPr>
            <w:tcW w:w="3435" w:type="dxa"/>
          </w:tcPr>
          <w:p>
            <w:pPr>
              <w:pStyle w:val="TableParagraph"/>
              <w:spacing w:before="24"/>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Tom Horn</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Jugvinder Singh</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Stefania Spiga</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Peter Balint</w:t>
            </w:r>
          </w:p>
        </w:tc>
        <w:tc>
          <w:tcPr>
            <w:tcW w:w="3435" w:type="dxa"/>
          </w:tcPr>
          <w:p>
            <w:pPr>
              <w:pStyle w:val="TableParagraph"/>
              <w:spacing w:before="23"/>
              <w:ind w:left="559"/>
              <w:rPr>
                <w:b/>
                <w:sz w:val="20"/>
              </w:rPr>
            </w:pPr>
            <w:r>
              <w:rPr>
                <w:b/>
                <w:sz w:val="20"/>
              </w:rPr>
              <w:t>Bank of England</w:t>
            </w:r>
          </w:p>
        </w:tc>
      </w:tr>
      <w:tr>
        <w:trPr>
          <w:trHeight w:val="287" w:hRule="atLeast"/>
        </w:trPr>
        <w:tc>
          <w:tcPr>
            <w:tcW w:w="2802" w:type="dxa"/>
          </w:tcPr>
          <w:p>
            <w:pPr>
              <w:pStyle w:val="TableParagraph"/>
              <w:spacing w:before="25"/>
              <w:rPr>
                <w:sz w:val="20"/>
              </w:rPr>
            </w:pPr>
            <w:r>
              <w:rPr>
                <w:sz w:val="20"/>
              </w:rPr>
              <w:t>Nadia Glasspool</w:t>
            </w:r>
          </w:p>
        </w:tc>
        <w:tc>
          <w:tcPr>
            <w:tcW w:w="3435" w:type="dxa"/>
          </w:tcPr>
          <w:p>
            <w:pPr>
              <w:pStyle w:val="TableParagraph"/>
              <w:spacing w:before="23"/>
              <w:ind w:left="559"/>
              <w:rPr>
                <w:b/>
                <w:sz w:val="20"/>
              </w:rPr>
            </w:pPr>
            <w:r>
              <w:rPr>
                <w:b/>
                <w:sz w:val="20"/>
              </w:rPr>
              <w:t>Bank of England</w:t>
            </w:r>
          </w:p>
        </w:tc>
      </w:tr>
      <w:tr>
        <w:trPr>
          <w:trHeight w:val="287" w:hRule="atLeast"/>
        </w:trPr>
        <w:tc>
          <w:tcPr>
            <w:tcW w:w="2802" w:type="dxa"/>
          </w:tcPr>
          <w:p>
            <w:pPr>
              <w:pStyle w:val="TableParagraph"/>
              <w:spacing w:before="27"/>
              <w:rPr>
                <w:sz w:val="20"/>
              </w:rPr>
            </w:pPr>
            <w:r>
              <w:rPr>
                <w:sz w:val="20"/>
              </w:rPr>
              <w:t>Edwin Schooling Latter</w:t>
            </w:r>
          </w:p>
        </w:tc>
        <w:tc>
          <w:tcPr>
            <w:tcW w:w="3435" w:type="dxa"/>
          </w:tcPr>
          <w:p>
            <w:pPr>
              <w:pStyle w:val="TableParagraph"/>
              <w:spacing w:before="24"/>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Richard Fox</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Anne-Laure Condat</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Toby Williams</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Thorben Heidrich</w:t>
            </w:r>
          </w:p>
        </w:tc>
        <w:tc>
          <w:tcPr>
            <w:tcW w:w="3435" w:type="dxa"/>
          </w:tcPr>
          <w:p>
            <w:pPr>
              <w:pStyle w:val="TableParagraph"/>
              <w:spacing w:before="23"/>
              <w:ind w:left="559"/>
              <w:rPr>
                <w:b/>
                <w:sz w:val="20"/>
              </w:rPr>
            </w:pPr>
            <w:r>
              <w:rPr>
                <w:b/>
                <w:sz w:val="20"/>
              </w:rPr>
              <w:t>Financial Conduct Authority</w:t>
            </w:r>
          </w:p>
        </w:tc>
      </w:tr>
      <w:tr>
        <w:trPr>
          <w:trHeight w:val="286" w:hRule="atLeast"/>
        </w:trPr>
        <w:tc>
          <w:tcPr>
            <w:tcW w:w="2802" w:type="dxa"/>
          </w:tcPr>
          <w:p>
            <w:pPr>
              <w:pStyle w:val="TableParagraph"/>
              <w:spacing w:before="25"/>
              <w:rPr>
                <w:sz w:val="20"/>
              </w:rPr>
            </w:pPr>
            <w:r>
              <w:rPr>
                <w:sz w:val="20"/>
              </w:rPr>
              <w:t>Devid Mazzonetto</w:t>
            </w:r>
          </w:p>
        </w:tc>
        <w:tc>
          <w:tcPr>
            <w:tcW w:w="3435" w:type="dxa"/>
          </w:tcPr>
          <w:p>
            <w:pPr>
              <w:pStyle w:val="TableParagraph"/>
              <w:spacing w:before="23"/>
              <w:ind w:left="559"/>
              <w:rPr>
                <w:b/>
                <w:sz w:val="20"/>
              </w:rPr>
            </w:pPr>
            <w:r>
              <w:rPr>
                <w:b/>
                <w:sz w:val="20"/>
              </w:rPr>
              <w:t>Financial Conduct Authority</w:t>
            </w:r>
          </w:p>
        </w:tc>
      </w:tr>
      <w:tr>
        <w:trPr>
          <w:trHeight w:val="256" w:hRule="atLeast"/>
        </w:trPr>
        <w:tc>
          <w:tcPr>
            <w:tcW w:w="2802" w:type="dxa"/>
          </w:tcPr>
          <w:p>
            <w:pPr>
              <w:pStyle w:val="TableParagraph"/>
              <w:spacing w:line="210" w:lineRule="exact" w:before="26"/>
              <w:rPr>
                <w:sz w:val="20"/>
              </w:rPr>
            </w:pPr>
            <w:r>
              <w:rPr>
                <w:sz w:val="20"/>
              </w:rPr>
              <w:t>Sophie Legrand-Green</w:t>
            </w:r>
          </w:p>
        </w:tc>
        <w:tc>
          <w:tcPr>
            <w:tcW w:w="3435" w:type="dxa"/>
          </w:tcPr>
          <w:p>
            <w:pPr>
              <w:pStyle w:val="TableParagraph"/>
              <w:spacing w:line="212" w:lineRule="exact" w:before="24"/>
              <w:ind w:left="559"/>
              <w:rPr>
                <w:b/>
                <w:sz w:val="20"/>
              </w:rPr>
            </w:pPr>
            <w:r>
              <w:rPr>
                <w:b/>
                <w:sz w:val="20"/>
              </w:rPr>
              <w:t>Financial Conduct Authority</w:t>
            </w:r>
          </w:p>
        </w:tc>
      </w:tr>
    </w:tbl>
    <w:sectPr>
      <w:pgSz w:w="11910" w:h="16840"/>
      <w:pgMar w:header="0" w:footer="717" w:top="740" w:bottom="90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2.280029pt;margin-top:795.055969pt;width:7.6pt;height:13.05pt;mso-position-horizontal-relative:page;mso-position-vertical-relative:page;z-index:-252092416" type="#_x0000_t202" filled="false" stroked="false">
          <v:textbox inset="0,0,0,0">
            <w:txbxContent>
              <w:p>
                <w:pPr>
                  <w:spacing w:line="245" w:lineRule="exact" w:before="0"/>
                  <w:ind w:left="20" w:right="0" w:firstLine="0"/>
                  <w:jc w:val="left"/>
                  <w:rPr>
                    <w:rFonts w:ascii="Calibri"/>
                    <w:sz w:val="22"/>
                  </w:rPr>
                </w:pPr>
                <w:r>
                  <w:rPr>
                    <w:rFonts w:ascii="Calibri"/>
                    <w:w w:val="100"/>
                    <w:sz w:val="22"/>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1392" from="63.863998pt,742.055969pt" to="207.883998pt,742.055969pt" stroked="true" strokeweight=".72003pt" strokecolor="#000000">
          <v:stroke dashstyle="solid"/>
          <w10:wrap type="none"/>
        </v:line>
      </w:pict>
    </w:r>
    <w:r>
      <w:rPr/>
      <w:pict>
        <v:shape style="position:absolute;margin-left:532.280029pt;margin-top:795.055969pt;width:7.6pt;height:13.05pt;mso-position-horizontal-relative:page;mso-position-vertical-relative:page;z-index:-252090368" type="#_x0000_t202" filled="false" stroked="false">
          <v:textbox inset="0,0,0,0">
            <w:txbxContent>
              <w:p>
                <w:pPr>
                  <w:spacing w:line="245" w:lineRule="exact" w:before="0"/>
                  <w:ind w:left="20" w:right="0" w:firstLine="0"/>
                  <w:jc w:val="left"/>
                  <w:rPr>
                    <w:rFonts w:ascii="Calibri"/>
                    <w:sz w:val="22"/>
                  </w:rPr>
                </w:pPr>
                <w:r>
                  <w:rPr>
                    <w:rFonts w:ascii="Calibri"/>
                    <w:w w:val="100"/>
                    <w:sz w:val="22"/>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0.280029pt;margin-top:795.055969pt;width:11.6pt;height:13.05pt;mso-position-horizontal-relative:page;mso-position-vertical-relative:page;z-index:-25208934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84" w:hanging="360"/>
      </w:pPr>
      <w:rPr>
        <w:rFonts w:hint="default"/>
        <w:lang w:val="en-gb" w:eastAsia="en-gb" w:bidi="en-gb"/>
      </w:rPr>
    </w:lvl>
    <w:lvl w:ilvl="2">
      <w:start w:val="0"/>
      <w:numFmt w:val="bullet"/>
      <w:lvlText w:val="•"/>
      <w:lvlJc w:val="left"/>
      <w:pPr>
        <w:ind w:left="2409" w:hanging="360"/>
      </w:pPr>
      <w:rPr>
        <w:rFonts w:hint="default"/>
        <w:lang w:val="en-gb" w:eastAsia="en-gb" w:bidi="en-gb"/>
      </w:rPr>
    </w:lvl>
    <w:lvl w:ilvl="3">
      <w:start w:val="0"/>
      <w:numFmt w:val="bullet"/>
      <w:lvlText w:val="•"/>
      <w:lvlJc w:val="left"/>
      <w:pPr>
        <w:ind w:left="3333" w:hanging="360"/>
      </w:pPr>
      <w:rPr>
        <w:rFonts w:hint="default"/>
        <w:lang w:val="en-gb" w:eastAsia="en-gb" w:bidi="en-gb"/>
      </w:rPr>
    </w:lvl>
    <w:lvl w:ilvl="4">
      <w:start w:val="0"/>
      <w:numFmt w:val="bullet"/>
      <w:lvlText w:val="•"/>
      <w:lvlJc w:val="left"/>
      <w:pPr>
        <w:ind w:left="4258" w:hanging="360"/>
      </w:pPr>
      <w:rPr>
        <w:rFonts w:hint="default"/>
        <w:lang w:val="en-gb" w:eastAsia="en-gb" w:bidi="en-gb"/>
      </w:rPr>
    </w:lvl>
    <w:lvl w:ilvl="5">
      <w:start w:val="0"/>
      <w:numFmt w:val="bullet"/>
      <w:lvlText w:val="•"/>
      <w:lvlJc w:val="left"/>
      <w:pPr>
        <w:ind w:left="5183" w:hanging="360"/>
      </w:pPr>
      <w:rPr>
        <w:rFonts w:hint="default"/>
        <w:lang w:val="en-gb" w:eastAsia="en-gb" w:bidi="en-gb"/>
      </w:rPr>
    </w:lvl>
    <w:lvl w:ilvl="6">
      <w:start w:val="0"/>
      <w:numFmt w:val="bullet"/>
      <w:lvlText w:val="•"/>
      <w:lvlJc w:val="left"/>
      <w:pPr>
        <w:ind w:left="6107" w:hanging="360"/>
      </w:pPr>
      <w:rPr>
        <w:rFonts w:hint="default"/>
        <w:lang w:val="en-gb" w:eastAsia="en-gb" w:bidi="en-gb"/>
      </w:rPr>
    </w:lvl>
    <w:lvl w:ilvl="7">
      <w:start w:val="0"/>
      <w:numFmt w:val="bullet"/>
      <w:lvlText w:val="•"/>
      <w:lvlJc w:val="left"/>
      <w:pPr>
        <w:ind w:left="7032" w:hanging="360"/>
      </w:pPr>
      <w:rPr>
        <w:rFonts w:hint="default"/>
        <w:lang w:val="en-gb" w:eastAsia="en-gb" w:bidi="en-gb"/>
      </w:rPr>
    </w:lvl>
    <w:lvl w:ilvl="8">
      <w:start w:val="0"/>
      <w:numFmt w:val="bullet"/>
      <w:lvlText w:val="•"/>
      <w:lvlJc w:val="left"/>
      <w:pPr>
        <w:ind w:left="7957" w:hanging="360"/>
      </w:pPr>
      <w:rPr>
        <w:rFonts w:hint="default"/>
        <w:lang w:val="en-gb" w:eastAsia="en-gb" w:bidi="en-gb"/>
      </w:rPr>
    </w:lvl>
  </w:abstractNum>
  <w:abstractNum w:abstractNumId="0">
    <w:multiLevelType w:val="hybridMultilevel"/>
    <w:lvl w:ilvl="0">
      <w:start w:val="1"/>
      <w:numFmt w:val="decimal"/>
      <w:lvlText w:val="%1."/>
      <w:lvlJc w:val="left"/>
      <w:pPr>
        <w:ind w:left="917"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637" w:hanging="360"/>
        <w:jc w:val="left"/>
      </w:pPr>
      <w:rPr>
        <w:rFonts w:hint="default" w:ascii="Arial" w:hAnsi="Arial" w:eastAsia="Arial" w:cs="Arial"/>
        <w:spacing w:val="-1"/>
        <w:w w:val="99"/>
        <w:sz w:val="20"/>
        <w:szCs w:val="20"/>
        <w:lang w:val="en-gb" w:eastAsia="en-gb" w:bidi="en-gb"/>
      </w:rPr>
    </w:lvl>
    <w:lvl w:ilvl="2">
      <w:start w:val="1"/>
      <w:numFmt w:val="lowerRoman"/>
      <w:lvlText w:val="%3."/>
      <w:lvlJc w:val="left"/>
      <w:pPr>
        <w:ind w:left="2357" w:hanging="282"/>
        <w:jc w:val="left"/>
      </w:pPr>
      <w:rPr>
        <w:rFonts w:hint="default" w:ascii="Arial" w:hAnsi="Arial" w:eastAsia="Arial" w:cs="Arial"/>
        <w:spacing w:val="-2"/>
        <w:w w:val="99"/>
        <w:sz w:val="20"/>
        <w:szCs w:val="20"/>
        <w:lang w:val="en-gb" w:eastAsia="en-gb" w:bidi="en-gb"/>
      </w:rPr>
    </w:lvl>
    <w:lvl w:ilvl="3">
      <w:start w:val="0"/>
      <w:numFmt w:val="bullet"/>
      <w:lvlText w:val="•"/>
      <w:lvlJc w:val="left"/>
      <w:pPr>
        <w:ind w:left="3290" w:hanging="282"/>
      </w:pPr>
      <w:rPr>
        <w:rFonts w:hint="default"/>
        <w:lang w:val="en-gb" w:eastAsia="en-gb" w:bidi="en-gb"/>
      </w:rPr>
    </w:lvl>
    <w:lvl w:ilvl="4">
      <w:start w:val="0"/>
      <w:numFmt w:val="bullet"/>
      <w:lvlText w:val="•"/>
      <w:lvlJc w:val="left"/>
      <w:pPr>
        <w:ind w:left="4221" w:hanging="282"/>
      </w:pPr>
      <w:rPr>
        <w:rFonts w:hint="default"/>
        <w:lang w:val="en-gb" w:eastAsia="en-gb" w:bidi="en-gb"/>
      </w:rPr>
    </w:lvl>
    <w:lvl w:ilvl="5">
      <w:start w:val="0"/>
      <w:numFmt w:val="bullet"/>
      <w:lvlText w:val="•"/>
      <w:lvlJc w:val="left"/>
      <w:pPr>
        <w:ind w:left="5152" w:hanging="282"/>
      </w:pPr>
      <w:rPr>
        <w:rFonts w:hint="default"/>
        <w:lang w:val="en-gb" w:eastAsia="en-gb" w:bidi="en-gb"/>
      </w:rPr>
    </w:lvl>
    <w:lvl w:ilvl="6">
      <w:start w:val="0"/>
      <w:numFmt w:val="bullet"/>
      <w:lvlText w:val="•"/>
      <w:lvlJc w:val="left"/>
      <w:pPr>
        <w:ind w:left="6083" w:hanging="282"/>
      </w:pPr>
      <w:rPr>
        <w:rFonts w:hint="default"/>
        <w:lang w:val="en-gb" w:eastAsia="en-gb" w:bidi="en-gb"/>
      </w:rPr>
    </w:lvl>
    <w:lvl w:ilvl="7">
      <w:start w:val="0"/>
      <w:numFmt w:val="bullet"/>
      <w:lvlText w:val="•"/>
      <w:lvlJc w:val="left"/>
      <w:pPr>
        <w:ind w:left="7014" w:hanging="282"/>
      </w:pPr>
      <w:rPr>
        <w:rFonts w:hint="default"/>
        <w:lang w:val="en-gb" w:eastAsia="en-gb" w:bidi="en-gb"/>
      </w:rPr>
    </w:lvl>
    <w:lvl w:ilvl="8">
      <w:start w:val="0"/>
      <w:numFmt w:val="bullet"/>
      <w:lvlText w:val="•"/>
      <w:lvlJc w:val="left"/>
      <w:pPr>
        <w:ind w:left="7944" w:hanging="28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
      <w:ind w:left="283"/>
      <w:outlineLvl w:val="1"/>
    </w:pPr>
    <w:rPr>
      <w:rFonts w:ascii="Arial" w:hAnsi="Arial" w:eastAsia="Arial" w:cs="Arial"/>
      <w:b/>
      <w:bCs/>
      <w:sz w:val="32"/>
      <w:szCs w:val="32"/>
      <w:lang w:val="en-gb" w:eastAsia="en-gb" w:bidi="en-gb"/>
    </w:rPr>
  </w:style>
  <w:style w:styleId="Heading2" w:type="paragraph">
    <w:name w:val="Heading 2"/>
    <w:basedOn w:val="Normal"/>
    <w:uiPriority w:val="1"/>
    <w:qFormat/>
    <w:pPr>
      <w:ind w:left="197"/>
      <w:jc w:val="both"/>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5"/>
      <w:ind w:left="557" w:hanging="361"/>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bankofengland.co.uk/minutes/2019/rfr-may-2019" TargetMode="External"/><Relationship Id="rId7" Type="http://schemas.openxmlformats.org/officeDocument/2006/relationships/footer" Target="footer2.xml"/><Relationship Id="rId8" Type="http://schemas.openxmlformats.org/officeDocument/2006/relationships/hyperlink" Target="https://www.bankofengland.co.uk/markets/transition-to-sterling-risk-free-rates-from-libor" TargetMode="External"/><Relationship Id="rId9" Type="http://schemas.openxmlformats.org/officeDocument/2006/relationships/hyperlink" Target="https://www.bankofengland.co.uk/-/media/boe/files/markets/benchmarks/roadmap.pdf" TargetMode="External"/><Relationship Id="rId10" Type="http://schemas.openxmlformats.org/officeDocument/2006/relationships/footer" Target="footer3.xml"/><Relationship Id="rId11" Type="http://schemas.openxmlformats.org/officeDocument/2006/relationships/hyperlink" Target="https://www.fca.org.uk/news/speeches/libor-preparing-end" TargetMode="External"/><Relationship Id="rId12" Type="http://schemas.openxmlformats.org/officeDocument/2006/relationships/hyperlink" Target="https://www.bankofengland.co.uk/-/media/boe/files/markets/benchmarks/statement-and-summary-of-responses-to-sonia-conventions-discussion-paper.pdf" TargetMode="External"/><Relationship Id="rId13" Type="http://schemas.openxmlformats.org/officeDocument/2006/relationships/hyperlink" Target="https://www.bankofengland.co.uk/-/media/boe/files/markets/benchmarks/loans-processing-working-paper.pdf" TargetMode="External"/><Relationship Id="rId14" Type="http://schemas.openxmlformats.org/officeDocument/2006/relationships/hyperlink" Target="https://www.bankofengland.co.uk/-/media/boe/files/markets/benchmarks/uk-rfr-working-group-letter-european-insurance-and-occupational-pensions-authority.pd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Working Group on Sterling Risk-Free Reference Rates</dc:creator>
  <dc:title>Minutes of the Working Group on Sterling Risk-Free Reference Rates - September 2019</dc:title>
  <dcterms:created xsi:type="dcterms:W3CDTF">2020-06-01T02:25:26Z</dcterms:created>
  <dcterms:modified xsi:type="dcterms:W3CDTF">2020-06-01T02:25:26Z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2020-06-01T00:00:00Z</vt:filetime>
  </property>
</Properties>
</file>