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3"/>
        </w:rPr>
      </w:pPr>
      <w:r>
        <w:rPr/>
        <w:pict>
          <v:line style="position:absolute;mso-position-horizontal-relative:page;mso-position-vertical-relative:page;z-index:251658240" from="55.919998pt,182.419983pt" to="538.679998pt,182.419983pt" stroked="true" strokeweight=".48pt" strokecolor="#000000">
            <v:stroke dashstyle="solid"/>
            <w10:wrap type="none"/>
          </v:line>
        </w:pict>
      </w:r>
      <w:r>
        <w:rPr/>
        <w:pict>
          <v:line style="position:absolute;mso-position-horizontal-relative:page;mso-position-vertical-relative:page;z-index:251659264" from="53.759998pt,484.749969pt" to="540.959998pt,484.749969pt" stroked="true" strokeweight=".48001pt" strokecolor="#000000">
            <v:stroke dashstyle="solid"/>
            <w10:wrap type="none"/>
          </v:line>
        </w:pic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6"/>
      </w:tblGrid>
      <w:tr>
        <w:trPr>
          <w:trHeight w:val="719" w:hRule="atLeast"/>
        </w:trPr>
        <w:tc>
          <w:tcPr>
            <w:tcW w:w="8306" w:type="dxa"/>
          </w:tcPr>
          <w:p>
            <w:pPr>
              <w:pStyle w:val="TableParagraph"/>
              <w:spacing w:line="491" w:lineRule="exact"/>
              <w:ind w:left="14"/>
              <w:rPr>
                <w:sz w:val="44"/>
              </w:rPr>
            </w:pPr>
            <w:r>
              <w:rPr>
                <w:sz w:val="44"/>
              </w:rPr>
              <w:t>UK Money Markets Code Sub-Committee</w:t>
            </w:r>
          </w:p>
        </w:tc>
      </w:tr>
      <w:tr>
        <w:trPr>
          <w:trHeight w:val="1101" w:hRule="atLeast"/>
        </w:trPr>
        <w:tc>
          <w:tcPr>
            <w:tcW w:w="8306" w:type="dxa"/>
          </w:tcPr>
          <w:p>
            <w:pPr>
              <w:pStyle w:val="TableParagraph"/>
              <w:spacing w:before="217"/>
              <w:ind w:left="38"/>
              <w:rPr>
                <w:b/>
                <w:sz w:val="32"/>
              </w:rPr>
            </w:pPr>
            <w:r>
              <w:rPr>
                <w:b/>
                <w:sz w:val="32"/>
              </w:rPr>
              <w:t>Minutes</w:t>
            </w:r>
          </w:p>
          <w:p>
            <w:pPr>
              <w:pStyle w:val="TableParagraph"/>
              <w:spacing w:before="3"/>
              <w:ind w:left="14"/>
              <w:rPr>
                <w:sz w:val="24"/>
              </w:rPr>
            </w:pPr>
            <w:r>
              <w:rPr>
                <w:sz w:val="24"/>
              </w:rPr>
              <w:t>16 May 2019</w:t>
            </w:r>
          </w:p>
        </w:tc>
      </w:tr>
    </w:tbl>
    <w:p>
      <w:pPr>
        <w:pStyle w:val="BodyText"/>
        <w:spacing w:before="9"/>
        <w:rPr>
          <w:rFonts w:ascii="Times New Roman"/>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8297"/>
      </w:tblGrid>
      <w:tr>
        <w:trPr>
          <w:trHeight w:val="374" w:hRule="atLeast"/>
        </w:trPr>
        <w:tc>
          <w:tcPr>
            <w:tcW w:w="1103" w:type="dxa"/>
          </w:tcPr>
          <w:p>
            <w:pPr>
              <w:pStyle w:val="TableParagraph"/>
              <w:spacing w:line="223" w:lineRule="exact"/>
              <w:ind w:left="58"/>
              <w:rPr>
                <w:sz w:val="20"/>
              </w:rPr>
            </w:pPr>
            <w:r>
              <w:rPr>
                <w:sz w:val="20"/>
              </w:rPr>
              <w:t>Location:</w:t>
            </w:r>
          </w:p>
        </w:tc>
        <w:tc>
          <w:tcPr>
            <w:tcW w:w="8297" w:type="dxa"/>
          </w:tcPr>
          <w:p>
            <w:pPr>
              <w:pStyle w:val="TableParagraph"/>
              <w:spacing w:line="223" w:lineRule="exact"/>
              <w:rPr>
                <w:sz w:val="20"/>
              </w:rPr>
            </w:pPr>
            <w:r>
              <w:rPr>
                <w:sz w:val="20"/>
              </w:rPr>
              <w:t>Bank of England, 20 Moorgate, London, EC2R 6DA</w:t>
            </w:r>
          </w:p>
        </w:tc>
      </w:tr>
      <w:tr>
        <w:trPr>
          <w:trHeight w:val="5432" w:hRule="atLeast"/>
        </w:trPr>
        <w:tc>
          <w:tcPr>
            <w:tcW w:w="1103" w:type="dxa"/>
          </w:tcPr>
          <w:p>
            <w:pPr>
              <w:pStyle w:val="TableParagraph"/>
              <w:spacing w:before="146"/>
              <w:ind w:left="58"/>
              <w:rPr>
                <w:sz w:val="20"/>
              </w:rPr>
            </w:pPr>
            <w:r>
              <w:rPr>
                <w:sz w:val="20"/>
              </w:rPr>
              <w:t>Attendees:</w:t>
            </w:r>
          </w:p>
        </w:tc>
        <w:tc>
          <w:tcPr>
            <w:tcW w:w="8297" w:type="dxa"/>
          </w:tcPr>
          <w:p>
            <w:pPr>
              <w:pStyle w:val="TableParagraph"/>
              <w:spacing w:before="144"/>
              <w:rPr>
                <w:sz w:val="20"/>
              </w:rPr>
            </w:pPr>
            <w:r>
              <w:rPr>
                <w:b/>
                <w:sz w:val="20"/>
              </w:rPr>
              <w:t>Aberdeen Standard Investments: </w:t>
            </w:r>
            <w:r>
              <w:rPr>
                <w:sz w:val="20"/>
              </w:rPr>
              <w:t>Gordon Lowson (Chair) (dialled in)</w:t>
            </w:r>
          </w:p>
          <w:p>
            <w:pPr>
              <w:pStyle w:val="TableParagraph"/>
              <w:rPr>
                <w:sz w:val="20"/>
              </w:rPr>
            </w:pPr>
            <w:r>
              <w:rPr>
                <w:b/>
                <w:sz w:val="20"/>
              </w:rPr>
              <w:t>ACT: </w:t>
            </w:r>
            <w:r>
              <w:rPr>
                <w:sz w:val="20"/>
              </w:rPr>
              <w:t>Michelle Price</w:t>
            </w:r>
          </w:p>
          <w:p>
            <w:pPr>
              <w:pStyle w:val="TableParagraph"/>
              <w:spacing w:before="1"/>
              <w:rPr>
                <w:sz w:val="20"/>
              </w:rPr>
            </w:pPr>
            <w:r>
              <w:rPr>
                <w:b/>
                <w:sz w:val="20"/>
              </w:rPr>
              <w:t>Aviva Investors: </w:t>
            </w:r>
            <w:r>
              <w:rPr>
                <w:sz w:val="20"/>
              </w:rPr>
              <w:t>Mick Chadwick</w:t>
            </w:r>
          </w:p>
          <w:p>
            <w:pPr>
              <w:pStyle w:val="TableParagraph"/>
              <w:spacing w:line="229" w:lineRule="exact"/>
              <w:rPr>
                <w:sz w:val="20"/>
              </w:rPr>
            </w:pPr>
            <w:r>
              <w:rPr>
                <w:b/>
                <w:sz w:val="20"/>
              </w:rPr>
              <w:t>Blackrock: </w:t>
            </w:r>
            <w:r>
              <w:rPr>
                <w:sz w:val="20"/>
              </w:rPr>
              <w:t>Tim Mcleod</w:t>
            </w:r>
          </w:p>
          <w:p>
            <w:pPr>
              <w:pStyle w:val="TableParagraph"/>
              <w:ind w:right="5308"/>
              <w:rPr>
                <w:sz w:val="20"/>
              </w:rPr>
            </w:pPr>
            <w:r>
              <w:rPr>
                <w:b/>
                <w:sz w:val="20"/>
              </w:rPr>
              <w:t>DMO (Observer): </w:t>
            </w:r>
            <w:r>
              <w:rPr>
                <w:sz w:val="20"/>
              </w:rPr>
              <w:t>Jessica Pulay </w:t>
            </w:r>
            <w:r>
              <w:rPr>
                <w:b/>
                <w:sz w:val="20"/>
              </w:rPr>
              <w:t>FCA (Observer): </w:t>
            </w:r>
            <w:r>
              <w:rPr>
                <w:sz w:val="20"/>
              </w:rPr>
              <w:t>Paul Johnson </w:t>
            </w:r>
            <w:r>
              <w:rPr>
                <w:b/>
                <w:sz w:val="20"/>
              </w:rPr>
              <w:t>GLA: </w:t>
            </w:r>
            <w:r>
              <w:rPr>
                <w:sz w:val="20"/>
              </w:rPr>
              <w:t>Luke Webster</w:t>
            </w:r>
          </w:p>
          <w:p>
            <w:pPr>
              <w:pStyle w:val="TableParagraph"/>
              <w:spacing w:before="1"/>
              <w:ind w:right="5929"/>
              <w:rPr>
                <w:sz w:val="20"/>
              </w:rPr>
            </w:pPr>
            <w:r>
              <w:rPr>
                <w:b/>
                <w:sz w:val="20"/>
              </w:rPr>
              <w:t>Hoare &amp; Co: </w:t>
            </w:r>
            <w:r>
              <w:rPr>
                <w:sz w:val="20"/>
              </w:rPr>
              <w:t>Andy </w:t>
            </w:r>
            <w:r>
              <w:rPr>
                <w:spacing w:val="-4"/>
                <w:sz w:val="20"/>
              </w:rPr>
              <w:t>Green </w:t>
            </w:r>
            <w:r>
              <w:rPr>
                <w:b/>
                <w:sz w:val="20"/>
              </w:rPr>
              <w:t>HSBC: </w:t>
            </w:r>
            <w:r>
              <w:rPr>
                <w:sz w:val="20"/>
              </w:rPr>
              <w:t>Glenn Handley </w:t>
            </w:r>
            <w:r>
              <w:rPr>
                <w:b/>
                <w:sz w:val="20"/>
              </w:rPr>
              <w:t>ICAP: </w:t>
            </w:r>
            <w:r>
              <w:rPr>
                <w:sz w:val="20"/>
              </w:rPr>
              <w:t>Phil Chilvers </w:t>
            </w:r>
            <w:r>
              <w:rPr>
                <w:b/>
                <w:sz w:val="20"/>
              </w:rPr>
              <w:t>IMMFA: </w:t>
            </w:r>
            <w:r>
              <w:rPr>
                <w:sz w:val="20"/>
              </w:rPr>
              <w:t>Jane Lowe </w:t>
            </w:r>
            <w:r>
              <w:rPr>
                <w:b/>
                <w:sz w:val="20"/>
              </w:rPr>
              <w:t>ISLA: </w:t>
            </w:r>
            <w:r>
              <w:rPr>
                <w:sz w:val="20"/>
              </w:rPr>
              <w:t>Andy</w:t>
            </w:r>
            <w:r>
              <w:rPr>
                <w:spacing w:val="-5"/>
                <w:sz w:val="20"/>
              </w:rPr>
              <w:t> </w:t>
            </w:r>
            <w:r>
              <w:rPr>
                <w:sz w:val="20"/>
              </w:rPr>
              <w:t>Dyson</w:t>
            </w:r>
          </w:p>
          <w:p>
            <w:pPr>
              <w:pStyle w:val="TableParagraph"/>
              <w:spacing w:line="230" w:lineRule="exact"/>
              <w:rPr>
                <w:sz w:val="20"/>
              </w:rPr>
            </w:pPr>
            <w:r>
              <w:rPr>
                <w:b/>
                <w:sz w:val="20"/>
              </w:rPr>
              <w:t>LCH: </w:t>
            </w:r>
            <w:r>
              <w:rPr>
                <w:sz w:val="20"/>
              </w:rPr>
              <w:t>Elissa Holme</w:t>
            </w:r>
          </w:p>
          <w:p>
            <w:pPr>
              <w:pStyle w:val="TableParagraph"/>
              <w:spacing w:before="1"/>
              <w:rPr>
                <w:sz w:val="20"/>
              </w:rPr>
            </w:pPr>
            <w:r>
              <w:rPr>
                <w:b/>
                <w:sz w:val="20"/>
              </w:rPr>
              <w:t>Lloyds: </w:t>
            </w:r>
            <w:r>
              <w:rPr>
                <w:sz w:val="20"/>
              </w:rPr>
              <w:t>Jamie Smith</w:t>
            </w:r>
          </w:p>
          <w:p>
            <w:pPr>
              <w:pStyle w:val="TableParagraph"/>
              <w:rPr>
                <w:sz w:val="20"/>
              </w:rPr>
            </w:pPr>
            <w:r>
              <w:rPr>
                <w:b/>
                <w:sz w:val="20"/>
              </w:rPr>
              <w:t>MTS Markets: </w:t>
            </w:r>
            <w:r>
              <w:rPr>
                <w:sz w:val="20"/>
              </w:rPr>
              <w:t>Oliver Clark</w:t>
            </w:r>
          </w:p>
          <w:p>
            <w:pPr>
              <w:pStyle w:val="TableParagraph"/>
              <w:spacing w:line="229" w:lineRule="exact"/>
              <w:rPr>
                <w:sz w:val="20"/>
              </w:rPr>
            </w:pPr>
            <w:r>
              <w:rPr>
                <w:b/>
                <w:sz w:val="20"/>
              </w:rPr>
              <w:t>Nationwide: </w:t>
            </w:r>
            <w:r>
              <w:rPr>
                <w:sz w:val="20"/>
              </w:rPr>
              <w:t>Terry Barton</w:t>
            </w:r>
          </w:p>
          <w:p>
            <w:pPr>
              <w:pStyle w:val="TableParagraph"/>
              <w:spacing w:line="229" w:lineRule="exact"/>
              <w:rPr>
                <w:sz w:val="20"/>
              </w:rPr>
            </w:pPr>
            <w:r>
              <w:rPr>
                <w:b/>
                <w:sz w:val="20"/>
              </w:rPr>
              <w:t>NatWest Markets: </w:t>
            </w:r>
            <w:r>
              <w:rPr>
                <w:sz w:val="20"/>
              </w:rPr>
              <w:t>Mark Thomasson</w:t>
            </w:r>
          </w:p>
          <w:p>
            <w:pPr>
              <w:pStyle w:val="TableParagraph"/>
              <w:spacing w:before="1"/>
              <w:rPr>
                <w:sz w:val="20"/>
              </w:rPr>
            </w:pPr>
            <w:r>
              <w:rPr>
                <w:b/>
                <w:sz w:val="20"/>
              </w:rPr>
              <w:t>Tradeweb: </w:t>
            </w:r>
            <w:r>
              <w:rPr>
                <w:sz w:val="20"/>
              </w:rPr>
              <w:t>Jennifer Kesser</w:t>
            </w:r>
          </w:p>
          <w:p>
            <w:pPr>
              <w:pStyle w:val="TableParagraph"/>
              <w:ind w:left="0"/>
              <w:rPr>
                <w:rFonts w:ascii="Times New Roman"/>
                <w:sz w:val="20"/>
              </w:rPr>
            </w:pPr>
          </w:p>
          <w:p>
            <w:pPr>
              <w:pStyle w:val="TableParagraph"/>
              <w:spacing w:before="1"/>
              <w:rPr>
                <w:sz w:val="20"/>
              </w:rPr>
            </w:pPr>
            <w:r>
              <w:rPr>
                <w:b/>
                <w:sz w:val="20"/>
              </w:rPr>
              <w:t>ACI: </w:t>
            </w:r>
            <w:r>
              <w:rPr>
                <w:sz w:val="20"/>
              </w:rPr>
              <w:t>Ashley Daffin, Darryl Hooker (attended for Items 1&amp;2 only)</w:t>
            </w:r>
          </w:p>
          <w:p>
            <w:pPr>
              <w:pStyle w:val="TableParagraph"/>
              <w:spacing w:before="9"/>
              <w:ind w:left="0"/>
              <w:rPr>
                <w:rFonts w:ascii="Times New Roman"/>
                <w:sz w:val="19"/>
              </w:rPr>
            </w:pPr>
          </w:p>
          <w:p>
            <w:pPr>
              <w:pStyle w:val="TableParagraph"/>
              <w:spacing w:before="1"/>
              <w:rPr>
                <w:sz w:val="20"/>
              </w:rPr>
            </w:pPr>
            <w:r>
              <w:rPr>
                <w:b/>
                <w:sz w:val="20"/>
              </w:rPr>
              <w:t>Bank of England: </w:t>
            </w:r>
            <w:r>
              <w:rPr>
                <w:sz w:val="20"/>
              </w:rPr>
              <w:t>Jon Pyzer (Senior Adviser), Rebecca Maher, Tom Jennings (Secretary)</w:t>
            </w:r>
          </w:p>
        </w:tc>
      </w:tr>
    </w:tbl>
    <w:p>
      <w:pPr>
        <w:pStyle w:val="Heading1"/>
        <w:spacing w:before="4"/>
      </w:pPr>
      <w:r>
        <w:rPr/>
        <w:t>Item 1. Introductory remarks</w:t>
      </w:r>
    </w:p>
    <w:p>
      <w:pPr>
        <w:pStyle w:val="BodyText"/>
        <w:spacing w:before="6"/>
        <w:rPr>
          <w:b/>
        </w:rPr>
      </w:pPr>
    </w:p>
    <w:p>
      <w:pPr>
        <w:pStyle w:val="ListParagraph"/>
        <w:numPr>
          <w:ilvl w:val="0"/>
          <w:numId w:val="1"/>
        </w:numPr>
        <w:tabs>
          <w:tab w:pos="841" w:val="left" w:leader="none"/>
        </w:tabs>
        <w:spacing w:line="278" w:lineRule="auto" w:before="0" w:after="0"/>
        <w:ind w:left="840" w:right="840" w:hanging="360"/>
        <w:jc w:val="left"/>
        <w:rPr>
          <w:sz w:val="20"/>
        </w:rPr>
      </w:pPr>
      <w:r>
        <w:rPr>
          <w:sz w:val="20"/>
        </w:rPr>
        <w:t>The</w:t>
      </w:r>
      <w:r>
        <w:rPr>
          <w:spacing w:val="-6"/>
          <w:sz w:val="20"/>
        </w:rPr>
        <w:t> </w:t>
      </w:r>
      <w:r>
        <w:rPr>
          <w:sz w:val="20"/>
        </w:rPr>
        <w:t>Chair</w:t>
      </w:r>
      <w:r>
        <w:rPr>
          <w:spacing w:val="-3"/>
          <w:sz w:val="20"/>
        </w:rPr>
        <w:t> </w:t>
      </w:r>
      <w:r>
        <w:rPr>
          <w:sz w:val="20"/>
        </w:rPr>
        <w:t>confirmed</w:t>
      </w:r>
      <w:r>
        <w:rPr>
          <w:spacing w:val="-5"/>
          <w:sz w:val="20"/>
        </w:rPr>
        <w:t> </w:t>
      </w:r>
      <w:r>
        <w:rPr>
          <w:sz w:val="20"/>
        </w:rPr>
        <w:t>the</w:t>
      </w:r>
      <w:r>
        <w:rPr>
          <w:spacing w:val="-4"/>
          <w:sz w:val="20"/>
        </w:rPr>
        <w:t> </w:t>
      </w:r>
      <w:r>
        <w:rPr>
          <w:sz w:val="20"/>
        </w:rPr>
        <w:t>minutes</w:t>
      </w:r>
      <w:r>
        <w:rPr>
          <w:spacing w:val="-4"/>
          <w:sz w:val="20"/>
        </w:rPr>
        <w:t> </w:t>
      </w:r>
      <w:r>
        <w:rPr>
          <w:sz w:val="20"/>
        </w:rPr>
        <w:t>of</w:t>
      </w:r>
      <w:r>
        <w:rPr>
          <w:spacing w:val="-2"/>
          <w:sz w:val="20"/>
        </w:rPr>
        <w:t> </w:t>
      </w:r>
      <w:r>
        <w:rPr>
          <w:sz w:val="20"/>
        </w:rPr>
        <w:t>February’s</w:t>
      </w:r>
      <w:r>
        <w:rPr>
          <w:spacing w:val="-1"/>
          <w:sz w:val="20"/>
        </w:rPr>
        <w:t> </w:t>
      </w:r>
      <w:r>
        <w:rPr>
          <w:sz w:val="20"/>
        </w:rPr>
        <w:t>meeting</w:t>
      </w:r>
      <w:r>
        <w:rPr>
          <w:spacing w:val="-4"/>
          <w:sz w:val="20"/>
        </w:rPr>
        <w:t> </w:t>
      </w:r>
      <w:r>
        <w:rPr>
          <w:sz w:val="20"/>
        </w:rPr>
        <w:t>has</w:t>
      </w:r>
      <w:r>
        <w:rPr>
          <w:spacing w:val="-3"/>
          <w:sz w:val="20"/>
        </w:rPr>
        <w:t> </w:t>
      </w:r>
      <w:r>
        <w:rPr>
          <w:sz w:val="20"/>
        </w:rPr>
        <w:t>been</w:t>
      </w:r>
      <w:r>
        <w:rPr>
          <w:spacing w:val="-3"/>
          <w:sz w:val="20"/>
        </w:rPr>
        <w:t> </w:t>
      </w:r>
      <w:r>
        <w:rPr>
          <w:sz w:val="20"/>
        </w:rPr>
        <w:t>published</w:t>
      </w:r>
      <w:r>
        <w:rPr>
          <w:spacing w:val="-2"/>
          <w:sz w:val="20"/>
        </w:rPr>
        <w:t> </w:t>
      </w:r>
      <w:r>
        <w:rPr>
          <w:sz w:val="20"/>
        </w:rPr>
        <w:t>on</w:t>
      </w:r>
      <w:r>
        <w:rPr>
          <w:spacing w:val="-3"/>
          <w:sz w:val="20"/>
        </w:rPr>
        <w:t> </w:t>
      </w:r>
      <w:r>
        <w:rPr>
          <w:sz w:val="20"/>
        </w:rPr>
        <w:t>the</w:t>
      </w:r>
      <w:r>
        <w:rPr>
          <w:spacing w:val="-5"/>
          <w:sz w:val="20"/>
        </w:rPr>
        <w:t> </w:t>
      </w:r>
      <w:r>
        <w:rPr>
          <w:sz w:val="20"/>
        </w:rPr>
        <w:t>Bank’s website.</w:t>
      </w:r>
    </w:p>
    <w:p>
      <w:pPr>
        <w:pStyle w:val="Heading1"/>
        <w:spacing w:before="196"/>
      </w:pPr>
      <w:r>
        <w:rPr/>
        <w:t>Item 2. Presentation from the ACI on UK Money Markets Code Education Platform</w:t>
      </w:r>
    </w:p>
    <w:p>
      <w:pPr>
        <w:pStyle w:val="BodyText"/>
        <w:spacing w:before="3"/>
        <w:rPr>
          <w:b/>
        </w:rPr>
      </w:pPr>
    </w:p>
    <w:p>
      <w:pPr>
        <w:pStyle w:val="ListParagraph"/>
        <w:numPr>
          <w:ilvl w:val="0"/>
          <w:numId w:val="1"/>
        </w:numPr>
        <w:tabs>
          <w:tab w:pos="841" w:val="left" w:leader="none"/>
        </w:tabs>
        <w:spacing w:line="276" w:lineRule="auto" w:before="0" w:after="0"/>
        <w:ind w:left="840" w:right="320" w:hanging="360"/>
        <w:jc w:val="left"/>
        <w:rPr>
          <w:sz w:val="20"/>
        </w:rPr>
      </w:pPr>
      <w:r>
        <w:rPr>
          <w:sz w:val="20"/>
        </w:rPr>
        <w:t>The ACI delivered a short presentation on their online education platform; one aspect of the platform is that it can provide training on industry codes, including the UK Money Markets</w:t>
      </w:r>
      <w:r>
        <w:rPr>
          <w:spacing w:val="-30"/>
          <w:sz w:val="20"/>
        </w:rPr>
        <w:t> </w:t>
      </w:r>
      <w:r>
        <w:rPr>
          <w:sz w:val="20"/>
        </w:rPr>
        <w:t>Code. The presentation focussed on feedback on both Codes, garnered from users of the education platform. In</w:t>
      </w:r>
      <w:r>
        <w:rPr>
          <w:spacing w:val="-3"/>
          <w:sz w:val="20"/>
        </w:rPr>
        <w:t> </w:t>
      </w:r>
      <w:r>
        <w:rPr>
          <w:sz w:val="20"/>
        </w:rPr>
        <w:t>particular:</w:t>
      </w:r>
    </w:p>
    <w:p>
      <w:pPr>
        <w:pStyle w:val="BodyText"/>
        <w:spacing w:before="1"/>
        <w:rPr>
          <w:sz w:val="23"/>
        </w:rPr>
      </w:pPr>
    </w:p>
    <w:p>
      <w:pPr>
        <w:pStyle w:val="ListParagraph"/>
        <w:numPr>
          <w:ilvl w:val="1"/>
          <w:numId w:val="1"/>
        </w:numPr>
        <w:tabs>
          <w:tab w:pos="1560" w:val="left" w:leader="none"/>
          <w:tab w:pos="1561" w:val="left" w:leader="none"/>
        </w:tabs>
        <w:spacing w:line="273" w:lineRule="auto" w:before="0" w:after="0"/>
        <w:ind w:left="1560" w:right="256" w:hanging="360"/>
        <w:jc w:val="left"/>
        <w:rPr>
          <w:sz w:val="20"/>
        </w:rPr>
      </w:pPr>
      <w:r>
        <w:rPr>
          <w:sz w:val="20"/>
        </w:rPr>
        <w:t>Signatories to the Code noted on the whole that they now have processes in place to ensure continued adherence to the Code, once they have signed up to it. Methods to ensure this include provision of ongoing training to staff, as well as periodic reviews</w:t>
      </w:r>
      <w:r>
        <w:rPr>
          <w:spacing w:val="-31"/>
          <w:sz w:val="20"/>
        </w:rPr>
        <w:t> </w:t>
      </w:r>
      <w:r>
        <w:rPr>
          <w:sz w:val="20"/>
        </w:rPr>
        <w:t>from Legal or Compliance departments.</w:t>
      </w:r>
    </w:p>
    <w:p>
      <w:pPr>
        <w:pStyle w:val="BodyText"/>
        <w:spacing w:before="7"/>
        <w:rPr>
          <w:sz w:val="23"/>
        </w:rPr>
      </w:pPr>
    </w:p>
    <w:p>
      <w:pPr>
        <w:pStyle w:val="ListParagraph"/>
        <w:numPr>
          <w:ilvl w:val="1"/>
          <w:numId w:val="1"/>
        </w:numPr>
        <w:tabs>
          <w:tab w:pos="1560" w:val="left" w:leader="none"/>
          <w:tab w:pos="1561" w:val="left" w:leader="none"/>
        </w:tabs>
        <w:spacing w:line="271" w:lineRule="auto" w:before="0" w:after="0"/>
        <w:ind w:left="1560" w:right="560" w:hanging="360"/>
        <w:jc w:val="left"/>
        <w:rPr>
          <w:sz w:val="20"/>
        </w:rPr>
      </w:pPr>
      <w:r>
        <w:rPr>
          <w:sz w:val="20"/>
        </w:rPr>
        <w:t>Buy side take up is limited, with a variety of reasons cited by the small set of platform users that</w:t>
      </w:r>
      <w:r>
        <w:rPr>
          <w:spacing w:val="-1"/>
          <w:sz w:val="20"/>
        </w:rPr>
        <w:t> </w:t>
      </w:r>
      <w:r>
        <w:rPr>
          <w:sz w:val="20"/>
        </w:rPr>
        <w:t>responded.</w:t>
      </w:r>
    </w:p>
    <w:p>
      <w:pPr>
        <w:pStyle w:val="BodyText"/>
        <w:spacing w:before="5"/>
        <w:rPr>
          <w:sz w:val="23"/>
        </w:rPr>
      </w:pPr>
    </w:p>
    <w:p>
      <w:pPr>
        <w:pStyle w:val="ListParagraph"/>
        <w:numPr>
          <w:ilvl w:val="1"/>
          <w:numId w:val="1"/>
        </w:numPr>
        <w:tabs>
          <w:tab w:pos="1560" w:val="left" w:leader="none"/>
          <w:tab w:pos="1561" w:val="left" w:leader="none"/>
        </w:tabs>
        <w:spacing w:line="273" w:lineRule="auto" w:before="0" w:after="0"/>
        <w:ind w:left="1560" w:right="1795" w:hanging="360"/>
        <w:jc w:val="left"/>
        <w:rPr>
          <w:sz w:val="20"/>
        </w:rPr>
      </w:pPr>
      <w:r>
        <w:rPr>
          <w:sz w:val="20"/>
        </w:rPr>
        <w:t>At this stage, Code compliance does not tend to factor significantly into client/counterparty selection amongst the buy-side/corporate</w:t>
      </w:r>
      <w:r>
        <w:rPr>
          <w:spacing w:val="-12"/>
          <w:sz w:val="20"/>
        </w:rPr>
        <w:t> </w:t>
      </w:r>
      <w:r>
        <w:rPr>
          <w:sz w:val="20"/>
        </w:rPr>
        <w:t>sector.</w:t>
      </w:r>
    </w:p>
    <w:p>
      <w:pPr>
        <w:spacing w:after="0" w:line="273" w:lineRule="auto"/>
        <w:jc w:val="left"/>
        <w:rPr>
          <w:sz w:val="20"/>
        </w:rPr>
        <w:sectPr>
          <w:headerReference w:type="default" r:id="rId5"/>
          <w:type w:val="continuous"/>
          <w:pgSz w:w="11910" w:h="16840"/>
          <w:pgMar w:header="735" w:top="1660" w:bottom="280" w:left="960" w:right="1320"/>
        </w:sectPr>
      </w:pPr>
    </w:p>
    <w:p>
      <w:pPr>
        <w:pStyle w:val="Heading1"/>
        <w:spacing w:before="143"/>
      </w:pPr>
      <w:r>
        <w:rPr/>
        <w:t>Item 3. Sub-Committee discussion on ACI presentation</w:t>
      </w:r>
    </w:p>
    <w:p>
      <w:pPr>
        <w:pStyle w:val="BodyText"/>
        <w:spacing w:before="3"/>
        <w:rPr>
          <w:b/>
        </w:rPr>
      </w:pPr>
    </w:p>
    <w:p>
      <w:pPr>
        <w:pStyle w:val="ListParagraph"/>
        <w:numPr>
          <w:ilvl w:val="0"/>
          <w:numId w:val="1"/>
        </w:numPr>
        <w:tabs>
          <w:tab w:pos="841" w:val="left" w:leader="none"/>
        </w:tabs>
        <w:spacing w:line="278" w:lineRule="auto" w:before="0" w:after="0"/>
        <w:ind w:left="840" w:right="988" w:hanging="360"/>
        <w:jc w:val="left"/>
        <w:rPr>
          <w:sz w:val="20"/>
        </w:rPr>
      </w:pPr>
      <w:r>
        <w:rPr>
          <w:sz w:val="20"/>
        </w:rPr>
        <w:t>There was a general discussion amongst members following the presentation,</w:t>
      </w:r>
      <w:r>
        <w:rPr>
          <w:spacing w:val="-33"/>
          <w:sz w:val="20"/>
        </w:rPr>
        <w:t> </w:t>
      </w:r>
      <w:r>
        <w:rPr>
          <w:sz w:val="20"/>
        </w:rPr>
        <w:t>regarding education for the market on the Code more</w:t>
      </w:r>
      <w:r>
        <w:rPr>
          <w:spacing w:val="-2"/>
          <w:sz w:val="20"/>
        </w:rPr>
        <w:t> </w:t>
      </w:r>
      <w:r>
        <w:rPr>
          <w:sz w:val="20"/>
        </w:rPr>
        <w:t>broadly.</w:t>
      </w:r>
    </w:p>
    <w:p>
      <w:pPr>
        <w:pStyle w:val="BodyText"/>
        <w:spacing w:before="9"/>
        <w:rPr>
          <w:sz w:val="22"/>
        </w:rPr>
      </w:pPr>
    </w:p>
    <w:p>
      <w:pPr>
        <w:pStyle w:val="ListParagraph"/>
        <w:numPr>
          <w:ilvl w:val="1"/>
          <w:numId w:val="1"/>
        </w:numPr>
        <w:tabs>
          <w:tab w:pos="1560" w:val="left" w:leader="none"/>
          <w:tab w:pos="1561" w:val="left" w:leader="none"/>
        </w:tabs>
        <w:spacing w:line="271" w:lineRule="auto" w:before="0" w:after="0"/>
        <w:ind w:left="1560" w:right="301" w:hanging="360"/>
        <w:jc w:val="left"/>
        <w:rPr>
          <w:sz w:val="20"/>
        </w:rPr>
      </w:pPr>
      <w:r>
        <w:rPr>
          <w:sz w:val="20"/>
        </w:rPr>
        <w:t>No members of the Sub-Committee were aware of any other education providers for</w:t>
      </w:r>
      <w:r>
        <w:rPr>
          <w:spacing w:val="-29"/>
          <w:sz w:val="20"/>
        </w:rPr>
        <w:t> </w:t>
      </w:r>
      <w:r>
        <w:rPr>
          <w:sz w:val="20"/>
        </w:rPr>
        <w:t>the UK Money Market Code, nor for the FX Global</w:t>
      </w:r>
      <w:r>
        <w:rPr>
          <w:spacing w:val="-4"/>
          <w:sz w:val="20"/>
        </w:rPr>
        <w:t> </w:t>
      </w:r>
      <w:r>
        <w:rPr>
          <w:sz w:val="20"/>
        </w:rPr>
        <w:t>Code.</w:t>
      </w:r>
    </w:p>
    <w:p>
      <w:pPr>
        <w:pStyle w:val="BodyText"/>
        <w:spacing w:before="5"/>
        <w:rPr>
          <w:sz w:val="23"/>
        </w:rPr>
      </w:pPr>
    </w:p>
    <w:p>
      <w:pPr>
        <w:pStyle w:val="ListParagraph"/>
        <w:numPr>
          <w:ilvl w:val="1"/>
          <w:numId w:val="1"/>
        </w:numPr>
        <w:tabs>
          <w:tab w:pos="1560" w:val="left" w:leader="none"/>
          <w:tab w:pos="1561" w:val="left" w:leader="none"/>
        </w:tabs>
        <w:spacing w:line="273" w:lineRule="auto" w:before="0" w:after="0"/>
        <w:ind w:left="1560" w:right="125" w:hanging="360"/>
        <w:jc w:val="left"/>
        <w:rPr>
          <w:sz w:val="20"/>
        </w:rPr>
      </w:pPr>
      <w:r>
        <w:rPr>
          <w:sz w:val="20"/>
        </w:rPr>
        <w:t>It was noted that there was a need to understand further what the accountancy firms were doing in regards to the Code (if anything), i.e. whether any Code consultancy/training services were being</w:t>
      </w:r>
      <w:r>
        <w:rPr>
          <w:spacing w:val="2"/>
          <w:sz w:val="20"/>
        </w:rPr>
        <w:t> </w:t>
      </w:r>
      <w:r>
        <w:rPr>
          <w:sz w:val="20"/>
        </w:rPr>
        <w:t>offered.</w:t>
      </w:r>
    </w:p>
    <w:p>
      <w:pPr>
        <w:pStyle w:val="BodyText"/>
        <w:spacing w:before="4"/>
        <w:rPr>
          <w:sz w:val="23"/>
        </w:rPr>
      </w:pPr>
    </w:p>
    <w:p>
      <w:pPr>
        <w:pStyle w:val="ListParagraph"/>
        <w:numPr>
          <w:ilvl w:val="1"/>
          <w:numId w:val="1"/>
        </w:numPr>
        <w:tabs>
          <w:tab w:pos="1560" w:val="left" w:leader="none"/>
          <w:tab w:pos="1561" w:val="left" w:leader="none"/>
        </w:tabs>
        <w:spacing w:line="271" w:lineRule="auto" w:before="1" w:after="0"/>
        <w:ind w:left="1560" w:right="428" w:hanging="360"/>
        <w:jc w:val="left"/>
        <w:rPr>
          <w:sz w:val="20"/>
        </w:rPr>
      </w:pPr>
      <w:r>
        <w:rPr>
          <w:sz w:val="20"/>
        </w:rPr>
        <w:t>Making better use of FCA data was suggested as a possible route to discovering more about the implementation of the Code. The FCA agreed to explore this option</w:t>
      </w:r>
      <w:r>
        <w:rPr>
          <w:spacing w:val="-19"/>
          <w:sz w:val="20"/>
        </w:rPr>
        <w:t> </w:t>
      </w:r>
      <w:r>
        <w:rPr>
          <w:sz w:val="20"/>
        </w:rPr>
        <w:t>further.</w:t>
      </w:r>
    </w:p>
    <w:p>
      <w:pPr>
        <w:pStyle w:val="BodyText"/>
        <w:spacing w:before="8"/>
        <w:rPr>
          <w:sz w:val="17"/>
        </w:rPr>
      </w:pPr>
    </w:p>
    <w:p>
      <w:pPr>
        <w:pStyle w:val="Heading1"/>
      </w:pPr>
      <w:r>
        <w:rPr/>
        <w:t>Item 4. Buy-side/Corporate Code sign-up</w:t>
      </w:r>
    </w:p>
    <w:p>
      <w:pPr>
        <w:pStyle w:val="BodyText"/>
        <w:spacing w:before="5"/>
        <w:rPr>
          <w:b/>
        </w:rPr>
      </w:pPr>
    </w:p>
    <w:p>
      <w:pPr>
        <w:pStyle w:val="ListParagraph"/>
        <w:numPr>
          <w:ilvl w:val="0"/>
          <w:numId w:val="1"/>
        </w:numPr>
        <w:tabs>
          <w:tab w:pos="841" w:val="left" w:leader="none"/>
        </w:tabs>
        <w:spacing w:line="276" w:lineRule="auto" w:before="0" w:after="0"/>
        <w:ind w:left="840" w:right="123" w:hanging="360"/>
        <w:jc w:val="left"/>
        <w:rPr>
          <w:sz w:val="20"/>
        </w:rPr>
      </w:pPr>
      <w:r>
        <w:rPr>
          <w:sz w:val="20"/>
        </w:rPr>
        <w:t>Noting the relative weakness in sign-up amongst the buy-side and corporate sector, members of the Sub-Committee discussed what further action could be taken to encourage and promote wider buy-side sign up of the</w:t>
      </w:r>
      <w:r>
        <w:rPr>
          <w:spacing w:val="-2"/>
          <w:sz w:val="20"/>
        </w:rPr>
        <w:t> </w:t>
      </w:r>
      <w:r>
        <w:rPr>
          <w:sz w:val="20"/>
        </w:rPr>
        <w:t>Code.</w:t>
      </w:r>
    </w:p>
    <w:p>
      <w:pPr>
        <w:pStyle w:val="BodyText"/>
        <w:spacing w:before="11"/>
        <w:rPr>
          <w:sz w:val="22"/>
        </w:rPr>
      </w:pPr>
    </w:p>
    <w:p>
      <w:pPr>
        <w:pStyle w:val="ListParagraph"/>
        <w:numPr>
          <w:ilvl w:val="1"/>
          <w:numId w:val="1"/>
        </w:numPr>
        <w:tabs>
          <w:tab w:pos="1560" w:val="left" w:leader="none"/>
          <w:tab w:pos="1561" w:val="left" w:leader="none"/>
        </w:tabs>
        <w:spacing w:line="276" w:lineRule="auto" w:before="0" w:after="0"/>
        <w:ind w:left="1560" w:right="147" w:hanging="360"/>
        <w:jc w:val="left"/>
        <w:rPr>
          <w:sz w:val="20"/>
        </w:rPr>
      </w:pPr>
      <w:r>
        <w:rPr>
          <w:sz w:val="20"/>
        </w:rPr>
        <w:t>Noting what was fed back in the ACI presentation, several members also commented</w:t>
      </w:r>
      <w:r>
        <w:rPr>
          <w:spacing w:val="-23"/>
          <w:sz w:val="20"/>
        </w:rPr>
        <w:t> </w:t>
      </w:r>
      <w:r>
        <w:rPr>
          <w:sz w:val="20"/>
        </w:rPr>
        <w:t>that they had heard similar reasons for lack of corporate sign up anecdotally, in particular the misconception that very little corporate activity falls within the remit of the Code.  Members generally felt that the “proportionality” aspect of the Statement of Commitment should be stressed further in response and in any future communications regarding the Code.</w:t>
      </w:r>
    </w:p>
    <w:p>
      <w:pPr>
        <w:pStyle w:val="BodyText"/>
        <w:spacing w:before="7"/>
        <w:rPr>
          <w:sz w:val="22"/>
        </w:rPr>
      </w:pPr>
    </w:p>
    <w:p>
      <w:pPr>
        <w:pStyle w:val="ListParagraph"/>
        <w:numPr>
          <w:ilvl w:val="1"/>
          <w:numId w:val="1"/>
        </w:numPr>
        <w:tabs>
          <w:tab w:pos="1560" w:val="left" w:leader="none"/>
          <w:tab w:pos="1561" w:val="left" w:leader="none"/>
        </w:tabs>
        <w:spacing w:line="273" w:lineRule="auto" w:before="0" w:after="0"/>
        <w:ind w:left="1560" w:right="351" w:hanging="360"/>
        <w:jc w:val="left"/>
        <w:rPr>
          <w:sz w:val="20"/>
        </w:rPr>
      </w:pPr>
      <w:r>
        <w:rPr>
          <w:sz w:val="20"/>
        </w:rPr>
        <w:t>The accountancy firms were again highlighted as a potential avenue to explore, as they may be able to help corporates with checking their existing adherence, and identifying any changes to business practice that should be</w:t>
      </w:r>
      <w:r>
        <w:rPr>
          <w:spacing w:val="-7"/>
          <w:sz w:val="20"/>
        </w:rPr>
        <w:t> </w:t>
      </w:r>
      <w:r>
        <w:rPr>
          <w:sz w:val="20"/>
        </w:rPr>
        <w:t>made.</w:t>
      </w:r>
    </w:p>
    <w:p>
      <w:pPr>
        <w:pStyle w:val="BodyText"/>
        <w:spacing w:before="5"/>
        <w:rPr>
          <w:sz w:val="23"/>
        </w:rPr>
      </w:pPr>
    </w:p>
    <w:p>
      <w:pPr>
        <w:pStyle w:val="ListParagraph"/>
        <w:numPr>
          <w:ilvl w:val="1"/>
          <w:numId w:val="1"/>
        </w:numPr>
        <w:tabs>
          <w:tab w:pos="1560" w:val="left" w:leader="none"/>
          <w:tab w:pos="1561" w:val="left" w:leader="none"/>
        </w:tabs>
        <w:spacing w:line="273" w:lineRule="auto" w:before="0" w:after="0"/>
        <w:ind w:left="1560" w:right="199" w:hanging="360"/>
        <w:jc w:val="left"/>
        <w:rPr>
          <w:sz w:val="20"/>
        </w:rPr>
      </w:pPr>
      <w:r>
        <w:rPr>
          <w:sz w:val="20"/>
        </w:rPr>
        <w:t>Some members also commented that communications from seniors at the Bank had gained traction previously, and would likely do so again. It was noted that the Bank’s Head</w:t>
      </w:r>
      <w:r>
        <w:rPr>
          <w:spacing w:val="-4"/>
          <w:sz w:val="20"/>
        </w:rPr>
        <w:t> </w:t>
      </w:r>
      <w:r>
        <w:rPr>
          <w:sz w:val="20"/>
        </w:rPr>
        <w:t>of</w:t>
      </w:r>
      <w:r>
        <w:rPr>
          <w:spacing w:val="-3"/>
          <w:sz w:val="20"/>
        </w:rPr>
        <w:t> </w:t>
      </w:r>
      <w:r>
        <w:rPr>
          <w:sz w:val="20"/>
        </w:rPr>
        <w:t>Sterling</w:t>
      </w:r>
      <w:r>
        <w:rPr>
          <w:spacing w:val="-4"/>
          <w:sz w:val="20"/>
        </w:rPr>
        <w:t> </w:t>
      </w:r>
      <w:r>
        <w:rPr>
          <w:sz w:val="20"/>
        </w:rPr>
        <w:t>Markets</w:t>
      </w:r>
      <w:r>
        <w:rPr>
          <w:spacing w:val="-4"/>
          <w:sz w:val="20"/>
        </w:rPr>
        <w:t> </w:t>
      </w:r>
      <w:r>
        <w:rPr>
          <w:sz w:val="20"/>
        </w:rPr>
        <w:t>Division</w:t>
      </w:r>
      <w:r>
        <w:rPr>
          <w:spacing w:val="-3"/>
          <w:sz w:val="20"/>
        </w:rPr>
        <w:t> </w:t>
      </w:r>
      <w:r>
        <w:rPr>
          <w:sz w:val="20"/>
        </w:rPr>
        <w:t>was</w:t>
      </w:r>
      <w:r>
        <w:rPr>
          <w:spacing w:val="-4"/>
          <w:sz w:val="20"/>
        </w:rPr>
        <w:t> </w:t>
      </w:r>
      <w:r>
        <w:rPr>
          <w:sz w:val="20"/>
        </w:rPr>
        <w:t>due</w:t>
      </w:r>
      <w:r>
        <w:rPr>
          <w:spacing w:val="-4"/>
          <w:sz w:val="20"/>
        </w:rPr>
        <w:t> </w:t>
      </w:r>
      <w:r>
        <w:rPr>
          <w:sz w:val="20"/>
        </w:rPr>
        <w:t>to</w:t>
      </w:r>
      <w:r>
        <w:rPr>
          <w:spacing w:val="-4"/>
          <w:sz w:val="20"/>
        </w:rPr>
        <w:t> </w:t>
      </w:r>
      <w:r>
        <w:rPr>
          <w:sz w:val="20"/>
        </w:rPr>
        <w:t>speak</w:t>
      </w:r>
      <w:r>
        <w:rPr>
          <w:spacing w:val="-1"/>
          <w:sz w:val="20"/>
        </w:rPr>
        <w:t> </w:t>
      </w:r>
      <w:r>
        <w:rPr>
          <w:sz w:val="20"/>
        </w:rPr>
        <w:t>at</w:t>
      </w:r>
      <w:r>
        <w:rPr>
          <w:spacing w:val="-4"/>
          <w:sz w:val="20"/>
        </w:rPr>
        <w:t> </w:t>
      </w:r>
      <w:r>
        <w:rPr>
          <w:sz w:val="20"/>
        </w:rPr>
        <w:t>the</w:t>
      </w:r>
      <w:r>
        <w:rPr>
          <w:spacing w:val="-2"/>
          <w:sz w:val="20"/>
        </w:rPr>
        <w:t> </w:t>
      </w:r>
      <w:r>
        <w:rPr>
          <w:sz w:val="20"/>
        </w:rPr>
        <w:t>ACT’s</w:t>
      </w:r>
      <w:r>
        <w:rPr>
          <w:spacing w:val="-4"/>
          <w:sz w:val="20"/>
        </w:rPr>
        <w:t> </w:t>
      </w:r>
      <w:r>
        <w:rPr>
          <w:sz w:val="20"/>
        </w:rPr>
        <w:t>annual</w:t>
      </w:r>
      <w:r>
        <w:rPr>
          <w:spacing w:val="-5"/>
          <w:sz w:val="20"/>
        </w:rPr>
        <w:t> </w:t>
      </w:r>
      <w:r>
        <w:rPr>
          <w:sz w:val="20"/>
        </w:rPr>
        <w:t>conference,</w:t>
      </w:r>
      <w:r>
        <w:rPr>
          <w:spacing w:val="-5"/>
          <w:sz w:val="20"/>
        </w:rPr>
        <w:t> </w:t>
      </w:r>
      <w:r>
        <w:rPr>
          <w:sz w:val="20"/>
        </w:rPr>
        <w:t>and would likely encourage corporate sign</w:t>
      </w:r>
      <w:r>
        <w:rPr>
          <w:spacing w:val="-5"/>
          <w:sz w:val="20"/>
        </w:rPr>
        <w:t> </w:t>
      </w:r>
      <w:r>
        <w:rPr>
          <w:sz w:val="20"/>
        </w:rPr>
        <w:t>up.</w:t>
      </w:r>
    </w:p>
    <w:p>
      <w:pPr>
        <w:pStyle w:val="BodyText"/>
        <w:spacing w:before="4"/>
        <w:rPr>
          <w:sz w:val="23"/>
        </w:rPr>
      </w:pPr>
    </w:p>
    <w:p>
      <w:pPr>
        <w:pStyle w:val="ListParagraph"/>
        <w:numPr>
          <w:ilvl w:val="1"/>
          <w:numId w:val="1"/>
        </w:numPr>
        <w:tabs>
          <w:tab w:pos="1560" w:val="left" w:leader="none"/>
          <w:tab w:pos="1561" w:val="left" w:leader="none"/>
        </w:tabs>
        <w:spacing w:line="276" w:lineRule="auto" w:before="0" w:after="0"/>
        <w:ind w:left="1560" w:right="137" w:hanging="360"/>
        <w:jc w:val="left"/>
        <w:rPr>
          <w:sz w:val="20"/>
        </w:rPr>
      </w:pPr>
      <w:r>
        <w:rPr>
          <w:sz w:val="20"/>
        </w:rPr>
        <w:t>For the one corporate that has already signed up to the Code, the steps taken to facilitate their sign up were covered. These included gap analysis of the Code, implementation of required changes to business practices, followed by a detailed paper to the Board for sign off.</w:t>
      </w:r>
    </w:p>
    <w:p>
      <w:pPr>
        <w:pStyle w:val="BodyText"/>
        <w:spacing w:before="9"/>
        <w:rPr>
          <w:sz w:val="22"/>
        </w:rPr>
      </w:pPr>
    </w:p>
    <w:p>
      <w:pPr>
        <w:pStyle w:val="ListParagraph"/>
        <w:numPr>
          <w:ilvl w:val="1"/>
          <w:numId w:val="1"/>
        </w:numPr>
        <w:tabs>
          <w:tab w:pos="1561" w:val="left" w:leader="none"/>
        </w:tabs>
        <w:spacing w:line="273" w:lineRule="auto" w:before="0" w:after="0"/>
        <w:ind w:left="1560" w:right="302" w:hanging="360"/>
        <w:jc w:val="both"/>
        <w:rPr>
          <w:sz w:val="20"/>
        </w:rPr>
      </w:pPr>
      <w:r>
        <w:rPr>
          <w:sz w:val="20"/>
        </w:rPr>
        <w:t>The Sub-Committee reaffirmed its belief in the importance of corporates adhering to the Code given they constitute a significant part of the market, and clearly it is preferable</w:t>
      </w:r>
      <w:r>
        <w:rPr>
          <w:spacing w:val="-31"/>
          <w:sz w:val="20"/>
        </w:rPr>
        <w:t> </w:t>
      </w:r>
      <w:r>
        <w:rPr>
          <w:sz w:val="20"/>
        </w:rPr>
        <w:t>for </w:t>
      </w:r>
      <w:r>
        <w:rPr>
          <w:i/>
          <w:sz w:val="20"/>
        </w:rPr>
        <w:t>both </w:t>
      </w:r>
      <w:r>
        <w:rPr>
          <w:sz w:val="20"/>
        </w:rPr>
        <w:t>sides of any transaction to carried out by firms which are Code</w:t>
      </w:r>
      <w:r>
        <w:rPr>
          <w:spacing w:val="-18"/>
          <w:sz w:val="20"/>
        </w:rPr>
        <w:t> </w:t>
      </w:r>
      <w:r>
        <w:rPr>
          <w:sz w:val="20"/>
        </w:rPr>
        <w:t>compliant.</w:t>
      </w:r>
    </w:p>
    <w:p>
      <w:pPr>
        <w:pStyle w:val="BodyText"/>
        <w:spacing w:before="8"/>
        <w:rPr>
          <w:sz w:val="17"/>
        </w:rPr>
      </w:pPr>
    </w:p>
    <w:p>
      <w:pPr>
        <w:pStyle w:val="Heading1"/>
      </w:pPr>
      <w:r>
        <w:rPr/>
        <w:t>Item 5. One page summary document on the Code</w:t>
      </w:r>
    </w:p>
    <w:p>
      <w:pPr>
        <w:pStyle w:val="BodyText"/>
        <w:spacing w:before="3"/>
        <w:rPr>
          <w:b/>
        </w:rPr>
      </w:pPr>
    </w:p>
    <w:p>
      <w:pPr>
        <w:pStyle w:val="ListParagraph"/>
        <w:numPr>
          <w:ilvl w:val="0"/>
          <w:numId w:val="1"/>
        </w:numPr>
        <w:tabs>
          <w:tab w:pos="841" w:val="left" w:leader="none"/>
        </w:tabs>
        <w:spacing w:line="276" w:lineRule="auto" w:before="0" w:after="0"/>
        <w:ind w:left="840" w:right="354" w:hanging="360"/>
        <w:jc w:val="left"/>
        <w:rPr>
          <w:sz w:val="20"/>
        </w:rPr>
      </w:pPr>
      <w:r>
        <w:rPr>
          <w:sz w:val="20"/>
        </w:rPr>
        <w:t>Members of the Sub-Committee discussed the proposed one-page summary document on the Code. The purpose of this document is to briefly and succinctly describe what the Code is,</w:t>
      </w:r>
      <w:r>
        <w:rPr>
          <w:spacing w:val="-28"/>
          <w:sz w:val="20"/>
        </w:rPr>
        <w:t> </w:t>
      </w:r>
      <w:r>
        <w:rPr>
          <w:sz w:val="20"/>
        </w:rPr>
        <w:t>why firms should sign up to it, and how to do so. This is an idea that was floated by members at</w:t>
      </w:r>
      <w:r>
        <w:rPr>
          <w:spacing w:val="-34"/>
          <w:sz w:val="20"/>
        </w:rPr>
        <w:t> </w:t>
      </w:r>
      <w:r>
        <w:rPr>
          <w:sz w:val="20"/>
        </w:rPr>
        <w:t>the</w:t>
      </w:r>
    </w:p>
    <w:p>
      <w:pPr>
        <w:spacing w:after="0" w:line="276" w:lineRule="auto"/>
        <w:jc w:val="left"/>
        <w:rPr>
          <w:sz w:val="20"/>
        </w:rPr>
        <w:sectPr>
          <w:pgSz w:w="11910" w:h="16840"/>
          <w:pgMar w:header="735" w:footer="0" w:top="1660" w:bottom="280" w:left="960" w:right="1320"/>
        </w:sectPr>
      </w:pPr>
    </w:p>
    <w:p>
      <w:pPr>
        <w:pStyle w:val="BodyText"/>
        <w:spacing w:before="143"/>
        <w:ind w:left="840"/>
      </w:pPr>
      <w:r>
        <w:rPr/>
        <w:t>previous meeting.</w:t>
      </w:r>
    </w:p>
    <w:p>
      <w:pPr>
        <w:pStyle w:val="BodyText"/>
        <w:spacing w:before="11"/>
        <w:rPr>
          <w:sz w:val="25"/>
        </w:rPr>
      </w:pPr>
    </w:p>
    <w:p>
      <w:pPr>
        <w:pStyle w:val="ListParagraph"/>
        <w:numPr>
          <w:ilvl w:val="1"/>
          <w:numId w:val="1"/>
        </w:numPr>
        <w:tabs>
          <w:tab w:pos="1560" w:val="left" w:leader="none"/>
          <w:tab w:pos="1561" w:val="left" w:leader="none"/>
        </w:tabs>
        <w:spacing w:line="273" w:lineRule="auto" w:before="0" w:after="0"/>
        <w:ind w:left="1560" w:right="154" w:hanging="360"/>
        <w:jc w:val="left"/>
        <w:rPr>
          <w:sz w:val="20"/>
        </w:rPr>
      </w:pPr>
      <w:r>
        <w:rPr>
          <w:sz w:val="20"/>
        </w:rPr>
        <w:t>Members of the Sub-Committee were strongly in favour of creating this document, and</w:t>
      </w:r>
      <w:r>
        <w:rPr>
          <w:spacing w:val="-27"/>
          <w:sz w:val="20"/>
        </w:rPr>
        <w:t> </w:t>
      </w:r>
      <w:r>
        <w:rPr>
          <w:sz w:val="20"/>
        </w:rPr>
        <w:t>on balance believed that several (slightly different) versions should be created, tailored towards corporates, asset managers and potentially local</w:t>
      </w:r>
      <w:r>
        <w:rPr>
          <w:spacing w:val="-6"/>
          <w:sz w:val="20"/>
        </w:rPr>
        <w:t> </w:t>
      </w:r>
      <w:r>
        <w:rPr>
          <w:sz w:val="20"/>
        </w:rPr>
        <w:t>authorities.</w:t>
      </w:r>
    </w:p>
    <w:p>
      <w:pPr>
        <w:pStyle w:val="BodyText"/>
        <w:spacing w:before="5"/>
        <w:rPr>
          <w:sz w:val="23"/>
        </w:rPr>
      </w:pPr>
    </w:p>
    <w:p>
      <w:pPr>
        <w:pStyle w:val="ListParagraph"/>
        <w:numPr>
          <w:ilvl w:val="1"/>
          <w:numId w:val="1"/>
        </w:numPr>
        <w:tabs>
          <w:tab w:pos="1560" w:val="left" w:leader="none"/>
          <w:tab w:pos="1561" w:val="left" w:leader="none"/>
        </w:tabs>
        <w:spacing w:line="240" w:lineRule="auto" w:before="0" w:after="0"/>
        <w:ind w:left="1560" w:right="0" w:hanging="361"/>
        <w:jc w:val="left"/>
        <w:rPr>
          <w:sz w:val="20"/>
        </w:rPr>
      </w:pPr>
      <w:r>
        <w:rPr>
          <w:sz w:val="20"/>
        </w:rPr>
        <w:t>The ACT volunteered to lead on drafting the document; support was also offered by</w:t>
      </w:r>
      <w:r>
        <w:rPr>
          <w:spacing w:val="-12"/>
          <w:sz w:val="20"/>
        </w:rPr>
        <w:t> </w:t>
      </w:r>
      <w:r>
        <w:rPr>
          <w:sz w:val="20"/>
        </w:rPr>
        <w:t>LCH.</w:t>
      </w:r>
    </w:p>
    <w:p>
      <w:pPr>
        <w:pStyle w:val="BodyText"/>
        <w:spacing w:before="9"/>
        <w:rPr>
          <w:sz w:val="25"/>
        </w:rPr>
      </w:pPr>
    </w:p>
    <w:p>
      <w:pPr>
        <w:pStyle w:val="ListParagraph"/>
        <w:numPr>
          <w:ilvl w:val="1"/>
          <w:numId w:val="1"/>
        </w:numPr>
        <w:tabs>
          <w:tab w:pos="1560" w:val="left" w:leader="none"/>
          <w:tab w:pos="1561" w:val="left" w:leader="none"/>
        </w:tabs>
        <w:spacing w:line="273" w:lineRule="auto" w:before="1" w:after="0"/>
        <w:ind w:left="1560" w:right="228" w:hanging="360"/>
        <w:jc w:val="left"/>
        <w:rPr>
          <w:sz w:val="20"/>
        </w:rPr>
      </w:pPr>
      <w:r>
        <w:rPr>
          <w:sz w:val="20"/>
        </w:rPr>
        <w:t>With regards to timing, the consensus view among members was that these documents would have greatest impact if they were published </w:t>
      </w:r>
      <w:r>
        <w:rPr>
          <w:i/>
          <w:sz w:val="20"/>
        </w:rPr>
        <w:t>after </w:t>
      </w:r>
      <w:r>
        <w:rPr>
          <w:sz w:val="20"/>
        </w:rPr>
        <w:t>FCA recognition of the Code has been secured. The FCA confirmed their internal governance was still in train, but should complete in the next couple of</w:t>
      </w:r>
      <w:r>
        <w:rPr>
          <w:spacing w:val="-2"/>
          <w:sz w:val="20"/>
        </w:rPr>
        <w:t> </w:t>
      </w:r>
      <w:r>
        <w:rPr>
          <w:sz w:val="20"/>
        </w:rPr>
        <w:t>months.</w:t>
      </w:r>
    </w:p>
    <w:p>
      <w:pPr>
        <w:pStyle w:val="BodyText"/>
        <w:spacing w:before="4"/>
        <w:rPr>
          <w:sz w:val="23"/>
        </w:rPr>
      </w:pPr>
    </w:p>
    <w:p>
      <w:pPr>
        <w:pStyle w:val="ListParagraph"/>
        <w:numPr>
          <w:ilvl w:val="1"/>
          <w:numId w:val="1"/>
        </w:numPr>
        <w:tabs>
          <w:tab w:pos="1560" w:val="left" w:leader="none"/>
          <w:tab w:pos="1561" w:val="left" w:leader="none"/>
        </w:tabs>
        <w:spacing w:line="276" w:lineRule="auto" w:before="0" w:after="0"/>
        <w:ind w:left="1560" w:right="197" w:hanging="360"/>
        <w:jc w:val="left"/>
        <w:rPr>
          <w:sz w:val="20"/>
        </w:rPr>
      </w:pPr>
      <w:r>
        <w:rPr>
          <w:sz w:val="20"/>
        </w:rPr>
        <w:t>With regards to publicity, members recommended going through Trade Associations as has previously been done. Members also highlighted there is a role for banks in publicising to their counterparties/clients. </w:t>
      </w:r>
      <w:r>
        <w:rPr>
          <w:spacing w:val="2"/>
          <w:sz w:val="20"/>
        </w:rPr>
        <w:t>Any </w:t>
      </w:r>
      <w:r>
        <w:rPr>
          <w:sz w:val="20"/>
        </w:rPr>
        <w:t>publicity for the Code in the financial press would also be very</w:t>
      </w:r>
      <w:r>
        <w:rPr>
          <w:spacing w:val="-6"/>
          <w:sz w:val="20"/>
        </w:rPr>
        <w:t> </w:t>
      </w:r>
      <w:r>
        <w:rPr>
          <w:sz w:val="20"/>
        </w:rPr>
        <w:t>desirable.</w:t>
      </w:r>
    </w:p>
    <w:p>
      <w:pPr>
        <w:pStyle w:val="Heading1"/>
        <w:spacing w:before="196"/>
      </w:pPr>
      <w:r>
        <w:rPr/>
        <w:t>Item 6. Review of the Code</w:t>
      </w:r>
    </w:p>
    <w:p>
      <w:pPr>
        <w:pStyle w:val="BodyText"/>
        <w:spacing w:before="6"/>
        <w:rPr>
          <w:b/>
        </w:rPr>
      </w:pPr>
    </w:p>
    <w:p>
      <w:pPr>
        <w:pStyle w:val="ListParagraph"/>
        <w:numPr>
          <w:ilvl w:val="0"/>
          <w:numId w:val="1"/>
        </w:numPr>
        <w:tabs>
          <w:tab w:pos="841" w:val="left" w:leader="none"/>
        </w:tabs>
        <w:spacing w:line="276" w:lineRule="auto" w:before="0" w:after="0"/>
        <w:ind w:left="840" w:right="204" w:hanging="360"/>
        <w:jc w:val="left"/>
        <w:rPr>
          <w:sz w:val="20"/>
        </w:rPr>
      </w:pPr>
      <w:r>
        <w:rPr>
          <w:sz w:val="20"/>
        </w:rPr>
        <w:t>Noting that the Sub-Committee (and indeed the MMC) is committed to updating the Code every three years, members discussed a review of the Code, in light of the fact that an updated Code is due to be published in April</w:t>
      </w:r>
      <w:r>
        <w:rPr>
          <w:spacing w:val="-6"/>
          <w:sz w:val="20"/>
        </w:rPr>
        <w:t> </w:t>
      </w:r>
      <w:r>
        <w:rPr>
          <w:sz w:val="20"/>
        </w:rPr>
        <w:t>2020.</w:t>
      </w:r>
    </w:p>
    <w:p>
      <w:pPr>
        <w:pStyle w:val="BodyText"/>
        <w:spacing w:before="10"/>
        <w:rPr>
          <w:sz w:val="22"/>
        </w:rPr>
      </w:pPr>
    </w:p>
    <w:p>
      <w:pPr>
        <w:pStyle w:val="ListParagraph"/>
        <w:numPr>
          <w:ilvl w:val="1"/>
          <w:numId w:val="1"/>
        </w:numPr>
        <w:tabs>
          <w:tab w:pos="1560" w:val="left" w:leader="none"/>
          <w:tab w:pos="1561" w:val="left" w:leader="none"/>
        </w:tabs>
        <w:spacing w:line="273" w:lineRule="auto" w:before="0" w:after="0"/>
        <w:ind w:left="1560" w:right="133" w:hanging="360"/>
        <w:jc w:val="left"/>
        <w:rPr>
          <w:sz w:val="20"/>
        </w:rPr>
      </w:pPr>
      <w:r>
        <w:rPr>
          <w:sz w:val="20"/>
        </w:rPr>
        <w:t>The key consideration for the Sub-Committee centred on timings: in particular should the timings of the review be aligned with, or independent of, the review of the FX Global</w:t>
      </w:r>
      <w:r>
        <w:rPr>
          <w:spacing w:val="-29"/>
          <w:sz w:val="20"/>
        </w:rPr>
        <w:t> </w:t>
      </w:r>
      <w:r>
        <w:rPr>
          <w:sz w:val="20"/>
        </w:rPr>
        <w:t>Code although aligning timings would likely lead to the Code’s review being pushed</w:t>
      </w:r>
      <w:r>
        <w:rPr>
          <w:spacing w:val="-25"/>
          <w:sz w:val="20"/>
        </w:rPr>
        <w:t> </w:t>
      </w:r>
      <w:r>
        <w:rPr>
          <w:sz w:val="20"/>
        </w:rPr>
        <w:t>back.</w:t>
      </w:r>
    </w:p>
    <w:p>
      <w:pPr>
        <w:pStyle w:val="BodyText"/>
        <w:spacing w:before="2"/>
        <w:rPr>
          <w:sz w:val="23"/>
        </w:rPr>
      </w:pPr>
    </w:p>
    <w:p>
      <w:pPr>
        <w:pStyle w:val="ListParagraph"/>
        <w:numPr>
          <w:ilvl w:val="1"/>
          <w:numId w:val="1"/>
        </w:numPr>
        <w:tabs>
          <w:tab w:pos="1560" w:val="left" w:leader="none"/>
          <w:tab w:pos="1561" w:val="left" w:leader="none"/>
        </w:tabs>
        <w:spacing w:line="276" w:lineRule="auto" w:before="1" w:after="0"/>
        <w:ind w:left="1560" w:right="157" w:hanging="360"/>
        <w:jc w:val="left"/>
        <w:rPr>
          <w:sz w:val="20"/>
        </w:rPr>
      </w:pPr>
      <w:r>
        <w:rPr>
          <w:sz w:val="20"/>
        </w:rPr>
        <w:t>On balance, the Sub-Committee felt that if members agreed that no </w:t>
      </w:r>
      <w:r>
        <w:rPr>
          <w:i/>
          <w:sz w:val="20"/>
        </w:rPr>
        <w:t>substantive </w:t>
      </w:r>
      <w:r>
        <w:rPr>
          <w:sz w:val="20"/>
        </w:rPr>
        <w:t>changes were required to be made to the Code, then it would be preferable to complete the review in line with already agreed public timings, i.e. by April 2020. The reasons for this were that the Sub-Committee felt it important to fulfil its commitments, especially given this</w:t>
      </w:r>
      <w:r>
        <w:rPr>
          <w:spacing w:val="-32"/>
          <w:sz w:val="20"/>
        </w:rPr>
        <w:t> </w:t>
      </w:r>
      <w:r>
        <w:rPr>
          <w:sz w:val="20"/>
        </w:rPr>
        <w:t>was made to the FCA as part of the Code’s application for</w:t>
      </w:r>
      <w:r>
        <w:rPr>
          <w:spacing w:val="-12"/>
          <w:sz w:val="20"/>
        </w:rPr>
        <w:t> </w:t>
      </w:r>
      <w:r>
        <w:rPr>
          <w:sz w:val="20"/>
        </w:rPr>
        <w:t>recognition.</w:t>
      </w:r>
    </w:p>
    <w:p>
      <w:pPr>
        <w:pStyle w:val="BodyText"/>
        <w:spacing w:before="10"/>
        <w:rPr>
          <w:sz w:val="22"/>
        </w:rPr>
      </w:pPr>
    </w:p>
    <w:p>
      <w:pPr>
        <w:pStyle w:val="ListParagraph"/>
        <w:numPr>
          <w:ilvl w:val="1"/>
          <w:numId w:val="1"/>
        </w:numPr>
        <w:tabs>
          <w:tab w:pos="1560" w:val="left" w:leader="none"/>
          <w:tab w:pos="1561" w:val="left" w:leader="none"/>
        </w:tabs>
        <w:spacing w:line="268" w:lineRule="auto" w:before="1" w:after="0"/>
        <w:ind w:left="1560" w:right="425" w:hanging="360"/>
        <w:jc w:val="left"/>
        <w:rPr>
          <w:sz w:val="20"/>
        </w:rPr>
      </w:pPr>
      <w:r>
        <w:rPr>
          <w:sz w:val="20"/>
        </w:rPr>
        <w:t>To ensure all members a heard, the Secretariat agreed to facilitate sounding members whether any substantive changes are required to be</w:t>
      </w:r>
      <w:r>
        <w:rPr>
          <w:spacing w:val="-7"/>
          <w:sz w:val="20"/>
        </w:rPr>
        <w:t> </w:t>
      </w:r>
      <w:r>
        <w:rPr>
          <w:sz w:val="20"/>
        </w:rPr>
        <w:t>made.</w:t>
      </w:r>
    </w:p>
    <w:p>
      <w:pPr>
        <w:pStyle w:val="BodyText"/>
        <w:spacing w:before="9"/>
        <w:rPr>
          <w:sz w:val="23"/>
        </w:rPr>
      </w:pPr>
    </w:p>
    <w:p>
      <w:pPr>
        <w:pStyle w:val="ListParagraph"/>
        <w:numPr>
          <w:ilvl w:val="1"/>
          <w:numId w:val="1"/>
        </w:numPr>
        <w:tabs>
          <w:tab w:pos="1560" w:val="left" w:leader="none"/>
          <w:tab w:pos="1561" w:val="left" w:leader="none"/>
        </w:tabs>
        <w:spacing w:line="240" w:lineRule="auto" w:before="0" w:after="0"/>
        <w:ind w:left="1560" w:right="0" w:hanging="361"/>
        <w:jc w:val="left"/>
        <w:rPr>
          <w:sz w:val="20"/>
        </w:rPr>
      </w:pPr>
      <w:r>
        <w:rPr>
          <w:sz w:val="20"/>
        </w:rPr>
        <w:t>The Sub-Committee will seek consent for this approach from the MMC in</w:t>
      </w:r>
      <w:r>
        <w:rPr>
          <w:spacing w:val="-9"/>
          <w:sz w:val="20"/>
        </w:rPr>
        <w:t> </w:t>
      </w:r>
      <w:r>
        <w:rPr>
          <w:sz w:val="20"/>
        </w:rPr>
        <w:t>June.</w:t>
      </w:r>
    </w:p>
    <w:p>
      <w:pPr>
        <w:pStyle w:val="BodyText"/>
        <w:spacing w:before="2"/>
      </w:pPr>
    </w:p>
    <w:p>
      <w:pPr>
        <w:pStyle w:val="Heading1"/>
        <w:spacing w:before="0"/>
      </w:pPr>
      <w:r>
        <w:rPr/>
        <w:t>Item 7.</w:t>
      </w:r>
      <w:r>
        <w:rPr>
          <w:spacing w:val="51"/>
        </w:rPr>
        <w:t> </w:t>
      </w:r>
      <w:r>
        <w:rPr/>
        <w:t>AOB</w:t>
      </w:r>
    </w:p>
    <w:p>
      <w:pPr>
        <w:pStyle w:val="BodyText"/>
        <w:spacing w:before="6"/>
        <w:rPr>
          <w:b/>
        </w:rPr>
      </w:pPr>
    </w:p>
    <w:p>
      <w:pPr>
        <w:pStyle w:val="ListParagraph"/>
        <w:numPr>
          <w:ilvl w:val="0"/>
          <w:numId w:val="1"/>
        </w:numPr>
        <w:tabs>
          <w:tab w:pos="841" w:val="left" w:leader="none"/>
        </w:tabs>
        <w:spacing w:line="276" w:lineRule="auto" w:before="0" w:after="0"/>
        <w:ind w:left="840" w:right="460" w:hanging="360"/>
        <w:jc w:val="left"/>
        <w:rPr>
          <w:sz w:val="20"/>
        </w:rPr>
      </w:pPr>
      <w:r>
        <w:rPr>
          <w:sz w:val="20"/>
        </w:rPr>
        <w:t>It was noted that 200 firms now appear on the public register, around double the amount listed when the register launched last September, and this was felt to be good</w:t>
      </w:r>
      <w:r>
        <w:rPr>
          <w:spacing w:val="-7"/>
          <w:sz w:val="20"/>
        </w:rPr>
        <w:t> </w:t>
      </w:r>
      <w:r>
        <w:rPr>
          <w:sz w:val="20"/>
        </w:rPr>
        <w:t>progress.</w:t>
      </w:r>
    </w:p>
    <w:p>
      <w:pPr>
        <w:pStyle w:val="BodyText"/>
        <w:spacing w:before="1"/>
        <w:rPr>
          <w:sz w:val="23"/>
        </w:rPr>
      </w:pPr>
    </w:p>
    <w:p>
      <w:pPr>
        <w:pStyle w:val="ListParagraph"/>
        <w:numPr>
          <w:ilvl w:val="0"/>
          <w:numId w:val="1"/>
        </w:numPr>
        <w:tabs>
          <w:tab w:pos="841" w:val="left" w:leader="none"/>
        </w:tabs>
        <w:spacing w:line="240" w:lineRule="auto" w:before="0" w:after="0"/>
        <w:ind w:left="840" w:right="0" w:hanging="361"/>
        <w:jc w:val="left"/>
        <w:rPr>
          <w:sz w:val="20"/>
        </w:rPr>
      </w:pPr>
      <w:r>
        <w:rPr>
          <w:sz w:val="20"/>
        </w:rPr>
        <w:t>The next meeting will be in</w:t>
      </w:r>
      <w:r>
        <w:rPr>
          <w:spacing w:val="-4"/>
          <w:sz w:val="20"/>
        </w:rPr>
        <w:t> </w:t>
      </w:r>
      <w:r>
        <w:rPr>
          <w:sz w:val="20"/>
        </w:rPr>
        <w:t>October.</w:t>
      </w:r>
    </w:p>
    <w:sectPr>
      <w:pgSz w:w="11910" w:h="16840"/>
      <w:pgMar w:header="735" w:footer="0" w:top="1660" w:bottom="280" w:left="9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86208">
          <wp:simplePos x="0" y="0"/>
          <wp:positionH relativeFrom="page">
            <wp:posOffset>956522</wp:posOffset>
          </wp:positionH>
          <wp:positionV relativeFrom="page">
            <wp:posOffset>466983</wp:posOffset>
          </wp:positionV>
          <wp:extent cx="463513" cy="46917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63513" cy="469177"/>
                  </a:xfrm>
                  <a:prstGeom prst="rect">
                    <a:avLst/>
                  </a:prstGeom>
                </pic:spPr>
              </pic:pic>
            </a:graphicData>
          </a:graphic>
        </wp:anchor>
      </w:drawing>
    </w:r>
    <w:r>
      <w:rPr/>
      <w:drawing>
        <wp:anchor distT="0" distB="0" distL="0" distR="0" allowOverlap="1" layoutInCell="1" locked="0" behindDoc="1" simplePos="0" relativeHeight="251487232">
          <wp:simplePos x="0" y="0"/>
          <wp:positionH relativeFrom="page">
            <wp:posOffset>2131774</wp:posOffset>
          </wp:positionH>
          <wp:positionV relativeFrom="page">
            <wp:posOffset>640463</wp:posOffset>
          </wp:positionV>
          <wp:extent cx="123098" cy="12801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23098" cy="128018"/>
                  </a:xfrm>
                  <a:prstGeom prst="rect">
                    <a:avLst/>
                  </a:prstGeom>
                </pic:spPr>
              </pic:pic>
            </a:graphicData>
          </a:graphic>
        </wp:anchor>
      </w:drawing>
    </w:r>
    <w:r>
      <w:rPr/>
      <w:drawing>
        <wp:anchor distT="0" distB="0" distL="0" distR="0" allowOverlap="1" layoutInCell="1" locked="0" behindDoc="1" simplePos="0" relativeHeight="251488256">
          <wp:simplePos x="0" y="0"/>
          <wp:positionH relativeFrom="page">
            <wp:posOffset>2722416</wp:posOffset>
          </wp:positionH>
          <wp:positionV relativeFrom="page">
            <wp:posOffset>640480</wp:posOffset>
          </wp:positionV>
          <wp:extent cx="106845" cy="1280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06845" cy="128000"/>
                  </a:xfrm>
                  <a:prstGeom prst="rect">
                    <a:avLst/>
                  </a:prstGeom>
                </pic:spPr>
              </pic:pic>
            </a:graphicData>
          </a:graphic>
        </wp:anchor>
      </w:drawing>
    </w:r>
    <w:r>
      <w:rPr/>
      <w:drawing>
        <wp:anchor distT="0" distB="0" distL="0" distR="0" allowOverlap="1" layoutInCell="1" locked="0" behindDoc="1" simplePos="0" relativeHeight="251489280">
          <wp:simplePos x="0" y="0"/>
          <wp:positionH relativeFrom="page">
            <wp:posOffset>1670130</wp:posOffset>
          </wp:positionH>
          <wp:positionV relativeFrom="page">
            <wp:posOffset>641044</wp:posOffset>
          </wp:positionV>
          <wp:extent cx="110934" cy="12555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110934" cy="125552"/>
                  </a:xfrm>
                  <a:prstGeom prst="rect">
                    <a:avLst/>
                  </a:prstGeom>
                </pic:spPr>
              </pic:pic>
            </a:graphicData>
          </a:graphic>
        </wp:anchor>
      </w:drawing>
    </w:r>
    <w:r>
      <w:rPr/>
      <w:drawing>
        <wp:anchor distT="0" distB="0" distL="0" distR="0" allowOverlap="1" layoutInCell="1" locked="0" behindDoc="1" simplePos="0" relativeHeight="251490304">
          <wp:simplePos x="0" y="0"/>
          <wp:positionH relativeFrom="page">
            <wp:posOffset>2960121</wp:posOffset>
          </wp:positionH>
          <wp:positionV relativeFrom="page">
            <wp:posOffset>641044</wp:posOffset>
          </wp:positionV>
          <wp:extent cx="110847" cy="125552"/>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5" cstate="print"/>
                  <a:stretch>
                    <a:fillRect/>
                  </a:stretch>
                </pic:blipFill>
                <pic:spPr>
                  <a:xfrm>
                    <a:off x="0" y="0"/>
                    <a:ext cx="110847" cy="125552"/>
                  </a:xfrm>
                  <a:prstGeom prst="rect">
                    <a:avLst/>
                  </a:prstGeom>
                </pic:spPr>
              </pic:pic>
            </a:graphicData>
          </a:graphic>
        </wp:anchor>
      </w:drawing>
    </w:r>
    <w:r>
      <w:rPr/>
      <w:drawing>
        <wp:anchor distT="0" distB="0" distL="0" distR="0" allowOverlap="1" layoutInCell="1" locked="0" behindDoc="1" simplePos="0" relativeHeight="251491328">
          <wp:simplePos x="0" y="0"/>
          <wp:positionH relativeFrom="page">
            <wp:posOffset>1563545</wp:posOffset>
          </wp:positionH>
          <wp:positionV relativeFrom="page">
            <wp:posOffset>641625</wp:posOffset>
          </wp:positionV>
          <wp:extent cx="79994" cy="12497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6" cstate="print"/>
                  <a:stretch>
                    <a:fillRect/>
                  </a:stretch>
                </pic:blipFill>
                <pic:spPr>
                  <a:xfrm>
                    <a:off x="0" y="0"/>
                    <a:ext cx="79994" cy="124970"/>
                  </a:xfrm>
                  <a:prstGeom prst="rect">
                    <a:avLst/>
                  </a:prstGeom>
                </pic:spPr>
              </pic:pic>
            </a:graphicData>
          </a:graphic>
        </wp:anchor>
      </w:drawing>
    </w:r>
    <w:r>
      <w:rPr/>
      <w:drawing>
        <wp:anchor distT="0" distB="0" distL="0" distR="0" allowOverlap="1" layoutInCell="1" locked="0" behindDoc="1" simplePos="0" relativeHeight="251492352">
          <wp:simplePos x="0" y="0"/>
          <wp:positionH relativeFrom="page">
            <wp:posOffset>1814232</wp:posOffset>
          </wp:positionH>
          <wp:positionV relativeFrom="page">
            <wp:posOffset>641625</wp:posOffset>
          </wp:positionV>
          <wp:extent cx="108289" cy="12497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7" cstate="print"/>
                  <a:stretch>
                    <a:fillRect/>
                  </a:stretch>
                </pic:blipFill>
                <pic:spPr>
                  <a:xfrm>
                    <a:off x="0" y="0"/>
                    <a:ext cx="108289" cy="124970"/>
                  </a:xfrm>
                  <a:prstGeom prst="rect">
                    <a:avLst/>
                  </a:prstGeom>
                </pic:spPr>
              </pic:pic>
            </a:graphicData>
          </a:graphic>
        </wp:anchor>
      </w:drawing>
    </w:r>
    <w:r>
      <w:rPr/>
      <w:drawing>
        <wp:anchor distT="0" distB="0" distL="0" distR="0" allowOverlap="1" layoutInCell="1" locked="0" behindDoc="1" simplePos="0" relativeHeight="251493376">
          <wp:simplePos x="0" y="0"/>
          <wp:positionH relativeFrom="page">
            <wp:posOffset>1968983</wp:posOffset>
          </wp:positionH>
          <wp:positionV relativeFrom="page">
            <wp:posOffset>641625</wp:posOffset>
          </wp:positionV>
          <wp:extent cx="89756" cy="12497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8" cstate="print"/>
                  <a:stretch>
                    <a:fillRect/>
                  </a:stretch>
                </pic:blipFill>
                <pic:spPr>
                  <a:xfrm>
                    <a:off x="0" y="0"/>
                    <a:ext cx="89756" cy="124970"/>
                  </a:xfrm>
                  <a:prstGeom prst="rect">
                    <a:avLst/>
                  </a:prstGeom>
                </pic:spPr>
              </pic:pic>
            </a:graphicData>
          </a:graphic>
        </wp:anchor>
      </w:drawing>
    </w:r>
    <w:r>
      <w:rPr/>
      <w:drawing>
        <wp:anchor distT="0" distB="0" distL="0" distR="0" allowOverlap="1" layoutInCell="1" locked="0" behindDoc="1" simplePos="0" relativeHeight="251494400">
          <wp:simplePos x="0" y="0"/>
          <wp:positionH relativeFrom="page">
            <wp:posOffset>2295888</wp:posOffset>
          </wp:positionH>
          <wp:positionV relativeFrom="page">
            <wp:posOffset>641625</wp:posOffset>
          </wp:positionV>
          <wp:extent cx="71380" cy="12497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9" cstate="print"/>
                  <a:stretch>
                    <a:fillRect/>
                  </a:stretch>
                </pic:blipFill>
                <pic:spPr>
                  <a:xfrm>
                    <a:off x="0" y="0"/>
                    <a:ext cx="71380" cy="124970"/>
                  </a:xfrm>
                  <a:prstGeom prst="rect">
                    <a:avLst/>
                  </a:prstGeom>
                </pic:spPr>
              </pic:pic>
            </a:graphicData>
          </a:graphic>
        </wp:anchor>
      </w:drawing>
    </w:r>
    <w:r>
      <w:rPr/>
      <w:drawing>
        <wp:anchor distT="0" distB="0" distL="0" distR="0" allowOverlap="1" layoutInCell="1" locked="0" behindDoc="1" simplePos="0" relativeHeight="251495424">
          <wp:simplePos x="0" y="0"/>
          <wp:positionH relativeFrom="page">
            <wp:posOffset>2456469</wp:posOffset>
          </wp:positionH>
          <wp:positionV relativeFrom="page">
            <wp:posOffset>641625</wp:posOffset>
          </wp:positionV>
          <wp:extent cx="75122" cy="12497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0" cstate="print"/>
                  <a:stretch>
                    <a:fillRect/>
                  </a:stretch>
                </pic:blipFill>
                <pic:spPr>
                  <a:xfrm>
                    <a:off x="0" y="0"/>
                    <a:ext cx="75122" cy="124970"/>
                  </a:xfrm>
                  <a:prstGeom prst="rect">
                    <a:avLst/>
                  </a:prstGeom>
                </pic:spPr>
              </pic:pic>
            </a:graphicData>
          </a:graphic>
        </wp:anchor>
      </w:drawing>
    </w:r>
    <w:r>
      <w:rPr/>
      <w:drawing>
        <wp:anchor distT="0" distB="0" distL="0" distR="0" allowOverlap="1" layoutInCell="1" locked="0" behindDoc="1" simplePos="0" relativeHeight="251496448">
          <wp:simplePos x="0" y="0"/>
          <wp:positionH relativeFrom="page">
            <wp:posOffset>2573355</wp:posOffset>
          </wp:positionH>
          <wp:positionV relativeFrom="page">
            <wp:posOffset>641625</wp:posOffset>
          </wp:positionV>
          <wp:extent cx="108341" cy="124970"/>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1" cstate="print"/>
                  <a:stretch>
                    <a:fillRect/>
                  </a:stretch>
                </pic:blipFill>
                <pic:spPr>
                  <a:xfrm>
                    <a:off x="0" y="0"/>
                    <a:ext cx="108341" cy="124970"/>
                  </a:xfrm>
                  <a:prstGeom prst="rect">
                    <a:avLst/>
                  </a:prstGeom>
                </pic:spPr>
              </pic:pic>
            </a:graphicData>
          </a:graphic>
        </wp:anchor>
      </w:drawing>
    </w:r>
    <w:r>
      <w:rPr/>
      <w:drawing>
        <wp:anchor distT="0" distB="0" distL="0" distR="0" allowOverlap="1" layoutInCell="1" locked="0" behindDoc="1" simplePos="0" relativeHeight="251497472">
          <wp:simplePos x="0" y="0"/>
          <wp:positionH relativeFrom="page">
            <wp:posOffset>2874506</wp:posOffset>
          </wp:positionH>
          <wp:positionV relativeFrom="page">
            <wp:posOffset>641625</wp:posOffset>
          </wp:positionV>
          <wp:extent cx="64037" cy="124970"/>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2" cstate="print"/>
                  <a:stretch>
                    <a:fillRect/>
                  </a:stretch>
                </pic:blipFill>
                <pic:spPr>
                  <a:xfrm>
                    <a:off x="0" y="0"/>
                    <a:ext cx="64037" cy="124970"/>
                  </a:xfrm>
                  <a:prstGeom prst="rect">
                    <a:avLst/>
                  </a:prstGeom>
                </pic:spPr>
              </pic:pic>
            </a:graphicData>
          </a:graphic>
        </wp:anchor>
      </w:drawing>
    </w:r>
    <w:r>
      <w:rPr/>
      <w:drawing>
        <wp:anchor distT="0" distB="0" distL="0" distR="0" allowOverlap="1" layoutInCell="1" locked="0" behindDoc="1" simplePos="0" relativeHeight="251498496">
          <wp:simplePos x="0" y="0"/>
          <wp:positionH relativeFrom="page">
            <wp:posOffset>3104206</wp:posOffset>
          </wp:positionH>
          <wp:positionV relativeFrom="page">
            <wp:posOffset>641625</wp:posOffset>
          </wp:positionV>
          <wp:extent cx="108237" cy="124970"/>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3" cstate="print"/>
                  <a:stretch>
                    <a:fillRect/>
                  </a:stretch>
                </pic:blipFill>
                <pic:spPr>
                  <a:xfrm>
                    <a:off x="0" y="0"/>
                    <a:ext cx="108237" cy="124970"/>
                  </a:xfrm>
                  <a:prstGeom prst="rect">
                    <a:avLst/>
                  </a:prstGeom>
                </pic:spPr>
              </pic:pic>
            </a:graphicData>
          </a:graphic>
        </wp:anchor>
      </w:drawing>
    </w:r>
    <w:r>
      <w:rPr/>
      <w:drawing>
        <wp:anchor distT="0" distB="0" distL="0" distR="0" allowOverlap="1" layoutInCell="1" locked="0" behindDoc="1" simplePos="0" relativeHeight="251499520">
          <wp:simplePos x="0" y="0"/>
          <wp:positionH relativeFrom="page">
            <wp:posOffset>3258905</wp:posOffset>
          </wp:positionH>
          <wp:positionV relativeFrom="page">
            <wp:posOffset>641608</wp:posOffset>
          </wp:positionV>
          <wp:extent cx="102320" cy="124988"/>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14" cstate="print"/>
                  <a:stretch>
                    <a:fillRect/>
                  </a:stretch>
                </pic:blipFill>
                <pic:spPr>
                  <a:xfrm>
                    <a:off x="0" y="0"/>
                    <a:ext cx="102320" cy="1249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560" w:hanging="360"/>
      </w:pPr>
      <w:rPr>
        <w:rFonts w:hint="default" w:ascii="Symbol" w:hAnsi="Symbol" w:eastAsia="Symbol" w:cs="Symbol"/>
        <w:w w:val="99"/>
        <w:sz w:val="20"/>
        <w:szCs w:val="20"/>
        <w:lang w:val="en-gb" w:eastAsia="en-gb" w:bidi="en-gb"/>
      </w:rPr>
    </w:lvl>
    <w:lvl w:ilvl="2">
      <w:start w:val="0"/>
      <w:numFmt w:val="bullet"/>
      <w:lvlText w:val="•"/>
      <w:lvlJc w:val="left"/>
      <w:pPr>
        <w:ind w:left="2456" w:hanging="360"/>
      </w:pPr>
      <w:rPr>
        <w:rFonts w:hint="default"/>
        <w:lang w:val="en-gb" w:eastAsia="en-gb" w:bidi="en-gb"/>
      </w:rPr>
    </w:lvl>
    <w:lvl w:ilvl="3">
      <w:start w:val="0"/>
      <w:numFmt w:val="bullet"/>
      <w:lvlText w:val="•"/>
      <w:lvlJc w:val="left"/>
      <w:pPr>
        <w:ind w:left="3352" w:hanging="360"/>
      </w:pPr>
      <w:rPr>
        <w:rFonts w:hint="default"/>
        <w:lang w:val="en-gb" w:eastAsia="en-gb" w:bidi="en-gb"/>
      </w:rPr>
    </w:lvl>
    <w:lvl w:ilvl="4">
      <w:start w:val="0"/>
      <w:numFmt w:val="bullet"/>
      <w:lvlText w:val="•"/>
      <w:lvlJc w:val="left"/>
      <w:pPr>
        <w:ind w:left="4248" w:hanging="360"/>
      </w:pPr>
      <w:rPr>
        <w:rFonts w:hint="default"/>
        <w:lang w:val="en-gb" w:eastAsia="en-gb" w:bidi="en-gb"/>
      </w:rPr>
    </w:lvl>
    <w:lvl w:ilvl="5">
      <w:start w:val="0"/>
      <w:numFmt w:val="bullet"/>
      <w:lvlText w:val="•"/>
      <w:lvlJc w:val="left"/>
      <w:pPr>
        <w:ind w:left="5145" w:hanging="360"/>
      </w:pPr>
      <w:rPr>
        <w:rFonts w:hint="default"/>
        <w:lang w:val="en-gb" w:eastAsia="en-gb" w:bidi="en-gb"/>
      </w:rPr>
    </w:lvl>
    <w:lvl w:ilvl="6">
      <w:start w:val="0"/>
      <w:numFmt w:val="bullet"/>
      <w:lvlText w:val="•"/>
      <w:lvlJc w:val="left"/>
      <w:pPr>
        <w:ind w:left="6041" w:hanging="360"/>
      </w:pPr>
      <w:rPr>
        <w:rFonts w:hint="default"/>
        <w:lang w:val="en-gb" w:eastAsia="en-gb" w:bidi="en-gb"/>
      </w:rPr>
    </w:lvl>
    <w:lvl w:ilvl="7">
      <w:start w:val="0"/>
      <w:numFmt w:val="bullet"/>
      <w:lvlText w:val="•"/>
      <w:lvlJc w:val="left"/>
      <w:pPr>
        <w:ind w:left="6937" w:hanging="360"/>
      </w:pPr>
      <w:rPr>
        <w:rFonts w:hint="default"/>
        <w:lang w:val="en-gb" w:eastAsia="en-gb" w:bidi="en-gb"/>
      </w:rPr>
    </w:lvl>
    <w:lvl w:ilvl="8">
      <w:start w:val="0"/>
      <w:numFmt w:val="bullet"/>
      <w:lvlText w:val="•"/>
      <w:lvlJc w:val="left"/>
      <w:pPr>
        <w:ind w:left="783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48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560" w:hanging="360"/>
    </w:pPr>
    <w:rPr>
      <w:rFonts w:ascii="Arial" w:hAnsi="Arial" w:eastAsia="Arial" w:cs="Arial"/>
      <w:lang w:val="en-gb" w:eastAsia="en-gb" w:bidi="en-gb"/>
    </w:rPr>
  </w:style>
  <w:style w:styleId="TableParagraph" w:type="paragraph">
    <w:name w:val="Table Paragraph"/>
    <w:basedOn w:val="Normal"/>
    <w:uiPriority w:val="1"/>
    <w:qFormat/>
    <w:pPr>
      <w:ind w:left="9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UK Money Markets Code Sub-Committee</dc:subject>
  <dc:title>UK Money Markets Code Sub-Committee</dc:title>
  <dcterms:created xsi:type="dcterms:W3CDTF">2020-06-01T02:00:31Z</dcterms:created>
  <dcterms:modified xsi:type="dcterms:W3CDTF">2020-06-01T02:00:31Z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LastSaved">
    <vt:filetime>2020-06-01T00:00:00Z</vt:filetime>
  </property>
</Properties>
</file>