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1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1"/>
      </w:tblGrid>
      <w:tr>
        <w:trPr>
          <w:trHeight w:val="761" w:hRule="atLeast"/>
        </w:trPr>
        <w:tc>
          <w:tcPr>
            <w:tcW w:w="6431" w:type="dxa"/>
          </w:tcPr>
          <w:p>
            <w:pPr>
              <w:pStyle w:val="TableParagraph"/>
              <w:spacing w:line="582" w:lineRule="exact"/>
              <w:ind w:left="14"/>
              <w:rPr>
                <w:sz w:val="52"/>
              </w:rPr>
            </w:pPr>
            <w:r>
              <w:rPr>
                <w:sz w:val="52"/>
              </w:rPr>
              <w:t>Money Markets Committee</w:t>
            </w:r>
          </w:p>
        </w:tc>
      </w:tr>
      <w:tr>
        <w:trPr>
          <w:trHeight w:val="983" w:hRule="atLeast"/>
        </w:trPr>
        <w:tc>
          <w:tcPr>
            <w:tcW w:w="6431" w:type="dxa"/>
          </w:tcPr>
          <w:p>
            <w:pPr>
              <w:pStyle w:val="TableParagraph"/>
              <w:spacing w:before="171"/>
              <w:ind w:left="38"/>
              <w:rPr>
                <w:b/>
                <w:sz w:val="28"/>
              </w:rPr>
            </w:pPr>
            <w:r>
              <w:rPr>
                <w:b/>
                <w:sz w:val="28"/>
              </w:rPr>
              <w:t>Minutes</w:t>
            </w:r>
          </w:p>
          <w:p>
            <w:pPr>
              <w:pStyle w:val="TableParagraph"/>
              <w:spacing w:before="1"/>
              <w:ind w:left="14"/>
              <w:rPr>
                <w:sz w:val="22"/>
              </w:rPr>
            </w:pPr>
            <w:r>
              <w:rPr>
                <w:sz w:val="22"/>
              </w:rPr>
              <w:t>9 January 2020</w:t>
            </w:r>
          </w:p>
        </w:tc>
      </w:tr>
    </w:tbl>
    <w:p>
      <w:pPr>
        <w:pStyle w:val="BodyText"/>
        <w:ind w:left="0"/>
        <w:rPr>
          <w:rFonts w:ascii="Times New Roman"/>
        </w:rPr>
      </w:pPr>
    </w:p>
    <w:p>
      <w:pPr>
        <w:pStyle w:val="BodyText"/>
        <w:spacing w:before="10"/>
        <w:ind w:left="0"/>
        <w:rPr>
          <w:rFonts w:ascii="Times New Roman"/>
        </w:rPr>
      </w:pPr>
    </w:p>
    <w:p>
      <w:pPr>
        <w:pStyle w:val="BodyText"/>
        <w:tabs>
          <w:tab w:pos="2036" w:val="left" w:leader="none"/>
        </w:tabs>
        <w:spacing w:line="229" w:lineRule="exact"/>
        <w:ind w:left="591"/>
      </w:pPr>
      <w:r>
        <w:rPr/>
        <w:pict>
          <v:line style="position:absolute;mso-position-horizontal-relative:page;mso-position-vertical-relative:paragraph;z-index:251658240" from="55.919998pt,-23.500147pt" to="538.679998pt,-23.500147pt" stroked="true" strokeweight=".48001pt" strokecolor="#000000">
            <v:stroke dashstyle="solid"/>
            <w10:wrap type="none"/>
          </v:line>
        </w:pict>
      </w:r>
      <w:r>
        <w:rPr/>
        <w:t>Time:</w:t>
        <w:tab/>
        <w:t>10:00 – 11:30am</w:t>
      </w:r>
    </w:p>
    <w:p>
      <w:pPr>
        <w:pStyle w:val="BodyText"/>
        <w:tabs>
          <w:tab w:pos="2036" w:val="left" w:leader="none"/>
        </w:tabs>
        <w:spacing w:line="229" w:lineRule="exact"/>
        <w:ind w:left="591"/>
      </w:pPr>
      <w:r>
        <w:rPr/>
        <w:t>Location:</w:t>
        <w:tab/>
        <w:t>JP Morgan, Blackfriars, 60 Victoria Embankment, London EC4Y</w:t>
      </w:r>
      <w:r>
        <w:rPr>
          <w:spacing w:val="-6"/>
        </w:rPr>
        <w:t> </w:t>
      </w:r>
      <w:r>
        <w:rPr/>
        <w:t>0JP</w:t>
      </w:r>
    </w:p>
    <w:p>
      <w:pPr>
        <w:pStyle w:val="BodyText"/>
        <w:ind w:left="0"/>
      </w:pPr>
    </w:p>
    <w:p>
      <w:pPr>
        <w:pStyle w:val="BodyText"/>
        <w:spacing w:before="5"/>
        <w:ind w:left="0"/>
        <w:rPr>
          <w:sz w:val="23"/>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2260"/>
        <w:gridCol w:w="2393"/>
      </w:tblGrid>
      <w:tr>
        <w:trPr>
          <w:trHeight w:val="242" w:hRule="atLeast"/>
        </w:trPr>
        <w:tc>
          <w:tcPr>
            <w:tcW w:w="2347" w:type="dxa"/>
          </w:tcPr>
          <w:p>
            <w:pPr>
              <w:pStyle w:val="TableParagraph"/>
              <w:spacing w:line="222" w:lineRule="exact"/>
              <w:rPr>
                <w:sz w:val="20"/>
              </w:rPr>
            </w:pPr>
            <w:r>
              <w:rPr>
                <w:sz w:val="20"/>
              </w:rPr>
              <w:t>James Winterton</w:t>
            </w:r>
          </w:p>
        </w:tc>
        <w:tc>
          <w:tcPr>
            <w:tcW w:w="4653" w:type="dxa"/>
            <w:gridSpan w:val="2"/>
          </w:tcPr>
          <w:p>
            <w:pPr>
              <w:pStyle w:val="TableParagraph"/>
              <w:spacing w:line="222" w:lineRule="exact"/>
              <w:ind w:left="781"/>
              <w:rPr>
                <w:sz w:val="20"/>
              </w:rPr>
            </w:pPr>
            <w:r>
              <w:rPr>
                <w:sz w:val="20"/>
              </w:rPr>
              <w:t>Association of Corporate Treasurers</w:t>
            </w:r>
          </w:p>
        </w:tc>
      </w:tr>
      <w:tr>
        <w:trPr>
          <w:trHeight w:val="264" w:hRule="atLeast"/>
        </w:trPr>
        <w:tc>
          <w:tcPr>
            <w:tcW w:w="2347" w:type="dxa"/>
          </w:tcPr>
          <w:p>
            <w:pPr>
              <w:pStyle w:val="TableParagraph"/>
              <w:spacing w:before="12"/>
              <w:rPr>
                <w:sz w:val="20"/>
              </w:rPr>
            </w:pPr>
            <w:r>
              <w:rPr>
                <w:sz w:val="20"/>
              </w:rPr>
              <w:t>Michael Manna</w:t>
            </w:r>
          </w:p>
        </w:tc>
        <w:tc>
          <w:tcPr>
            <w:tcW w:w="4653" w:type="dxa"/>
            <w:gridSpan w:val="2"/>
          </w:tcPr>
          <w:p>
            <w:pPr>
              <w:pStyle w:val="TableParagraph"/>
              <w:spacing w:before="12"/>
              <w:ind w:left="781"/>
              <w:rPr>
                <w:sz w:val="20"/>
              </w:rPr>
            </w:pPr>
            <w:r>
              <w:rPr>
                <w:sz w:val="20"/>
              </w:rPr>
              <w:t>Barclays Bank UK</w:t>
            </w:r>
          </w:p>
        </w:tc>
      </w:tr>
      <w:tr>
        <w:trPr>
          <w:trHeight w:val="264" w:hRule="atLeast"/>
        </w:trPr>
        <w:tc>
          <w:tcPr>
            <w:tcW w:w="2347" w:type="dxa"/>
          </w:tcPr>
          <w:p>
            <w:pPr>
              <w:pStyle w:val="TableParagraph"/>
              <w:spacing w:line="229" w:lineRule="exact" w:before="15"/>
              <w:rPr>
                <w:sz w:val="20"/>
              </w:rPr>
            </w:pPr>
            <w:r>
              <w:rPr>
                <w:sz w:val="20"/>
              </w:rPr>
              <w:t>Luke Pledger</w:t>
            </w:r>
          </w:p>
        </w:tc>
        <w:tc>
          <w:tcPr>
            <w:tcW w:w="2260" w:type="dxa"/>
          </w:tcPr>
          <w:p>
            <w:pPr>
              <w:pStyle w:val="TableParagraph"/>
              <w:spacing w:line="229" w:lineRule="exact" w:before="15"/>
              <w:ind w:left="781"/>
              <w:rPr>
                <w:sz w:val="20"/>
              </w:rPr>
            </w:pPr>
            <w:r>
              <w:rPr>
                <w:sz w:val="20"/>
              </w:rPr>
              <w:t>BGC Partners</w:t>
            </w:r>
          </w:p>
        </w:tc>
        <w:tc>
          <w:tcPr>
            <w:tcW w:w="2393" w:type="dxa"/>
          </w:tcPr>
          <w:p>
            <w:pPr>
              <w:pStyle w:val="TableParagraph"/>
              <w:ind w:left="0"/>
              <w:rPr>
                <w:rFonts w:ascii="Times New Roman"/>
                <w:sz w:val="18"/>
              </w:rPr>
            </w:pPr>
          </w:p>
        </w:tc>
      </w:tr>
      <w:tr>
        <w:trPr>
          <w:trHeight w:val="706" w:hRule="atLeast"/>
        </w:trPr>
        <w:tc>
          <w:tcPr>
            <w:tcW w:w="2347" w:type="dxa"/>
          </w:tcPr>
          <w:p>
            <w:pPr>
              <w:pStyle w:val="TableParagraph"/>
              <w:spacing w:line="230" w:lineRule="atLeast" w:before="12"/>
              <w:ind w:right="822"/>
              <w:jc w:val="both"/>
              <w:rPr>
                <w:sz w:val="20"/>
              </w:rPr>
            </w:pPr>
            <w:r>
              <w:rPr>
                <w:sz w:val="20"/>
              </w:rPr>
              <w:t>Emma Cooper Vicky Worsfold Ina Budh-Raja</w:t>
            </w:r>
          </w:p>
        </w:tc>
        <w:tc>
          <w:tcPr>
            <w:tcW w:w="4653" w:type="dxa"/>
            <w:gridSpan w:val="2"/>
          </w:tcPr>
          <w:p>
            <w:pPr>
              <w:pStyle w:val="TableParagraph"/>
              <w:spacing w:before="12"/>
              <w:ind w:left="781"/>
              <w:rPr>
                <w:sz w:val="20"/>
              </w:rPr>
            </w:pPr>
            <w:r>
              <w:rPr>
                <w:sz w:val="20"/>
              </w:rPr>
              <w:t>Blackrock</w:t>
            </w:r>
          </w:p>
          <w:p>
            <w:pPr>
              <w:pStyle w:val="TableParagraph"/>
              <w:spacing w:line="230" w:lineRule="atLeast"/>
              <w:ind w:left="781" w:right="1395"/>
              <w:rPr>
                <w:sz w:val="20"/>
              </w:rPr>
            </w:pPr>
            <w:r>
              <w:rPr>
                <w:sz w:val="20"/>
              </w:rPr>
              <w:t>Guildford Borough Council Bank of New York Mellon</w:t>
            </w:r>
          </w:p>
        </w:tc>
      </w:tr>
      <w:tr>
        <w:trPr>
          <w:trHeight w:val="246" w:hRule="atLeast"/>
        </w:trPr>
        <w:tc>
          <w:tcPr>
            <w:tcW w:w="2347" w:type="dxa"/>
          </w:tcPr>
          <w:p>
            <w:pPr>
              <w:pStyle w:val="TableParagraph"/>
              <w:spacing w:line="226" w:lineRule="exact"/>
              <w:rPr>
                <w:sz w:val="20"/>
              </w:rPr>
            </w:pPr>
            <w:r>
              <w:rPr>
                <w:sz w:val="20"/>
              </w:rPr>
              <w:t>Romain Dumas</w:t>
            </w:r>
          </w:p>
        </w:tc>
        <w:tc>
          <w:tcPr>
            <w:tcW w:w="2260" w:type="dxa"/>
          </w:tcPr>
          <w:p>
            <w:pPr>
              <w:pStyle w:val="TableParagraph"/>
              <w:spacing w:line="226" w:lineRule="exact"/>
              <w:ind w:left="781"/>
              <w:rPr>
                <w:sz w:val="20"/>
              </w:rPr>
            </w:pPr>
            <w:r>
              <w:rPr>
                <w:sz w:val="20"/>
              </w:rPr>
              <w:t>Credit Suisse</w:t>
            </w:r>
          </w:p>
        </w:tc>
        <w:tc>
          <w:tcPr>
            <w:tcW w:w="2393" w:type="dxa"/>
          </w:tcPr>
          <w:p>
            <w:pPr>
              <w:pStyle w:val="TableParagraph"/>
              <w:ind w:left="0"/>
              <w:rPr>
                <w:rFonts w:ascii="Times New Roman"/>
                <w:sz w:val="16"/>
              </w:rPr>
            </w:pPr>
          </w:p>
        </w:tc>
      </w:tr>
      <w:tr>
        <w:trPr>
          <w:trHeight w:val="476" w:hRule="atLeast"/>
        </w:trPr>
        <w:tc>
          <w:tcPr>
            <w:tcW w:w="2347" w:type="dxa"/>
          </w:tcPr>
          <w:p>
            <w:pPr>
              <w:pStyle w:val="TableParagraph"/>
              <w:spacing w:line="230" w:lineRule="atLeast" w:before="12"/>
              <w:ind w:right="337"/>
              <w:rPr>
                <w:sz w:val="20"/>
              </w:rPr>
            </w:pPr>
            <w:r>
              <w:rPr>
                <w:sz w:val="20"/>
              </w:rPr>
              <w:t>Matthew McDermott Marije Verthelst</w:t>
            </w:r>
          </w:p>
        </w:tc>
        <w:tc>
          <w:tcPr>
            <w:tcW w:w="2260" w:type="dxa"/>
          </w:tcPr>
          <w:p>
            <w:pPr>
              <w:pStyle w:val="TableParagraph"/>
              <w:spacing w:line="230" w:lineRule="atLeast" w:before="12"/>
              <w:ind w:left="781"/>
              <w:rPr>
                <w:sz w:val="20"/>
              </w:rPr>
            </w:pPr>
            <w:r>
              <w:rPr>
                <w:sz w:val="20"/>
              </w:rPr>
              <w:t>Goldman Sachs Euroclear</w:t>
            </w:r>
          </w:p>
        </w:tc>
        <w:tc>
          <w:tcPr>
            <w:tcW w:w="2393" w:type="dxa"/>
          </w:tcPr>
          <w:p>
            <w:pPr>
              <w:pStyle w:val="TableParagraph"/>
              <w:ind w:left="0"/>
              <w:rPr>
                <w:rFonts w:ascii="Times New Roman"/>
                <w:sz w:val="20"/>
              </w:rPr>
            </w:pPr>
          </w:p>
        </w:tc>
      </w:tr>
      <w:tr>
        <w:trPr>
          <w:trHeight w:val="246" w:hRule="atLeast"/>
        </w:trPr>
        <w:tc>
          <w:tcPr>
            <w:tcW w:w="2347" w:type="dxa"/>
          </w:tcPr>
          <w:p>
            <w:pPr>
              <w:pStyle w:val="TableParagraph"/>
              <w:spacing w:line="226" w:lineRule="exact"/>
              <w:rPr>
                <w:sz w:val="20"/>
              </w:rPr>
            </w:pPr>
            <w:r>
              <w:rPr>
                <w:sz w:val="20"/>
              </w:rPr>
              <w:t>James Murphy</w:t>
            </w:r>
          </w:p>
        </w:tc>
        <w:tc>
          <w:tcPr>
            <w:tcW w:w="2260" w:type="dxa"/>
          </w:tcPr>
          <w:p>
            <w:pPr>
              <w:pStyle w:val="TableParagraph"/>
              <w:spacing w:line="226" w:lineRule="exact"/>
              <w:ind w:left="740" w:right="880"/>
              <w:jc w:val="center"/>
              <w:rPr>
                <w:sz w:val="20"/>
              </w:rPr>
            </w:pPr>
            <w:r>
              <w:rPr>
                <w:sz w:val="20"/>
              </w:rPr>
              <w:t>HSBC</w:t>
            </w:r>
          </w:p>
        </w:tc>
        <w:tc>
          <w:tcPr>
            <w:tcW w:w="2393" w:type="dxa"/>
          </w:tcPr>
          <w:p>
            <w:pPr>
              <w:pStyle w:val="TableParagraph"/>
              <w:ind w:left="0"/>
              <w:rPr>
                <w:rFonts w:ascii="Times New Roman"/>
                <w:sz w:val="16"/>
              </w:rPr>
            </w:pPr>
          </w:p>
        </w:tc>
      </w:tr>
      <w:tr>
        <w:trPr>
          <w:trHeight w:val="281" w:hRule="atLeast"/>
        </w:trPr>
        <w:tc>
          <w:tcPr>
            <w:tcW w:w="2347" w:type="dxa"/>
          </w:tcPr>
          <w:p>
            <w:pPr>
              <w:pStyle w:val="TableParagraph"/>
              <w:spacing w:before="12"/>
              <w:rPr>
                <w:sz w:val="20"/>
              </w:rPr>
            </w:pPr>
            <w:r>
              <w:rPr>
                <w:sz w:val="20"/>
              </w:rPr>
              <w:t>Chris Brown</w:t>
            </w:r>
          </w:p>
        </w:tc>
        <w:tc>
          <w:tcPr>
            <w:tcW w:w="4653" w:type="dxa"/>
            <w:gridSpan w:val="2"/>
          </w:tcPr>
          <w:p>
            <w:pPr>
              <w:pStyle w:val="TableParagraph"/>
              <w:spacing w:before="12"/>
              <w:ind w:left="781"/>
              <w:rPr>
                <w:sz w:val="20"/>
              </w:rPr>
            </w:pPr>
            <w:r>
              <w:rPr>
                <w:sz w:val="20"/>
              </w:rPr>
              <w:t>Insight Investment</w:t>
            </w:r>
          </w:p>
        </w:tc>
      </w:tr>
      <w:tr>
        <w:trPr>
          <w:trHeight w:val="283" w:hRule="atLeast"/>
        </w:trPr>
        <w:tc>
          <w:tcPr>
            <w:tcW w:w="2347" w:type="dxa"/>
          </w:tcPr>
          <w:p>
            <w:pPr>
              <w:pStyle w:val="TableParagraph"/>
              <w:spacing w:before="32"/>
              <w:rPr>
                <w:sz w:val="20"/>
              </w:rPr>
            </w:pPr>
            <w:r>
              <w:rPr>
                <w:sz w:val="20"/>
              </w:rPr>
              <w:t>Olivia Maguire</w:t>
            </w:r>
          </w:p>
        </w:tc>
        <w:tc>
          <w:tcPr>
            <w:tcW w:w="4653" w:type="dxa"/>
            <w:gridSpan w:val="2"/>
          </w:tcPr>
          <w:p>
            <w:pPr>
              <w:pStyle w:val="TableParagraph"/>
              <w:spacing w:before="32"/>
              <w:ind w:left="781"/>
              <w:rPr>
                <w:sz w:val="20"/>
              </w:rPr>
            </w:pPr>
            <w:r>
              <w:rPr>
                <w:sz w:val="20"/>
              </w:rPr>
              <w:t>J.P. Morgan Asset Management</w:t>
            </w:r>
          </w:p>
        </w:tc>
      </w:tr>
      <w:tr>
        <w:trPr>
          <w:trHeight w:val="262" w:hRule="atLeast"/>
        </w:trPr>
        <w:tc>
          <w:tcPr>
            <w:tcW w:w="2347" w:type="dxa"/>
          </w:tcPr>
          <w:p>
            <w:pPr>
              <w:pStyle w:val="TableParagraph"/>
              <w:spacing w:line="229" w:lineRule="exact" w:before="13"/>
              <w:rPr>
                <w:sz w:val="20"/>
              </w:rPr>
            </w:pPr>
            <w:r>
              <w:rPr>
                <w:sz w:val="20"/>
              </w:rPr>
              <w:t>Ben Challice</w:t>
            </w:r>
          </w:p>
        </w:tc>
        <w:tc>
          <w:tcPr>
            <w:tcW w:w="2260" w:type="dxa"/>
          </w:tcPr>
          <w:p>
            <w:pPr>
              <w:pStyle w:val="TableParagraph"/>
              <w:spacing w:line="229" w:lineRule="exact" w:before="13"/>
              <w:ind w:left="781"/>
              <w:rPr>
                <w:sz w:val="20"/>
              </w:rPr>
            </w:pPr>
            <w:r>
              <w:rPr>
                <w:sz w:val="20"/>
              </w:rPr>
              <w:t>J.P. Morgan</w:t>
            </w:r>
          </w:p>
        </w:tc>
        <w:tc>
          <w:tcPr>
            <w:tcW w:w="2393" w:type="dxa"/>
          </w:tcPr>
          <w:p>
            <w:pPr>
              <w:pStyle w:val="TableParagraph"/>
              <w:ind w:left="0"/>
              <w:rPr>
                <w:rFonts w:ascii="Times New Roman"/>
                <w:sz w:val="18"/>
              </w:rPr>
            </w:pPr>
          </w:p>
        </w:tc>
      </w:tr>
      <w:tr>
        <w:trPr>
          <w:trHeight w:val="261" w:hRule="atLeast"/>
        </w:trPr>
        <w:tc>
          <w:tcPr>
            <w:tcW w:w="2347" w:type="dxa"/>
          </w:tcPr>
          <w:p>
            <w:pPr>
              <w:pStyle w:val="TableParagraph"/>
              <w:spacing w:line="229" w:lineRule="exact" w:before="12"/>
              <w:rPr>
                <w:sz w:val="20"/>
              </w:rPr>
            </w:pPr>
            <w:r>
              <w:rPr>
                <w:sz w:val="20"/>
              </w:rPr>
              <w:t>Elissa Holme</w:t>
            </w:r>
          </w:p>
        </w:tc>
        <w:tc>
          <w:tcPr>
            <w:tcW w:w="2260" w:type="dxa"/>
          </w:tcPr>
          <w:p>
            <w:pPr>
              <w:pStyle w:val="TableParagraph"/>
              <w:spacing w:line="229" w:lineRule="exact" w:before="12"/>
              <w:ind w:left="584" w:right="880"/>
              <w:jc w:val="center"/>
              <w:rPr>
                <w:sz w:val="20"/>
              </w:rPr>
            </w:pPr>
            <w:r>
              <w:rPr>
                <w:sz w:val="20"/>
              </w:rPr>
              <w:t>LCH</w:t>
            </w:r>
          </w:p>
        </w:tc>
        <w:tc>
          <w:tcPr>
            <w:tcW w:w="2393" w:type="dxa"/>
          </w:tcPr>
          <w:p>
            <w:pPr>
              <w:pStyle w:val="TableParagraph"/>
              <w:ind w:left="0"/>
              <w:rPr>
                <w:rFonts w:ascii="Times New Roman"/>
                <w:sz w:val="18"/>
              </w:rPr>
            </w:pPr>
          </w:p>
        </w:tc>
      </w:tr>
      <w:tr>
        <w:trPr>
          <w:trHeight w:val="261" w:hRule="atLeast"/>
        </w:trPr>
        <w:tc>
          <w:tcPr>
            <w:tcW w:w="2347" w:type="dxa"/>
          </w:tcPr>
          <w:p>
            <w:pPr>
              <w:pStyle w:val="TableParagraph"/>
              <w:spacing w:line="229" w:lineRule="exact" w:before="12"/>
              <w:rPr>
                <w:sz w:val="20"/>
              </w:rPr>
            </w:pPr>
            <w:r>
              <w:rPr>
                <w:sz w:val="20"/>
              </w:rPr>
              <w:t>Peter Left</w:t>
            </w:r>
          </w:p>
        </w:tc>
        <w:tc>
          <w:tcPr>
            <w:tcW w:w="2260" w:type="dxa"/>
          </w:tcPr>
          <w:p>
            <w:pPr>
              <w:pStyle w:val="TableParagraph"/>
              <w:spacing w:line="229" w:lineRule="exact" w:before="12"/>
              <w:ind w:left="760" w:right="880"/>
              <w:jc w:val="center"/>
              <w:rPr>
                <w:sz w:val="20"/>
              </w:rPr>
            </w:pPr>
            <w:r>
              <w:rPr>
                <w:sz w:val="20"/>
              </w:rPr>
              <w:t>Lloyds</w:t>
            </w:r>
          </w:p>
        </w:tc>
        <w:tc>
          <w:tcPr>
            <w:tcW w:w="2393" w:type="dxa"/>
          </w:tcPr>
          <w:p>
            <w:pPr>
              <w:pStyle w:val="TableParagraph"/>
              <w:ind w:left="0"/>
              <w:rPr>
                <w:rFonts w:ascii="Times New Roman"/>
                <w:sz w:val="18"/>
              </w:rPr>
            </w:pPr>
          </w:p>
        </w:tc>
      </w:tr>
      <w:tr>
        <w:trPr>
          <w:trHeight w:val="261" w:hRule="atLeast"/>
        </w:trPr>
        <w:tc>
          <w:tcPr>
            <w:tcW w:w="2347" w:type="dxa"/>
          </w:tcPr>
          <w:p>
            <w:pPr>
              <w:pStyle w:val="TableParagraph"/>
              <w:spacing w:line="229" w:lineRule="exact" w:before="12"/>
              <w:rPr>
                <w:sz w:val="20"/>
              </w:rPr>
            </w:pPr>
            <w:r>
              <w:rPr>
                <w:sz w:val="20"/>
              </w:rPr>
              <w:t>Nic Erevik</w:t>
            </w:r>
          </w:p>
        </w:tc>
        <w:tc>
          <w:tcPr>
            <w:tcW w:w="4653" w:type="dxa"/>
            <w:gridSpan w:val="2"/>
          </w:tcPr>
          <w:p>
            <w:pPr>
              <w:pStyle w:val="TableParagraph"/>
              <w:spacing w:line="229" w:lineRule="exact" w:before="12"/>
              <w:ind w:left="781"/>
              <w:rPr>
                <w:sz w:val="20"/>
              </w:rPr>
            </w:pPr>
            <w:r>
              <w:rPr>
                <w:sz w:val="20"/>
              </w:rPr>
              <w:t>Newcastle Building Society</w:t>
            </w:r>
          </w:p>
        </w:tc>
      </w:tr>
      <w:tr>
        <w:trPr>
          <w:trHeight w:val="261" w:hRule="atLeast"/>
        </w:trPr>
        <w:tc>
          <w:tcPr>
            <w:tcW w:w="2347" w:type="dxa"/>
          </w:tcPr>
          <w:p>
            <w:pPr>
              <w:pStyle w:val="TableParagraph"/>
              <w:spacing w:line="230" w:lineRule="exact" w:before="12"/>
              <w:rPr>
                <w:sz w:val="20"/>
              </w:rPr>
            </w:pPr>
            <w:r>
              <w:rPr>
                <w:sz w:val="20"/>
              </w:rPr>
              <w:t>Nina Moylett</w:t>
            </w:r>
          </w:p>
        </w:tc>
        <w:tc>
          <w:tcPr>
            <w:tcW w:w="2260" w:type="dxa"/>
          </w:tcPr>
          <w:p>
            <w:pPr>
              <w:pStyle w:val="TableParagraph"/>
              <w:spacing w:line="230" w:lineRule="exact" w:before="12"/>
              <w:ind w:left="638" w:right="880"/>
              <w:jc w:val="center"/>
              <w:rPr>
                <w:sz w:val="20"/>
              </w:rPr>
            </w:pPr>
            <w:r>
              <w:rPr>
                <w:sz w:val="20"/>
              </w:rPr>
              <w:t>M&amp;G</w:t>
            </w:r>
          </w:p>
        </w:tc>
        <w:tc>
          <w:tcPr>
            <w:tcW w:w="2393" w:type="dxa"/>
          </w:tcPr>
          <w:p>
            <w:pPr>
              <w:pStyle w:val="TableParagraph"/>
              <w:ind w:left="0"/>
              <w:rPr>
                <w:rFonts w:ascii="Times New Roman"/>
                <w:sz w:val="18"/>
              </w:rPr>
            </w:pPr>
          </w:p>
        </w:tc>
      </w:tr>
      <w:tr>
        <w:trPr>
          <w:trHeight w:val="263" w:hRule="atLeast"/>
        </w:trPr>
        <w:tc>
          <w:tcPr>
            <w:tcW w:w="2347" w:type="dxa"/>
          </w:tcPr>
          <w:p>
            <w:pPr>
              <w:pStyle w:val="TableParagraph"/>
              <w:spacing w:before="12"/>
              <w:rPr>
                <w:sz w:val="20"/>
              </w:rPr>
            </w:pPr>
            <w:r>
              <w:rPr>
                <w:sz w:val="20"/>
              </w:rPr>
              <w:t>Donal Quaid</w:t>
            </w:r>
          </w:p>
        </w:tc>
        <w:tc>
          <w:tcPr>
            <w:tcW w:w="2260" w:type="dxa"/>
          </w:tcPr>
          <w:p>
            <w:pPr>
              <w:pStyle w:val="TableParagraph"/>
              <w:spacing w:before="12"/>
              <w:ind w:left="781"/>
              <w:rPr>
                <w:sz w:val="20"/>
              </w:rPr>
            </w:pPr>
            <w:r>
              <w:rPr>
                <w:sz w:val="20"/>
              </w:rPr>
              <w:t>NatWest Bank</w:t>
            </w:r>
          </w:p>
        </w:tc>
        <w:tc>
          <w:tcPr>
            <w:tcW w:w="2393" w:type="dxa"/>
          </w:tcPr>
          <w:p>
            <w:pPr>
              <w:pStyle w:val="TableParagraph"/>
              <w:ind w:left="0"/>
              <w:rPr>
                <w:rFonts w:ascii="Times New Roman"/>
                <w:sz w:val="18"/>
              </w:rPr>
            </w:pPr>
          </w:p>
        </w:tc>
      </w:tr>
      <w:tr>
        <w:trPr>
          <w:trHeight w:val="262" w:hRule="atLeast"/>
        </w:trPr>
        <w:tc>
          <w:tcPr>
            <w:tcW w:w="2347" w:type="dxa"/>
          </w:tcPr>
          <w:p>
            <w:pPr>
              <w:pStyle w:val="TableParagraph"/>
              <w:spacing w:line="229" w:lineRule="exact" w:before="13"/>
              <w:rPr>
                <w:sz w:val="20"/>
              </w:rPr>
            </w:pPr>
            <w:r>
              <w:rPr>
                <w:sz w:val="20"/>
              </w:rPr>
              <w:t>Paul Barnes</w:t>
            </w:r>
          </w:p>
        </w:tc>
        <w:tc>
          <w:tcPr>
            <w:tcW w:w="2260" w:type="dxa"/>
          </w:tcPr>
          <w:p>
            <w:pPr>
              <w:pStyle w:val="TableParagraph"/>
              <w:spacing w:line="229" w:lineRule="exact" w:before="13"/>
              <w:ind w:left="781"/>
              <w:rPr>
                <w:sz w:val="20"/>
              </w:rPr>
            </w:pPr>
            <w:r>
              <w:rPr>
                <w:sz w:val="20"/>
              </w:rPr>
              <w:t>Santander UK</w:t>
            </w:r>
          </w:p>
        </w:tc>
        <w:tc>
          <w:tcPr>
            <w:tcW w:w="2393" w:type="dxa"/>
          </w:tcPr>
          <w:p>
            <w:pPr>
              <w:pStyle w:val="TableParagraph"/>
              <w:ind w:left="0"/>
              <w:rPr>
                <w:rFonts w:ascii="Times New Roman"/>
                <w:sz w:val="18"/>
              </w:rPr>
            </w:pPr>
          </w:p>
        </w:tc>
      </w:tr>
      <w:tr>
        <w:trPr>
          <w:trHeight w:val="475" w:hRule="atLeast"/>
        </w:trPr>
        <w:tc>
          <w:tcPr>
            <w:tcW w:w="2347" w:type="dxa"/>
          </w:tcPr>
          <w:p>
            <w:pPr>
              <w:pStyle w:val="TableParagraph"/>
              <w:spacing w:line="230" w:lineRule="atLeast" w:before="12"/>
              <w:ind w:right="337"/>
              <w:rPr>
                <w:sz w:val="20"/>
              </w:rPr>
            </w:pPr>
            <w:r>
              <w:rPr>
                <w:sz w:val="20"/>
              </w:rPr>
              <w:t>Lynda Heywood Romain Sinclair</w:t>
            </w:r>
          </w:p>
        </w:tc>
        <w:tc>
          <w:tcPr>
            <w:tcW w:w="2260" w:type="dxa"/>
          </w:tcPr>
          <w:p>
            <w:pPr>
              <w:pStyle w:val="TableParagraph"/>
              <w:spacing w:line="230" w:lineRule="atLeast" w:before="12"/>
              <w:ind w:left="781" w:right="469"/>
              <w:rPr>
                <w:sz w:val="20"/>
              </w:rPr>
            </w:pPr>
            <w:r>
              <w:rPr>
                <w:sz w:val="20"/>
              </w:rPr>
              <w:t>Tesco PLC Soc Gen</w:t>
            </w:r>
          </w:p>
        </w:tc>
        <w:tc>
          <w:tcPr>
            <w:tcW w:w="2393" w:type="dxa"/>
          </w:tcPr>
          <w:p>
            <w:pPr>
              <w:pStyle w:val="TableParagraph"/>
              <w:ind w:left="0"/>
              <w:rPr>
                <w:rFonts w:ascii="Times New Roman"/>
                <w:sz w:val="20"/>
              </w:rPr>
            </w:pPr>
          </w:p>
        </w:tc>
      </w:tr>
      <w:tr>
        <w:trPr>
          <w:trHeight w:val="805" w:hRule="atLeast"/>
        </w:trPr>
        <w:tc>
          <w:tcPr>
            <w:tcW w:w="2347" w:type="dxa"/>
          </w:tcPr>
          <w:p>
            <w:pPr>
              <w:pStyle w:val="TableParagraph"/>
              <w:ind w:right="644"/>
              <w:rPr>
                <w:sz w:val="20"/>
              </w:rPr>
            </w:pPr>
            <w:r>
              <w:rPr>
                <w:sz w:val="20"/>
              </w:rPr>
              <w:t>Ross Barrett Mick Chadwick Rob Thurlow</w:t>
            </w:r>
          </w:p>
        </w:tc>
        <w:tc>
          <w:tcPr>
            <w:tcW w:w="4653" w:type="dxa"/>
            <w:gridSpan w:val="2"/>
          </w:tcPr>
          <w:p>
            <w:pPr>
              <w:pStyle w:val="TableParagraph"/>
              <w:ind w:left="781" w:right="1395"/>
              <w:rPr>
                <w:sz w:val="20"/>
              </w:rPr>
            </w:pPr>
            <w:r>
              <w:rPr>
                <w:sz w:val="20"/>
              </w:rPr>
              <w:t>The Investment Association Aviva Investors</w:t>
            </w:r>
          </w:p>
          <w:p>
            <w:pPr>
              <w:pStyle w:val="TableParagraph"/>
              <w:ind w:left="781"/>
              <w:rPr>
                <w:sz w:val="20"/>
              </w:rPr>
            </w:pPr>
            <w:r>
              <w:rPr>
                <w:sz w:val="20"/>
              </w:rPr>
              <w:t>Mizuho</w:t>
            </w:r>
          </w:p>
        </w:tc>
      </w:tr>
      <w:tr>
        <w:trPr>
          <w:trHeight w:val="370" w:hRule="atLeast"/>
        </w:trPr>
        <w:tc>
          <w:tcPr>
            <w:tcW w:w="2347" w:type="dxa"/>
          </w:tcPr>
          <w:p>
            <w:pPr>
              <w:pStyle w:val="TableParagraph"/>
              <w:spacing w:before="112"/>
              <w:rPr>
                <w:sz w:val="20"/>
              </w:rPr>
            </w:pPr>
            <w:r>
              <w:rPr>
                <w:sz w:val="20"/>
              </w:rPr>
              <w:t>Jessica Pulay</w:t>
            </w:r>
          </w:p>
        </w:tc>
        <w:tc>
          <w:tcPr>
            <w:tcW w:w="2260" w:type="dxa"/>
          </w:tcPr>
          <w:p>
            <w:pPr>
              <w:pStyle w:val="TableParagraph"/>
              <w:spacing w:before="112"/>
              <w:ind w:left="0" w:right="2"/>
              <w:jc w:val="right"/>
              <w:rPr>
                <w:sz w:val="20"/>
              </w:rPr>
            </w:pPr>
            <w:r>
              <w:rPr>
                <w:sz w:val="20"/>
              </w:rPr>
              <w:t>DMO (Observer)</w:t>
            </w:r>
          </w:p>
        </w:tc>
        <w:tc>
          <w:tcPr>
            <w:tcW w:w="2393" w:type="dxa"/>
          </w:tcPr>
          <w:p>
            <w:pPr>
              <w:pStyle w:val="TableParagraph"/>
              <w:ind w:left="0"/>
              <w:rPr>
                <w:rFonts w:ascii="Times New Roman"/>
                <w:sz w:val="20"/>
              </w:rPr>
            </w:pPr>
          </w:p>
        </w:tc>
      </w:tr>
      <w:tr>
        <w:trPr>
          <w:trHeight w:val="710" w:hRule="atLeast"/>
        </w:trPr>
        <w:tc>
          <w:tcPr>
            <w:tcW w:w="2347" w:type="dxa"/>
          </w:tcPr>
          <w:p>
            <w:pPr>
              <w:pStyle w:val="TableParagraph"/>
              <w:spacing w:before="22"/>
              <w:rPr>
                <w:sz w:val="20"/>
              </w:rPr>
            </w:pPr>
            <w:r>
              <w:rPr>
                <w:sz w:val="20"/>
              </w:rPr>
              <w:t>Nike Trost</w:t>
            </w:r>
          </w:p>
        </w:tc>
        <w:tc>
          <w:tcPr>
            <w:tcW w:w="2260" w:type="dxa"/>
          </w:tcPr>
          <w:p>
            <w:pPr>
              <w:pStyle w:val="TableParagraph"/>
              <w:spacing w:before="22"/>
              <w:ind w:left="0" w:right="67"/>
              <w:jc w:val="right"/>
              <w:rPr>
                <w:sz w:val="20"/>
              </w:rPr>
            </w:pPr>
            <w:r>
              <w:rPr>
                <w:sz w:val="20"/>
              </w:rPr>
              <w:t>FCA (Observer)</w:t>
            </w:r>
          </w:p>
        </w:tc>
        <w:tc>
          <w:tcPr>
            <w:tcW w:w="2393" w:type="dxa"/>
          </w:tcPr>
          <w:p>
            <w:pPr>
              <w:pStyle w:val="TableParagraph"/>
              <w:ind w:left="0"/>
              <w:rPr>
                <w:rFonts w:ascii="Times New Roman"/>
                <w:sz w:val="20"/>
              </w:rPr>
            </w:pPr>
          </w:p>
        </w:tc>
      </w:tr>
      <w:tr>
        <w:trPr>
          <w:trHeight w:val="759" w:hRule="atLeast"/>
        </w:trPr>
        <w:tc>
          <w:tcPr>
            <w:tcW w:w="2347" w:type="dxa"/>
          </w:tcPr>
          <w:p>
            <w:pPr>
              <w:pStyle w:val="TableParagraph"/>
              <w:ind w:left="0"/>
              <w:rPr>
                <w:sz w:val="22"/>
              </w:rPr>
            </w:pPr>
          </w:p>
          <w:p>
            <w:pPr>
              <w:pStyle w:val="TableParagraph"/>
              <w:spacing w:before="3"/>
              <w:ind w:left="0"/>
              <w:rPr>
                <w:sz w:val="17"/>
              </w:rPr>
            </w:pPr>
          </w:p>
          <w:p>
            <w:pPr>
              <w:pStyle w:val="TableParagraph"/>
              <w:rPr>
                <w:b/>
                <w:sz w:val="20"/>
              </w:rPr>
            </w:pPr>
            <w:r>
              <w:rPr>
                <w:b/>
                <w:sz w:val="20"/>
              </w:rPr>
              <w:t>Bank of England</w:t>
            </w:r>
          </w:p>
        </w:tc>
        <w:tc>
          <w:tcPr>
            <w:tcW w:w="2260" w:type="dxa"/>
          </w:tcPr>
          <w:p>
            <w:pPr>
              <w:pStyle w:val="TableParagraph"/>
              <w:ind w:left="0"/>
              <w:rPr>
                <w:rFonts w:ascii="Times New Roman"/>
                <w:sz w:val="20"/>
              </w:rPr>
            </w:pPr>
          </w:p>
        </w:tc>
        <w:tc>
          <w:tcPr>
            <w:tcW w:w="2393" w:type="dxa"/>
          </w:tcPr>
          <w:p>
            <w:pPr>
              <w:pStyle w:val="TableParagraph"/>
              <w:ind w:left="0"/>
              <w:rPr>
                <w:rFonts w:ascii="Times New Roman"/>
                <w:sz w:val="20"/>
              </w:rPr>
            </w:pPr>
          </w:p>
        </w:tc>
      </w:tr>
      <w:tr>
        <w:trPr>
          <w:trHeight w:val="325" w:hRule="atLeast"/>
        </w:trPr>
        <w:tc>
          <w:tcPr>
            <w:tcW w:w="2347" w:type="dxa"/>
          </w:tcPr>
          <w:p>
            <w:pPr>
              <w:pStyle w:val="TableParagraph"/>
              <w:spacing w:before="71"/>
              <w:rPr>
                <w:sz w:val="20"/>
              </w:rPr>
            </w:pPr>
            <w:r>
              <w:rPr>
                <w:sz w:val="20"/>
              </w:rPr>
              <w:t>Andrew Hauser</w:t>
            </w:r>
          </w:p>
        </w:tc>
        <w:tc>
          <w:tcPr>
            <w:tcW w:w="2260" w:type="dxa"/>
          </w:tcPr>
          <w:p>
            <w:pPr>
              <w:pStyle w:val="TableParagraph"/>
              <w:spacing w:before="71"/>
              <w:ind w:left="356"/>
              <w:rPr>
                <w:sz w:val="20"/>
              </w:rPr>
            </w:pPr>
            <w:r>
              <w:rPr>
                <w:sz w:val="20"/>
              </w:rPr>
              <w:t>Rhys Phillips</w:t>
            </w:r>
          </w:p>
        </w:tc>
        <w:tc>
          <w:tcPr>
            <w:tcW w:w="2393" w:type="dxa"/>
          </w:tcPr>
          <w:p>
            <w:pPr>
              <w:pStyle w:val="TableParagraph"/>
              <w:spacing w:before="71"/>
              <w:ind w:left="648"/>
              <w:rPr>
                <w:sz w:val="20"/>
              </w:rPr>
            </w:pPr>
            <w:r>
              <w:rPr>
                <w:sz w:val="20"/>
              </w:rPr>
              <w:t>Jon Pyzer</w:t>
            </w:r>
          </w:p>
        </w:tc>
      </w:tr>
      <w:tr>
        <w:trPr>
          <w:trHeight w:val="246" w:hRule="atLeast"/>
        </w:trPr>
        <w:tc>
          <w:tcPr>
            <w:tcW w:w="2347" w:type="dxa"/>
          </w:tcPr>
          <w:p>
            <w:pPr>
              <w:pStyle w:val="TableParagraph"/>
              <w:spacing w:line="210" w:lineRule="exact" w:before="17"/>
              <w:rPr>
                <w:sz w:val="20"/>
              </w:rPr>
            </w:pPr>
            <w:r>
              <w:rPr>
                <w:sz w:val="20"/>
              </w:rPr>
              <w:t>Rebecca Maher</w:t>
            </w:r>
          </w:p>
        </w:tc>
        <w:tc>
          <w:tcPr>
            <w:tcW w:w="2260" w:type="dxa"/>
          </w:tcPr>
          <w:p>
            <w:pPr>
              <w:pStyle w:val="TableParagraph"/>
              <w:spacing w:line="210" w:lineRule="exact" w:before="17"/>
              <w:ind w:left="356"/>
              <w:rPr>
                <w:sz w:val="20"/>
              </w:rPr>
            </w:pPr>
            <w:r>
              <w:rPr>
                <w:sz w:val="20"/>
              </w:rPr>
              <w:t>Tom Jennings</w:t>
            </w:r>
          </w:p>
        </w:tc>
        <w:tc>
          <w:tcPr>
            <w:tcW w:w="2393" w:type="dxa"/>
          </w:tcPr>
          <w:p>
            <w:pPr>
              <w:pStyle w:val="TableParagraph"/>
              <w:spacing w:line="210" w:lineRule="exact" w:before="17"/>
              <w:ind w:left="648"/>
              <w:rPr>
                <w:sz w:val="20"/>
              </w:rPr>
            </w:pPr>
            <w:r>
              <w:rPr>
                <w:sz w:val="20"/>
              </w:rPr>
              <w:t>Helena Patterson</w:t>
            </w:r>
          </w:p>
        </w:tc>
      </w:tr>
    </w:tbl>
    <w:p>
      <w:pPr>
        <w:spacing w:after="0" w:line="210" w:lineRule="exact"/>
        <w:rPr>
          <w:sz w:val="20"/>
        </w:rPr>
        <w:sectPr>
          <w:headerReference w:type="default" r:id="rId5"/>
          <w:type w:val="continuous"/>
          <w:pgSz w:w="11910" w:h="16840"/>
          <w:pgMar w:header="735" w:top="1660" w:bottom="280" w:left="1000" w:right="1320"/>
        </w:sectPr>
      </w:pPr>
    </w:p>
    <w:p>
      <w:pPr>
        <w:pStyle w:val="Heading1"/>
        <w:spacing w:before="143"/>
      </w:pPr>
      <w:r>
        <w:rPr/>
        <w:t>Item 1. Bank of England introductory remarks</w:t>
      </w:r>
    </w:p>
    <w:p>
      <w:pPr>
        <w:pStyle w:val="BodyText"/>
        <w:spacing w:before="5"/>
        <w:ind w:left="0"/>
        <w:rPr>
          <w:b/>
        </w:rPr>
      </w:pPr>
    </w:p>
    <w:p>
      <w:pPr>
        <w:pStyle w:val="BodyText"/>
      </w:pPr>
      <w:r>
        <w:rPr/>
        <w:t>The Chair thanked Olivia Maguire and JP Morgan Asset Management for hosting the meeting.</w:t>
      </w:r>
    </w:p>
    <w:p>
      <w:pPr>
        <w:pStyle w:val="BodyText"/>
        <w:spacing w:before="3"/>
        <w:ind w:left="0"/>
      </w:pPr>
    </w:p>
    <w:p>
      <w:pPr>
        <w:pStyle w:val="BodyText"/>
        <w:spacing w:line="276" w:lineRule="auto" w:before="1"/>
        <w:ind w:right="116"/>
        <w:jc w:val="both"/>
      </w:pPr>
      <w:r>
        <w:rPr/>
        <w:t>The</w:t>
      </w:r>
      <w:r>
        <w:rPr>
          <w:spacing w:val="-5"/>
        </w:rPr>
        <w:t> </w:t>
      </w:r>
      <w:r>
        <w:rPr/>
        <w:t>Chair</w:t>
      </w:r>
      <w:r>
        <w:rPr>
          <w:spacing w:val="-1"/>
        </w:rPr>
        <w:t> </w:t>
      </w:r>
      <w:r>
        <w:rPr/>
        <w:t>welcomed</w:t>
      </w:r>
      <w:r>
        <w:rPr>
          <w:spacing w:val="-5"/>
        </w:rPr>
        <w:t> </w:t>
      </w:r>
      <w:r>
        <w:rPr/>
        <w:t>new</w:t>
      </w:r>
      <w:r>
        <w:rPr>
          <w:spacing w:val="-4"/>
        </w:rPr>
        <w:t> </w:t>
      </w:r>
      <w:r>
        <w:rPr/>
        <w:t>members</w:t>
      </w:r>
      <w:r>
        <w:rPr>
          <w:spacing w:val="-3"/>
        </w:rPr>
        <w:t> </w:t>
      </w:r>
      <w:r>
        <w:rPr/>
        <w:t>to</w:t>
      </w:r>
      <w:r>
        <w:rPr>
          <w:spacing w:val="-5"/>
        </w:rPr>
        <w:t> </w:t>
      </w:r>
      <w:r>
        <w:rPr/>
        <w:t>the</w:t>
      </w:r>
      <w:r>
        <w:rPr>
          <w:spacing w:val="-5"/>
        </w:rPr>
        <w:t> </w:t>
      </w:r>
      <w:r>
        <w:rPr/>
        <w:t>Committee:</w:t>
      </w:r>
      <w:r>
        <w:rPr>
          <w:spacing w:val="-5"/>
        </w:rPr>
        <w:t> </w:t>
      </w:r>
      <w:r>
        <w:rPr/>
        <w:t>1) Vicky</w:t>
      </w:r>
      <w:r>
        <w:rPr>
          <w:spacing w:val="-13"/>
        </w:rPr>
        <w:t> </w:t>
      </w:r>
      <w:r>
        <w:rPr/>
        <w:t>Worsfold,</w:t>
      </w:r>
      <w:r>
        <w:rPr>
          <w:spacing w:val="-4"/>
        </w:rPr>
        <w:t> </w:t>
      </w:r>
      <w:r>
        <w:rPr/>
        <w:t>Deputy</w:t>
      </w:r>
      <w:r>
        <w:rPr>
          <w:spacing w:val="-5"/>
        </w:rPr>
        <w:t> </w:t>
      </w:r>
      <w:r>
        <w:rPr/>
        <w:t>Chief</w:t>
      </w:r>
      <w:r>
        <w:rPr>
          <w:spacing w:val="-3"/>
        </w:rPr>
        <w:t> </w:t>
      </w:r>
      <w:r>
        <w:rPr/>
        <w:t>Finance</w:t>
      </w:r>
      <w:r>
        <w:rPr>
          <w:spacing w:val="-5"/>
        </w:rPr>
        <w:t> </w:t>
      </w:r>
      <w:r>
        <w:rPr/>
        <w:t>Officer of</w:t>
      </w:r>
      <w:r>
        <w:rPr>
          <w:spacing w:val="-6"/>
        </w:rPr>
        <w:t> </w:t>
      </w:r>
      <w:r>
        <w:rPr/>
        <w:t>Guildford</w:t>
      </w:r>
      <w:r>
        <w:rPr>
          <w:spacing w:val="-5"/>
        </w:rPr>
        <w:t> </w:t>
      </w:r>
      <w:r>
        <w:rPr/>
        <w:t>Borough</w:t>
      </w:r>
      <w:r>
        <w:rPr>
          <w:spacing w:val="-8"/>
        </w:rPr>
        <w:t> </w:t>
      </w:r>
      <w:r>
        <w:rPr/>
        <w:t>Council;</w:t>
      </w:r>
      <w:r>
        <w:rPr>
          <w:spacing w:val="-7"/>
        </w:rPr>
        <w:t> </w:t>
      </w:r>
      <w:r>
        <w:rPr/>
        <w:t>2)</w:t>
      </w:r>
      <w:r>
        <w:rPr>
          <w:spacing w:val="-5"/>
        </w:rPr>
        <w:t> </w:t>
      </w:r>
      <w:r>
        <w:rPr/>
        <w:t>Elissa</w:t>
      </w:r>
      <w:r>
        <w:rPr>
          <w:spacing w:val="-8"/>
        </w:rPr>
        <w:t> </w:t>
      </w:r>
      <w:r>
        <w:rPr/>
        <w:t>Holme,</w:t>
      </w:r>
      <w:r>
        <w:rPr>
          <w:spacing w:val="-7"/>
        </w:rPr>
        <w:t> </w:t>
      </w:r>
      <w:r>
        <w:rPr/>
        <w:t>Head</w:t>
      </w:r>
      <w:r>
        <w:rPr>
          <w:spacing w:val="-6"/>
        </w:rPr>
        <w:t> </w:t>
      </w:r>
      <w:r>
        <w:rPr/>
        <w:t>of</w:t>
      </w:r>
      <w:r>
        <w:rPr>
          <w:spacing w:val="-6"/>
        </w:rPr>
        <w:t> </w:t>
      </w:r>
      <w:r>
        <w:rPr/>
        <w:t>Collateral</w:t>
      </w:r>
      <w:r>
        <w:rPr>
          <w:spacing w:val="-6"/>
        </w:rPr>
        <w:t> </w:t>
      </w:r>
      <w:r>
        <w:rPr/>
        <w:t>Management</w:t>
      </w:r>
      <w:r>
        <w:rPr>
          <w:spacing w:val="-7"/>
        </w:rPr>
        <w:t> </w:t>
      </w:r>
      <w:r>
        <w:rPr/>
        <w:t>and</w:t>
      </w:r>
      <w:r>
        <w:rPr>
          <w:spacing w:val="-8"/>
        </w:rPr>
        <w:t> </w:t>
      </w:r>
      <w:r>
        <w:rPr/>
        <w:t>Liquidity</w:t>
      </w:r>
      <w:r>
        <w:rPr>
          <w:spacing w:val="-8"/>
        </w:rPr>
        <w:t> </w:t>
      </w:r>
      <w:r>
        <w:rPr/>
        <w:t>and</w:t>
      </w:r>
      <w:r>
        <w:rPr>
          <w:spacing w:val="-6"/>
        </w:rPr>
        <w:t> </w:t>
      </w:r>
      <w:r>
        <w:rPr/>
        <w:t>LCH;</w:t>
      </w:r>
    </w:p>
    <w:p>
      <w:pPr>
        <w:pStyle w:val="BodyText"/>
        <w:spacing w:line="278" w:lineRule="auto"/>
        <w:ind w:right="116"/>
        <w:jc w:val="both"/>
      </w:pPr>
      <w:r>
        <w:rPr/>
        <w:t>3) Ina Budh-Raja, Director, Product and Strategy – Securities Finance at Bank of New York Mellon; 4) Emma Cooper, Head of Repo for the EMEA Region at Blackrock; 5) James Winterton, Associate Director at the Association of Corporate Treasurers; and 6) Marije Verhelst, Director at Euroclear.</w:t>
      </w:r>
    </w:p>
    <w:p>
      <w:pPr>
        <w:pStyle w:val="BodyText"/>
        <w:spacing w:line="278" w:lineRule="auto" w:before="192"/>
        <w:ind w:right="116"/>
        <w:jc w:val="both"/>
      </w:pPr>
      <w:r>
        <w:rPr/>
        <w:t>The</w:t>
      </w:r>
      <w:r>
        <w:rPr>
          <w:spacing w:val="-11"/>
        </w:rPr>
        <w:t> </w:t>
      </w:r>
      <w:r>
        <w:rPr/>
        <w:t>Chair</w:t>
      </w:r>
      <w:r>
        <w:rPr>
          <w:spacing w:val="-9"/>
        </w:rPr>
        <w:t> </w:t>
      </w:r>
      <w:r>
        <w:rPr/>
        <w:t>confirmed</w:t>
      </w:r>
      <w:r>
        <w:rPr>
          <w:spacing w:val="-8"/>
        </w:rPr>
        <w:t> </w:t>
      </w:r>
      <w:r>
        <w:rPr/>
        <w:t>that</w:t>
      </w:r>
      <w:r>
        <w:rPr>
          <w:spacing w:val="-10"/>
        </w:rPr>
        <w:t> </w:t>
      </w:r>
      <w:r>
        <w:rPr/>
        <w:t>the</w:t>
      </w:r>
      <w:r>
        <w:rPr>
          <w:spacing w:val="-8"/>
        </w:rPr>
        <w:t> </w:t>
      </w:r>
      <w:r>
        <w:rPr/>
        <w:t>September</w:t>
      </w:r>
      <w:r>
        <w:rPr>
          <w:spacing w:val="-8"/>
        </w:rPr>
        <w:t> </w:t>
      </w:r>
      <w:r>
        <w:rPr/>
        <w:t>MMC</w:t>
      </w:r>
      <w:r>
        <w:rPr>
          <w:spacing w:val="-8"/>
        </w:rPr>
        <w:t> </w:t>
      </w:r>
      <w:r>
        <w:rPr/>
        <w:t>minutes</w:t>
      </w:r>
      <w:r>
        <w:rPr>
          <w:spacing w:val="-4"/>
        </w:rPr>
        <w:t> </w:t>
      </w:r>
      <w:r>
        <w:rPr/>
        <w:t>had</w:t>
      </w:r>
      <w:r>
        <w:rPr>
          <w:spacing w:val="-8"/>
        </w:rPr>
        <w:t> </w:t>
      </w:r>
      <w:r>
        <w:rPr/>
        <w:t>been</w:t>
      </w:r>
      <w:r>
        <w:rPr>
          <w:spacing w:val="-7"/>
        </w:rPr>
        <w:t> </w:t>
      </w:r>
      <w:r>
        <w:rPr/>
        <w:t>published</w:t>
      </w:r>
      <w:r>
        <w:rPr>
          <w:spacing w:val="-7"/>
        </w:rPr>
        <w:t> </w:t>
      </w:r>
      <w:r>
        <w:rPr/>
        <w:t>on</w:t>
      </w:r>
      <w:r>
        <w:rPr>
          <w:spacing w:val="-11"/>
        </w:rPr>
        <w:t> </w:t>
      </w:r>
      <w:r>
        <w:rPr/>
        <w:t>the</w:t>
      </w:r>
      <w:r>
        <w:rPr>
          <w:spacing w:val="-6"/>
        </w:rPr>
        <w:t> </w:t>
      </w:r>
      <w:r>
        <w:rPr/>
        <w:t>Bank’s</w:t>
      </w:r>
      <w:r>
        <w:rPr>
          <w:spacing w:val="-6"/>
        </w:rPr>
        <w:t> </w:t>
      </w:r>
      <w:r>
        <w:rPr/>
        <w:t>website</w:t>
      </w:r>
      <w:r>
        <w:rPr>
          <w:spacing w:val="-5"/>
        </w:rPr>
        <w:t> </w:t>
      </w:r>
      <w:r>
        <w:rPr/>
        <w:t>after agreement by written procedure following the last</w:t>
      </w:r>
      <w:r>
        <w:rPr>
          <w:spacing w:val="-4"/>
        </w:rPr>
        <w:t> </w:t>
      </w:r>
      <w:r>
        <w:rPr/>
        <w:t>meeting.</w:t>
      </w:r>
    </w:p>
    <w:p>
      <w:pPr>
        <w:pStyle w:val="BodyText"/>
        <w:spacing w:line="276" w:lineRule="auto" w:before="196"/>
        <w:ind w:right="118"/>
        <w:jc w:val="both"/>
      </w:pPr>
      <w:r>
        <w:rPr/>
        <w:t>The</w:t>
      </w:r>
      <w:r>
        <w:rPr>
          <w:spacing w:val="-7"/>
        </w:rPr>
        <w:t> </w:t>
      </w:r>
      <w:r>
        <w:rPr/>
        <w:t>Chair</w:t>
      </w:r>
      <w:r>
        <w:rPr>
          <w:spacing w:val="-6"/>
        </w:rPr>
        <w:t> </w:t>
      </w:r>
      <w:r>
        <w:rPr/>
        <w:t>drew</w:t>
      </w:r>
      <w:r>
        <w:rPr>
          <w:spacing w:val="-5"/>
        </w:rPr>
        <w:t> </w:t>
      </w:r>
      <w:r>
        <w:rPr/>
        <w:t>the</w:t>
      </w:r>
      <w:r>
        <w:rPr>
          <w:spacing w:val="-7"/>
        </w:rPr>
        <w:t> </w:t>
      </w:r>
      <w:r>
        <w:rPr/>
        <w:t>Committee’s</w:t>
      </w:r>
      <w:r>
        <w:rPr>
          <w:spacing w:val="-2"/>
        </w:rPr>
        <w:t> </w:t>
      </w:r>
      <w:r>
        <w:rPr/>
        <w:t>attention</w:t>
      </w:r>
      <w:r>
        <w:rPr>
          <w:spacing w:val="-5"/>
        </w:rPr>
        <w:t> </w:t>
      </w:r>
      <w:r>
        <w:rPr/>
        <w:t>to</w:t>
      </w:r>
      <w:r>
        <w:rPr>
          <w:spacing w:val="-1"/>
        </w:rPr>
        <w:t> </w:t>
      </w:r>
      <w:r>
        <w:rPr/>
        <w:t>the</w:t>
      </w:r>
      <w:r>
        <w:rPr>
          <w:spacing w:val="-3"/>
        </w:rPr>
        <w:t> </w:t>
      </w:r>
      <w:r>
        <w:rPr/>
        <w:t>Bank’s</w:t>
      </w:r>
      <w:r>
        <w:rPr>
          <w:spacing w:val="-5"/>
        </w:rPr>
        <w:t> </w:t>
      </w:r>
      <w:r>
        <w:rPr/>
        <w:t>statement</w:t>
      </w:r>
      <w:r>
        <w:rPr>
          <w:spacing w:val="-6"/>
        </w:rPr>
        <w:t> </w:t>
      </w:r>
      <w:r>
        <w:rPr/>
        <w:t>of</w:t>
      </w:r>
      <w:r>
        <w:rPr>
          <w:spacing w:val="-4"/>
        </w:rPr>
        <w:t> </w:t>
      </w:r>
      <w:r>
        <w:rPr/>
        <w:t>18</w:t>
      </w:r>
      <w:r>
        <w:rPr>
          <w:spacing w:val="-7"/>
        </w:rPr>
        <w:t> </w:t>
      </w:r>
      <w:r>
        <w:rPr/>
        <w:t>December</w:t>
      </w:r>
      <w:r>
        <w:rPr>
          <w:spacing w:val="-5"/>
        </w:rPr>
        <w:t> </w:t>
      </w:r>
      <w:r>
        <w:rPr/>
        <w:t>2019</w:t>
      </w:r>
      <w:r>
        <w:rPr>
          <w:spacing w:val="-7"/>
        </w:rPr>
        <w:t> </w:t>
      </w:r>
      <w:r>
        <w:rPr/>
        <w:t>regarding</w:t>
      </w:r>
      <w:r>
        <w:rPr>
          <w:spacing w:val="-6"/>
        </w:rPr>
        <w:t> </w:t>
      </w:r>
      <w:r>
        <w:rPr/>
        <w:t>the misuse of an audio feed of certain of the Bank’s press conferences by a third party. He </w:t>
      </w:r>
      <w:r>
        <w:rPr>
          <w:spacing w:val="2"/>
        </w:rPr>
        <w:t>noted </w:t>
      </w:r>
      <w:r>
        <w:rPr/>
        <w:t>that the matter had been referred to the FCA, and that – if they had not already done so – firms should be identifying whether they had been using these services. They should also be assuring themselves whether any such use was consistent both with their statutory responsibilities and with their voluntary undertakings under the UK Money Markets and FX Global</w:t>
      </w:r>
      <w:r>
        <w:rPr>
          <w:spacing w:val="-1"/>
        </w:rPr>
        <w:t> </w:t>
      </w:r>
      <w:r>
        <w:rPr/>
        <w:t>Codes.</w:t>
      </w:r>
    </w:p>
    <w:p>
      <w:pPr>
        <w:pStyle w:val="BodyText"/>
        <w:spacing w:before="6"/>
        <w:ind w:left="0"/>
        <w:rPr>
          <w:sz w:val="17"/>
        </w:rPr>
      </w:pPr>
    </w:p>
    <w:p>
      <w:pPr>
        <w:pStyle w:val="Heading1"/>
      </w:pPr>
      <w:r>
        <w:rPr/>
        <w:t>Item 2. Report from MMC working groups</w:t>
      </w:r>
    </w:p>
    <w:p>
      <w:pPr>
        <w:pStyle w:val="BodyText"/>
        <w:spacing w:before="3"/>
        <w:ind w:left="0"/>
        <w:rPr>
          <w:b/>
        </w:rPr>
      </w:pPr>
    </w:p>
    <w:p>
      <w:pPr>
        <w:pStyle w:val="BodyText"/>
        <w:spacing w:line="276" w:lineRule="auto"/>
        <w:ind w:right="116"/>
        <w:jc w:val="both"/>
      </w:pPr>
      <w:r>
        <w:rPr/>
        <w:t>The</w:t>
      </w:r>
      <w:r>
        <w:rPr>
          <w:spacing w:val="-11"/>
        </w:rPr>
        <w:t> </w:t>
      </w:r>
      <w:r>
        <w:rPr/>
        <w:t>Chair</w:t>
      </w:r>
      <w:r>
        <w:rPr>
          <w:spacing w:val="-9"/>
        </w:rPr>
        <w:t> </w:t>
      </w:r>
      <w:r>
        <w:rPr/>
        <w:t>noted</w:t>
      </w:r>
      <w:r>
        <w:rPr>
          <w:spacing w:val="-7"/>
        </w:rPr>
        <w:t> </w:t>
      </w:r>
      <w:r>
        <w:rPr/>
        <w:t>that</w:t>
      </w:r>
      <w:r>
        <w:rPr>
          <w:spacing w:val="-8"/>
        </w:rPr>
        <w:t> </w:t>
      </w:r>
      <w:r>
        <w:rPr/>
        <w:t>the</w:t>
      </w:r>
      <w:r>
        <w:rPr>
          <w:spacing w:val="-7"/>
        </w:rPr>
        <w:t> </w:t>
      </w:r>
      <w:r>
        <w:rPr/>
        <w:t>Committee</w:t>
      </w:r>
      <w:r>
        <w:rPr>
          <w:spacing w:val="-9"/>
        </w:rPr>
        <w:t> </w:t>
      </w:r>
      <w:r>
        <w:rPr/>
        <w:t>had</w:t>
      </w:r>
      <w:r>
        <w:rPr>
          <w:spacing w:val="-8"/>
        </w:rPr>
        <w:t> </w:t>
      </w:r>
      <w:r>
        <w:rPr/>
        <w:t>previously</w:t>
      </w:r>
      <w:r>
        <w:rPr>
          <w:spacing w:val="-13"/>
        </w:rPr>
        <w:t> </w:t>
      </w:r>
      <w:r>
        <w:rPr/>
        <w:t>agreed</w:t>
      </w:r>
      <w:r>
        <w:rPr>
          <w:spacing w:val="-9"/>
        </w:rPr>
        <w:t> </w:t>
      </w:r>
      <w:r>
        <w:rPr/>
        <w:t>to</w:t>
      </w:r>
      <w:r>
        <w:rPr>
          <w:spacing w:val="-9"/>
        </w:rPr>
        <w:t> </w:t>
      </w:r>
      <w:r>
        <w:rPr/>
        <w:t>establish</w:t>
      </w:r>
      <w:r>
        <w:rPr>
          <w:spacing w:val="-9"/>
        </w:rPr>
        <w:t> </w:t>
      </w:r>
      <w:r>
        <w:rPr/>
        <w:t>three</w:t>
      </w:r>
      <w:r>
        <w:rPr>
          <w:spacing w:val="-6"/>
        </w:rPr>
        <w:t> </w:t>
      </w:r>
      <w:r>
        <w:rPr/>
        <w:t>working</w:t>
      </w:r>
      <w:r>
        <w:rPr>
          <w:spacing w:val="-11"/>
        </w:rPr>
        <w:t> </w:t>
      </w:r>
      <w:r>
        <w:rPr/>
        <w:t>groups</w:t>
      </w:r>
      <w:r>
        <w:rPr>
          <w:spacing w:val="-9"/>
        </w:rPr>
        <w:t> </w:t>
      </w:r>
      <w:r>
        <w:rPr/>
        <w:t>to</w:t>
      </w:r>
      <w:r>
        <w:rPr>
          <w:spacing w:val="-10"/>
        </w:rPr>
        <w:t> </w:t>
      </w:r>
      <w:r>
        <w:rPr/>
        <w:t>discuss key thematic developments in sterling money markets over the past three years. Those groups had covered,</w:t>
      </w:r>
      <w:r>
        <w:rPr>
          <w:spacing w:val="-15"/>
        </w:rPr>
        <w:t> </w:t>
      </w:r>
      <w:r>
        <w:rPr/>
        <w:t>respectively:</w:t>
      </w:r>
      <w:r>
        <w:rPr>
          <w:spacing w:val="29"/>
        </w:rPr>
        <w:t> </w:t>
      </w:r>
      <w:r>
        <w:rPr/>
        <w:t>market</w:t>
      </w:r>
      <w:r>
        <w:rPr>
          <w:spacing w:val="-14"/>
        </w:rPr>
        <w:t> </w:t>
      </w:r>
      <w:r>
        <w:rPr/>
        <w:t>participation</w:t>
      </w:r>
      <w:r>
        <w:rPr>
          <w:spacing w:val="-13"/>
        </w:rPr>
        <w:t> </w:t>
      </w:r>
      <w:r>
        <w:rPr/>
        <w:t>and</w:t>
      </w:r>
      <w:r>
        <w:rPr>
          <w:spacing w:val="-15"/>
        </w:rPr>
        <w:t> </w:t>
      </w:r>
      <w:r>
        <w:rPr/>
        <w:t>functioning;</w:t>
      </w:r>
      <w:r>
        <w:rPr>
          <w:spacing w:val="-13"/>
        </w:rPr>
        <w:t> </w:t>
      </w:r>
      <w:r>
        <w:rPr/>
        <w:t>technology</w:t>
      </w:r>
      <w:r>
        <w:rPr>
          <w:spacing w:val="-15"/>
        </w:rPr>
        <w:t> </w:t>
      </w:r>
      <w:r>
        <w:rPr/>
        <w:t>and</w:t>
      </w:r>
      <w:r>
        <w:rPr>
          <w:spacing w:val="-13"/>
        </w:rPr>
        <w:t> </w:t>
      </w:r>
      <w:r>
        <w:rPr/>
        <w:t>innovation;</w:t>
      </w:r>
      <w:r>
        <w:rPr>
          <w:spacing w:val="-13"/>
        </w:rPr>
        <w:t> </w:t>
      </w:r>
      <w:r>
        <w:rPr/>
        <w:t>and</w:t>
      </w:r>
      <w:r>
        <w:rPr>
          <w:spacing w:val="-12"/>
        </w:rPr>
        <w:t> </w:t>
      </w:r>
      <w:r>
        <w:rPr/>
        <w:t>the</w:t>
      </w:r>
      <w:r>
        <w:rPr>
          <w:spacing w:val="-13"/>
        </w:rPr>
        <w:t> </w:t>
      </w:r>
      <w:r>
        <w:rPr/>
        <w:t>impacts of regulatory reform. The purpose of forming these groups had been twofold: first, to inform the review of the UK Money Markets Code, which would take place in 2020; and, second, to identify future discussion</w:t>
      </w:r>
      <w:r>
        <w:rPr>
          <w:spacing w:val="-10"/>
        </w:rPr>
        <w:t> </w:t>
      </w:r>
      <w:r>
        <w:rPr/>
        <w:t>themes</w:t>
      </w:r>
      <w:r>
        <w:rPr>
          <w:spacing w:val="-8"/>
        </w:rPr>
        <w:t> </w:t>
      </w:r>
      <w:r>
        <w:rPr/>
        <w:t>for</w:t>
      </w:r>
      <w:r>
        <w:rPr>
          <w:spacing w:val="-10"/>
        </w:rPr>
        <w:t> </w:t>
      </w:r>
      <w:r>
        <w:rPr/>
        <w:t>the</w:t>
      </w:r>
      <w:r>
        <w:rPr>
          <w:spacing w:val="-9"/>
        </w:rPr>
        <w:t> </w:t>
      </w:r>
      <w:r>
        <w:rPr/>
        <w:t>MMC’s</w:t>
      </w:r>
      <w:r>
        <w:rPr>
          <w:spacing w:val="-10"/>
        </w:rPr>
        <w:t> </w:t>
      </w:r>
      <w:r>
        <w:rPr/>
        <w:t>agendas.</w:t>
      </w:r>
      <w:r>
        <w:rPr>
          <w:spacing w:val="37"/>
        </w:rPr>
        <w:t> </w:t>
      </w:r>
      <w:r>
        <w:rPr/>
        <w:t>The</w:t>
      </w:r>
      <w:r>
        <w:rPr>
          <w:spacing w:val="-9"/>
        </w:rPr>
        <w:t> </w:t>
      </w:r>
      <w:r>
        <w:rPr/>
        <w:t>groups</w:t>
      </w:r>
      <w:r>
        <w:rPr>
          <w:spacing w:val="-9"/>
        </w:rPr>
        <w:t> </w:t>
      </w:r>
      <w:r>
        <w:rPr/>
        <w:t>had</w:t>
      </w:r>
      <w:r>
        <w:rPr>
          <w:spacing w:val="-11"/>
        </w:rPr>
        <w:t> </w:t>
      </w:r>
      <w:r>
        <w:rPr/>
        <w:t>met</w:t>
      </w:r>
      <w:r>
        <w:rPr>
          <w:spacing w:val="-12"/>
        </w:rPr>
        <w:t> </w:t>
      </w:r>
      <w:r>
        <w:rPr/>
        <w:t>3-4</w:t>
      </w:r>
      <w:r>
        <w:rPr>
          <w:spacing w:val="-9"/>
        </w:rPr>
        <w:t> </w:t>
      </w:r>
      <w:r>
        <w:rPr/>
        <w:t>times</w:t>
      </w:r>
      <w:r>
        <w:rPr>
          <w:spacing w:val="-10"/>
        </w:rPr>
        <w:t> </w:t>
      </w:r>
      <w:r>
        <w:rPr/>
        <w:t>each</w:t>
      </w:r>
      <w:r>
        <w:rPr>
          <w:spacing w:val="-11"/>
        </w:rPr>
        <w:t> </w:t>
      </w:r>
      <w:r>
        <w:rPr/>
        <w:t>throughout</w:t>
      </w:r>
      <w:r>
        <w:rPr>
          <w:spacing w:val="-9"/>
        </w:rPr>
        <w:t> </w:t>
      </w:r>
      <w:r>
        <w:rPr/>
        <w:t>the</w:t>
      </w:r>
      <w:r>
        <w:rPr>
          <w:spacing w:val="-9"/>
        </w:rPr>
        <w:t> </w:t>
      </w:r>
      <w:r>
        <w:rPr/>
        <w:t>autumn and</w:t>
      </w:r>
      <w:r>
        <w:rPr>
          <w:spacing w:val="-6"/>
        </w:rPr>
        <w:t> </w:t>
      </w:r>
      <w:r>
        <w:rPr/>
        <w:t>winter,</w:t>
      </w:r>
      <w:r>
        <w:rPr>
          <w:spacing w:val="-6"/>
        </w:rPr>
        <w:t> </w:t>
      </w:r>
      <w:r>
        <w:rPr/>
        <w:t>and</w:t>
      </w:r>
      <w:r>
        <w:rPr>
          <w:spacing w:val="-6"/>
        </w:rPr>
        <w:t> </w:t>
      </w:r>
      <w:r>
        <w:rPr/>
        <w:t>had</w:t>
      </w:r>
      <w:r>
        <w:rPr>
          <w:spacing w:val="-7"/>
        </w:rPr>
        <w:t> </w:t>
      </w:r>
      <w:r>
        <w:rPr/>
        <w:t>included</w:t>
      </w:r>
      <w:r>
        <w:rPr>
          <w:spacing w:val="-8"/>
        </w:rPr>
        <w:t> </w:t>
      </w:r>
      <w:r>
        <w:rPr/>
        <w:t>a</w:t>
      </w:r>
      <w:r>
        <w:rPr>
          <w:spacing w:val="-7"/>
        </w:rPr>
        <w:t> </w:t>
      </w:r>
      <w:r>
        <w:rPr/>
        <w:t>large</w:t>
      </w:r>
      <w:r>
        <w:rPr>
          <w:spacing w:val="-4"/>
        </w:rPr>
        <w:t> </w:t>
      </w:r>
      <w:r>
        <w:rPr/>
        <w:t>number</w:t>
      </w:r>
      <w:r>
        <w:rPr>
          <w:spacing w:val="-6"/>
        </w:rPr>
        <w:t> </w:t>
      </w:r>
      <w:r>
        <w:rPr/>
        <w:t>of</w:t>
      </w:r>
      <w:r>
        <w:rPr>
          <w:spacing w:val="-6"/>
        </w:rPr>
        <w:t> </w:t>
      </w:r>
      <w:r>
        <w:rPr/>
        <w:t>MMC</w:t>
      </w:r>
      <w:r>
        <w:rPr>
          <w:spacing w:val="-4"/>
        </w:rPr>
        <w:t> </w:t>
      </w:r>
      <w:r>
        <w:rPr/>
        <w:t>members,</w:t>
      </w:r>
      <w:r>
        <w:rPr>
          <w:spacing w:val="-7"/>
        </w:rPr>
        <w:t> </w:t>
      </w:r>
      <w:r>
        <w:rPr/>
        <w:t>as</w:t>
      </w:r>
      <w:r>
        <w:rPr>
          <w:spacing w:val="-6"/>
        </w:rPr>
        <w:t> </w:t>
      </w:r>
      <w:r>
        <w:rPr/>
        <w:t>well</w:t>
      </w:r>
      <w:r>
        <w:rPr>
          <w:spacing w:val="-6"/>
        </w:rPr>
        <w:t> </w:t>
      </w:r>
      <w:r>
        <w:rPr/>
        <w:t>as</w:t>
      </w:r>
      <w:r>
        <w:rPr>
          <w:spacing w:val="-6"/>
        </w:rPr>
        <w:t> </w:t>
      </w:r>
      <w:r>
        <w:rPr/>
        <w:t>some</w:t>
      </w:r>
      <w:r>
        <w:rPr>
          <w:spacing w:val="-9"/>
        </w:rPr>
        <w:t> </w:t>
      </w:r>
      <w:r>
        <w:rPr/>
        <w:t>members</w:t>
      </w:r>
      <w:r>
        <w:rPr>
          <w:spacing w:val="-6"/>
        </w:rPr>
        <w:t> </w:t>
      </w:r>
      <w:r>
        <w:rPr/>
        <w:t>of</w:t>
      </w:r>
      <w:r>
        <w:rPr>
          <w:spacing w:val="-5"/>
        </w:rPr>
        <w:t> </w:t>
      </w:r>
      <w:r>
        <w:rPr/>
        <w:t>the</w:t>
      </w:r>
      <w:r>
        <w:rPr>
          <w:spacing w:val="-8"/>
        </w:rPr>
        <w:t> </w:t>
      </w:r>
      <w:r>
        <w:rPr/>
        <w:t>Code Sub-Committee, and Securities Lending Committee (SLC). The Chair thanked members for their contributions to each discussion group.</w:t>
      </w:r>
    </w:p>
    <w:p>
      <w:pPr>
        <w:pStyle w:val="BodyText"/>
        <w:spacing w:before="5"/>
        <w:ind w:left="0"/>
        <w:rPr>
          <w:sz w:val="17"/>
        </w:rPr>
      </w:pPr>
    </w:p>
    <w:p>
      <w:pPr>
        <w:pStyle w:val="BodyText"/>
        <w:spacing w:line="276" w:lineRule="auto"/>
        <w:ind w:right="119"/>
        <w:jc w:val="both"/>
      </w:pPr>
      <w:r>
        <w:rPr/>
        <w:t>Members</w:t>
      </w:r>
      <w:r>
        <w:rPr>
          <w:spacing w:val="-6"/>
        </w:rPr>
        <w:t> </w:t>
      </w:r>
      <w:r>
        <w:rPr/>
        <w:t>noted</w:t>
      </w:r>
      <w:r>
        <w:rPr>
          <w:spacing w:val="-4"/>
        </w:rPr>
        <w:t> </w:t>
      </w:r>
      <w:r>
        <w:rPr/>
        <w:t>that</w:t>
      </w:r>
      <w:r>
        <w:rPr>
          <w:spacing w:val="-5"/>
        </w:rPr>
        <w:t> </w:t>
      </w:r>
      <w:r>
        <w:rPr/>
        <w:t>a</w:t>
      </w:r>
      <w:r>
        <w:rPr>
          <w:spacing w:val="-7"/>
        </w:rPr>
        <w:t> </w:t>
      </w:r>
      <w:r>
        <w:rPr/>
        <w:t>key</w:t>
      </w:r>
      <w:r>
        <w:rPr>
          <w:spacing w:val="-9"/>
        </w:rPr>
        <w:t> </w:t>
      </w:r>
      <w:r>
        <w:rPr/>
        <w:t>cross-cutting</w:t>
      </w:r>
      <w:r>
        <w:rPr>
          <w:spacing w:val="-7"/>
        </w:rPr>
        <w:t> </w:t>
      </w:r>
      <w:r>
        <w:rPr/>
        <w:t>theme</w:t>
      </w:r>
      <w:r>
        <w:rPr>
          <w:spacing w:val="-7"/>
        </w:rPr>
        <w:t> </w:t>
      </w:r>
      <w:r>
        <w:rPr/>
        <w:t>across</w:t>
      </w:r>
      <w:r>
        <w:rPr>
          <w:spacing w:val="-6"/>
        </w:rPr>
        <w:t> </w:t>
      </w:r>
      <w:r>
        <w:rPr/>
        <w:t>discussion</w:t>
      </w:r>
      <w:r>
        <w:rPr>
          <w:spacing w:val="-4"/>
        </w:rPr>
        <w:t> </w:t>
      </w:r>
      <w:r>
        <w:rPr/>
        <w:t>in</w:t>
      </w:r>
      <w:r>
        <w:rPr>
          <w:spacing w:val="-5"/>
        </w:rPr>
        <w:t> </w:t>
      </w:r>
      <w:r>
        <w:rPr/>
        <w:t>all</w:t>
      </w:r>
      <w:r>
        <w:rPr>
          <w:spacing w:val="-5"/>
        </w:rPr>
        <w:t> </w:t>
      </w:r>
      <w:r>
        <w:rPr/>
        <w:t>of</w:t>
      </w:r>
      <w:r>
        <w:rPr>
          <w:spacing w:val="-5"/>
        </w:rPr>
        <w:t> </w:t>
      </w:r>
      <w:r>
        <w:rPr/>
        <w:t>the</w:t>
      </w:r>
      <w:r>
        <w:rPr>
          <w:spacing w:val="-5"/>
        </w:rPr>
        <w:t> </w:t>
      </w:r>
      <w:r>
        <w:rPr/>
        <w:t>groups</w:t>
      </w:r>
      <w:r>
        <w:rPr>
          <w:spacing w:val="-5"/>
        </w:rPr>
        <w:t> </w:t>
      </w:r>
      <w:r>
        <w:rPr/>
        <w:t>had</w:t>
      </w:r>
      <w:r>
        <w:rPr>
          <w:spacing w:val="-5"/>
        </w:rPr>
        <w:t> </w:t>
      </w:r>
      <w:r>
        <w:rPr/>
        <w:t>been</w:t>
      </w:r>
      <w:r>
        <w:rPr>
          <w:spacing w:val="-5"/>
        </w:rPr>
        <w:t> </w:t>
      </w:r>
      <w:r>
        <w:rPr/>
        <w:t>the</w:t>
      </w:r>
      <w:r>
        <w:rPr>
          <w:spacing w:val="-5"/>
        </w:rPr>
        <w:t> </w:t>
      </w:r>
      <w:r>
        <w:rPr/>
        <w:t>high and growing importance of tackling Diversity &amp; Inclusion (D&amp;I) in the money markets, echoing the regular agenda items on the MMC’s own agenda. The Groups suggested </w:t>
      </w:r>
      <w:r>
        <w:rPr>
          <w:spacing w:val="2"/>
        </w:rPr>
        <w:t>that </w:t>
      </w:r>
      <w:r>
        <w:rPr/>
        <w:t>D&amp;I should now be positively encouraged within the Code, that the Code should not promote any gender bias, but should be sufficiently flexible to permit using new methods and ways of working. Rotating membership of the Committee may be one way to promote greater diversity. It was also suggested that the Code should be reviewed through a D&amp;I prism to see if there were other provisions that might inadvertently militate against it. There was broad agreement throughout from</w:t>
      </w:r>
      <w:r>
        <w:rPr>
          <w:spacing w:val="-2"/>
        </w:rPr>
        <w:t> </w:t>
      </w:r>
      <w:r>
        <w:rPr/>
        <w:t>members.</w:t>
      </w:r>
    </w:p>
    <w:p>
      <w:pPr>
        <w:pStyle w:val="BodyText"/>
        <w:spacing w:before="2"/>
        <w:ind w:left="0"/>
        <w:rPr>
          <w:sz w:val="17"/>
        </w:rPr>
      </w:pPr>
    </w:p>
    <w:p>
      <w:pPr>
        <w:pStyle w:val="BodyText"/>
        <w:spacing w:line="278" w:lineRule="auto"/>
        <w:ind w:right="114"/>
        <w:jc w:val="both"/>
      </w:pPr>
      <w:r>
        <w:rPr/>
        <w:t>The first group covering the evolution in </w:t>
      </w:r>
      <w:r>
        <w:rPr>
          <w:b/>
        </w:rPr>
        <w:t>Market Participation and Functioning </w:t>
      </w:r>
      <w:r>
        <w:rPr/>
        <w:t>presented their findings. It was noted that, in the three years since the publication of the Code, total market volumes and activity had remained broadly unchanged. Within those totals, however, there had however been a</w:t>
      </w:r>
      <w:r>
        <w:rPr>
          <w:spacing w:val="-17"/>
        </w:rPr>
        <w:t> </w:t>
      </w:r>
      <w:r>
        <w:rPr/>
        <w:t>noticeable</w:t>
      </w:r>
      <w:r>
        <w:rPr>
          <w:spacing w:val="-16"/>
        </w:rPr>
        <w:t> </w:t>
      </w:r>
      <w:r>
        <w:rPr/>
        <w:t>shift</w:t>
      </w:r>
      <w:r>
        <w:rPr>
          <w:spacing w:val="-15"/>
        </w:rPr>
        <w:t> </w:t>
      </w:r>
      <w:r>
        <w:rPr/>
        <w:t>in</w:t>
      </w:r>
      <w:r>
        <w:rPr>
          <w:spacing w:val="-17"/>
        </w:rPr>
        <w:t> </w:t>
      </w:r>
      <w:r>
        <w:rPr/>
        <w:t>the</w:t>
      </w:r>
      <w:r>
        <w:rPr>
          <w:spacing w:val="-15"/>
        </w:rPr>
        <w:t> </w:t>
      </w:r>
      <w:r>
        <w:rPr/>
        <w:t>composition</w:t>
      </w:r>
      <w:r>
        <w:rPr>
          <w:spacing w:val="-15"/>
        </w:rPr>
        <w:t> </w:t>
      </w:r>
      <w:r>
        <w:rPr/>
        <w:t>of</w:t>
      </w:r>
      <w:r>
        <w:rPr>
          <w:spacing w:val="-8"/>
        </w:rPr>
        <w:t> </w:t>
      </w:r>
      <w:r>
        <w:rPr/>
        <w:t>volumes</w:t>
      </w:r>
      <w:r>
        <w:rPr>
          <w:spacing w:val="-16"/>
        </w:rPr>
        <w:t> </w:t>
      </w:r>
      <w:r>
        <w:rPr/>
        <w:t>in</w:t>
      </w:r>
      <w:r>
        <w:rPr>
          <w:spacing w:val="-17"/>
        </w:rPr>
        <w:t> </w:t>
      </w:r>
      <w:r>
        <w:rPr/>
        <w:t>the</w:t>
      </w:r>
      <w:r>
        <w:rPr>
          <w:spacing w:val="-14"/>
        </w:rPr>
        <w:t> </w:t>
      </w:r>
      <w:r>
        <w:rPr/>
        <w:t>unsecured</w:t>
      </w:r>
      <w:r>
        <w:rPr>
          <w:spacing w:val="-14"/>
        </w:rPr>
        <w:t> </w:t>
      </w:r>
      <w:r>
        <w:rPr/>
        <w:t>overnight</w:t>
      </w:r>
      <w:r>
        <w:rPr>
          <w:spacing w:val="-14"/>
        </w:rPr>
        <w:t> </w:t>
      </w:r>
      <w:r>
        <w:rPr/>
        <w:t>market,</w:t>
      </w:r>
      <w:r>
        <w:rPr>
          <w:spacing w:val="-15"/>
        </w:rPr>
        <w:t> </w:t>
      </w:r>
      <w:r>
        <w:rPr/>
        <w:t>away</w:t>
      </w:r>
      <w:r>
        <w:rPr>
          <w:spacing w:val="-20"/>
        </w:rPr>
        <w:t> </w:t>
      </w:r>
      <w:r>
        <w:rPr/>
        <w:t>from</w:t>
      </w:r>
      <w:r>
        <w:rPr>
          <w:spacing w:val="-12"/>
        </w:rPr>
        <w:t> </w:t>
      </w:r>
      <w:r>
        <w:rPr/>
        <w:t>European banks, and towards non-European</w:t>
      </w:r>
      <w:r>
        <w:rPr>
          <w:spacing w:val="-4"/>
        </w:rPr>
        <w:t> </w:t>
      </w:r>
      <w:r>
        <w:rPr/>
        <w:t>banks.</w:t>
      </w:r>
    </w:p>
    <w:p>
      <w:pPr>
        <w:pStyle w:val="BodyText"/>
        <w:spacing w:line="280" w:lineRule="auto" w:before="191"/>
        <w:ind w:right="121"/>
        <w:jc w:val="both"/>
      </w:pPr>
      <w:r>
        <w:rPr/>
        <w:t>It</w:t>
      </w:r>
      <w:r>
        <w:rPr>
          <w:spacing w:val="-3"/>
        </w:rPr>
        <w:t> </w:t>
      </w:r>
      <w:r>
        <w:rPr/>
        <w:t>was</w:t>
      </w:r>
      <w:r>
        <w:rPr>
          <w:spacing w:val="-5"/>
        </w:rPr>
        <w:t> </w:t>
      </w:r>
      <w:r>
        <w:rPr/>
        <w:t>commented</w:t>
      </w:r>
      <w:r>
        <w:rPr>
          <w:spacing w:val="-6"/>
        </w:rPr>
        <w:t> </w:t>
      </w:r>
      <w:r>
        <w:rPr/>
        <w:t>that</w:t>
      </w:r>
      <w:r>
        <w:rPr>
          <w:spacing w:val="-6"/>
        </w:rPr>
        <w:t> </w:t>
      </w:r>
      <w:r>
        <w:rPr/>
        <w:t>a</w:t>
      </w:r>
      <w:r>
        <w:rPr>
          <w:spacing w:val="-2"/>
        </w:rPr>
        <w:t> </w:t>
      </w:r>
      <w:r>
        <w:rPr/>
        <w:t>number</w:t>
      </w:r>
      <w:r>
        <w:rPr>
          <w:spacing w:val="-5"/>
        </w:rPr>
        <w:t> </w:t>
      </w:r>
      <w:r>
        <w:rPr/>
        <w:t>of</w:t>
      </w:r>
      <w:r>
        <w:rPr>
          <w:spacing w:val="-6"/>
        </w:rPr>
        <w:t> </w:t>
      </w:r>
      <w:r>
        <w:rPr/>
        <w:t>market</w:t>
      </w:r>
      <w:r>
        <w:rPr>
          <w:spacing w:val="-6"/>
        </w:rPr>
        <w:t> </w:t>
      </w:r>
      <w:r>
        <w:rPr/>
        <w:t>participants were</w:t>
      </w:r>
      <w:r>
        <w:rPr>
          <w:spacing w:val="-2"/>
        </w:rPr>
        <w:t> </w:t>
      </w:r>
      <w:r>
        <w:rPr/>
        <w:t>not</w:t>
      </w:r>
      <w:r>
        <w:rPr>
          <w:spacing w:val="-1"/>
        </w:rPr>
        <w:t> </w:t>
      </w:r>
      <w:r>
        <w:rPr/>
        <w:t>yet</w:t>
      </w:r>
      <w:r>
        <w:rPr>
          <w:spacing w:val="-1"/>
        </w:rPr>
        <w:t> </w:t>
      </w:r>
      <w:r>
        <w:rPr/>
        <w:t>well</w:t>
      </w:r>
      <w:r>
        <w:rPr>
          <w:spacing w:val="-4"/>
        </w:rPr>
        <w:t> </w:t>
      </w:r>
      <w:r>
        <w:rPr/>
        <w:t>represented</w:t>
      </w:r>
      <w:r>
        <w:rPr>
          <w:spacing w:val="-6"/>
        </w:rPr>
        <w:t> </w:t>
      </w:r>
      <w:r>
        <w:rPr/>
        <w:t>as</w:t>
      </w:r>
      <w:r>
        <w:rPr>
          <w:spacing w:val="-4"/>
        </w:rPr>
        <w:t> </w:t>
      </w:r>
      <w:r>
        <w:rPr/>
        <w:t>signatories</w:t>
      </w:r>
      <w:r>
        <w:rPr>
          <w:spacing w:val="-5"/>
        </w:rPr>
        <w:t> </w:t>
      </w:r>
      <w:r>
        <w:rPr/>
        <w:t>to the Code, including brokers, local authorities and</w:t>
      </w:r>
      <w:r>
        <w:rPr>
          <w:spacing w:val="-4"/>
        </w:rPr>
        <w:t> </w:t>
      </w:r>
      <w:r>
        <w:rPr/>
        <w:t>corporates.</w:t>
      </w:r>
    </w:p>
    <w:p>
      <w:pPr>
        <w:pStyle w:val="BodyText"/>
        <w:spacing w:line="278" w:lineRule="auto" w:before="191"/>
        <w:ind w:right="118"/>
        <w:jc w:val="both"/>
      </w:pPr>
      <w:r>
        <w:rPr/>
        <w:t>Central Counterparty Clearing Houses (CCPs) were playing an increasingly important infrastructural role in the market, but despite this, there was little specific mention of CCPs in the Code. The group therefore recommended that Code was updated to include specific reference to CCPs.</w:t>
      </w:r>
    </w:p>
    <w:p>
      <w:pPr>
        <w:spacing w:after="0" w:line="278" w:lineRule="auto"/>
        <w:jc w:val="both"/>
        <w:sectPr>
          <w:pgSz w:w="11910" w:h="16840"/>
          <w:pgMar w:header="735" w:footer="0" w:top="1660" w:bottom="280" w:left="1000" w:right="1320"/>
        </w:sectPr>
      </w:pPr>
    </w:p>
    <w:p>
      <w:pPr>
        <w:pStyle w:val="BodyText"/>
        <w:spacing w:line="276" w:lineRule="auto" w:before="143"/>
        <w:ind w:right="118"/>
        <w:jc w:val="both"/>
      </w:pPr>
      <w:r>
        <w:rPr/>
        <w:t>The group also presented findings on market transparency. Members noted the careful balance required</w:t>
      </w:r>
      <w:r>
        <w:rPr>
          <w:spacing w:val="-13"/>
        </w:rPr>
        <w:t> </w:t>
      </w:r>
      <w:r>
        <w:rPr/>
        <w:t>between</w:t>
      </w:r>
      <w:r>
        <w:rPr>
          <w:spacing w:val="-9"/>
        </w:rPr>
        <w:t> </w:t>
      </w:r>
      <w:r>
        <w:rPr/>
        <w:t>promoting</w:t>
      </w:r>
      <w:r>
        <w:rPr>
          <w:spacing w:val="-13"/>
        </w:rPr>
        <w:t> </w:t>
      </w:r>
      <w:r>
        <w:rPr/>
        <w:t>the</w:t>
      </w:r>
      <w:r>
        <w:rPr>
          <w:spacing w:val="-11"/>
        </w:rPr>
        <w:t> </w:t>
      </w:r>
      <w:r>
        <w:rPr/>
        <w:t>principles</w:t>
      </w:r>
      <w:r>
        <w:rPr>
          <w:spacing w:val="-12"/>
        </w:rPr>
        <w:t> </w:t>
      </w:r>
      <w:r>
        <w:rPr/>
        <w:t>of</w:t>
      </w:r>
      <w:r>
        <w:rPr>
          <w:spacing w:val="-10"/>
        </w:rPr>
        <w:t> </w:t>
      </w:r>
      <w:r>
        <w:rPr/>
        <w:t>transparency</w:t>
      </w:r>
      <w:r>
        <w:rPr>
          <w:spacing w:val="-14"/>
        </w:rPr>
        <w:t> </w:t>
      </w:r>
      <w:r>
        <w:rPr/>
        <w:t>–</w:t>
      </w:r>
      <w:r>
        <w:rPr>
          <w:spacing w:val="-10"/>
        </w:rPr>
        <w:t> </w:t>
      </w:r>
      <w:r>
        <w:rPr/>
        <w:t>which</w:t>
      </w:r>
      <w:r>
        <w:rPr>
          <w:spacing w:val="-11"/>
        </w:rPr>
        <w:t> </w:t>
      </w:r>
      <w:r>
        <w:rPr/>
        <w:t>the</w:t>
      </w:r>
      <w:r>
        <w:rPr>
          <w:spacing w:val="-9"/>
        </w:rPr>
        <w:t> </w:t>
      </w:r>
      <w:r>
        <w:rPr/>
        <w:t>working</w:t>
      </w:r>
      <w:r>
        <w:rPr>
          <w:spacing w:val="-12"/>
        </w:rPr>
        <w:t> </w:t>
      </w:r>
      <w:r>
        <w:rPr/>
        <w:t>group</w:t>
      </w:r>
      <w:r>
        <w:rPr>
          <w:spacing w:val="-13"/>
        </w:rPr>
        <w:t> </w:t>
      </w:r>
      <w:r>
        <w:rPr/>
        <w:t>felt</w:t>
      </w:r>
      <w:r>
        <w:rPr>
          <w:spacing w:val="-10"/>
        </w:rPr>
        <w:t> </w:t>
      </w:r>
      <w:r>
        <w:rPr/>
        <w:t>was</w:t>
      </w:r>
      <w:r>
        <w:rPr>
          <w:spacing w:val="-12"/>
        </w:rPr>
        <w:t> </w:t>
      </w:r>
      <w:r>
        <w:rPr/>
        <w:t>important for the Code to do – and the need to establish appropriate controls over confidentiality and information sharing.</w:t>
      </w:r>
      <w:r>
        <w:rPr>
          <w:spacing w:val="12"/>
        </w:rPr>
        <w:t> </w:t>
      </w:r>
      <w:r>
        <w:rPr/>
        <w:t>Members questioned whether greater focus was required on the former as part of the review. More practically, working group members flagged a desire for the Bank to make more of the Sterling Money Markets Data (SMMD) publicly</w:t>
      </w:r>
      <w:r>
        <w:rPr>
          <w:spacing w:val="-6"/>
        </w:rPr>
        <w:t> </w:t>
      </w:r>
      <w:r>
        <w:rPr/>
        <w:t>available.</w:t>
      </w:r>
    </w:p>
    <w:p>
      <w:pPr>
        <w:pStyle w:val="BodyText"/>
        <w:spacing w:before="3"/>
        <w:ind w:left="0"/>
        <w:rPr>
          <w:sz w:val="17"/>
        </w:rPr>
      </w:pPr>
    </w:p>
    <w:p>
      <w:pPr>
        <w:pStyle w:val="BodyText"/>
        <w:spacing w:line="276" w:lineRule="auto"/>
        <w:ind w:right="116"/>
        <w:jc w:val="both"/>
      </w:pPr>
      <w:r>
        <w:rPr/>
        <w:t>Working group members felt that feedback on the Code could usefully be sought from a somewhat wider group, including trade bodies and market participants not on the MMC, and those who had been unable to sign up to the Code</w:t>
      </w:r>
      <w:r>
        <w:rPr>
          <w:rFonts w:ascii="Calibri"/>
          <w:sz w:val="22"/>
        </w:rPr>
        <w:t>. </w:t>
      </w:r>
      <w:r>
        <w:rPr/>
        <w:t>The Code should also be promoted to a wider audience.</w:t>
      </w:r>
    </w:p>
    <w:p>
      <w:pPr>
        <w:pStyle w:val="BodyText"/>
        <w:spacing w:line="276" w:lineRule="auto" w:before="201"/>
        <w:ind w:right="126"/>
        <w:jc w:val="both"/>
      </w:pPr>
      <w:r>
        <w:rPr/>
        <w:t>Finally, several possible future agenda items for the Committee were proposed, including: a reflecting on the market impact of Structural Reform, and a discussion around the market impacts of the Bank’s facilities.</w:t>
      </w:r>
    </w:p>
    <w:p>
      <w:pPr>
        <w:pStyle w:val="BodyText"/>
        <w:spacing w:before="5"/>
        <w:ind w:left="0"/>
        <w:rPr>
          <w:sz w:val="17"/>
        </w:rPr>
      </w:pPr>
    </w:p>
    <w:p>
      <w:pPr>
        <w:pStyle w:val="Heading1"/>
        <w:spacing w:before="1"/>
        <w:jc w:val="both"/>
      </w:pPr>
      <w:r>
        <w:rPr/>
        <w:t>Item 3. Report from MMC working group: Technology and Innovation</w:t>
      </w:r>
    </w:p>
    <w:p>
      <w:pPr>
        <w:pStyle w:val="BodyText"/>
        <w:spacing w:before="3"/>
        <w:ind w:left="0"/>
        <w:rPr>
          <w:b/>
        </w:rPr>
      </w:pPr>
    </w:p>
    <w:p>
      <w:pPr>
        <w:pStyle w:val="BodyText"/>
        <w:spacing w:line="276" w:lineRule="auto"/>
        <w:ind w:right="118"/>
        <w:jc w:val="both"/>
      </w:pPr>
      <w:r>
        <w:rPr/>
        <w:t>The discussion group which had investigated the impacts of technology and other innovations in the market over the past three year presented their findings. It noted that the proliferation of data being held in proprietary IT systems or in the Cloud was raising increasingly complex questions and challenges</w:t>
      </w:r>
      <w:r>
        <w:rPr>
          <w:spacing w:val="-6"/>
        </w:rPr>
        <w:t> </w:t>
      </w:r>
      <w:r>
        <w:rPr/>
        <w:t>about</w:t>
      </w:r>
      <w:r>
        <w:rPr>
          <w:spacing w:val="-5"/>
        </w:rPr>
        <w:t> </w:t>
      </w:r>
      <w:r>
        <w:rPr/>
        <w:t>where</w:t>
      </w:r>
      <w:r>
        <w:rPr>
          <w:spacing w:val="-7"/>
        </w:rPr>
        <w:t> </w:t>
      </w:r>
      <w:r>
        <w:rPr/>
        <w:t>and</w:t>
      </w:r>
      <w:r>
        <w:rPr>
          <w:spacing w:val="-8"/>
        </w:rPr>
        <w:t> </w:t>
      </w:r>
      <w:r>
        <w:rPr/>
        <w:t>how</w:t>
      </w:r>
      <w:r>
        <w:rPr>
          <w:spacing w:val="-7"/>
        </w:rPr>
        <w:t> </w:t>
      </w:r>
      <w:r>
        <w:rPr/>
        <w:t>these</w:t>
      </w:r>
      <w:r>
        <w:rPr>
          <w:spacing w:val="-7"/>
        </w:rPr>
        <w:t> </w:t>
      </w:r>
      <w:r>
        <w:rPr/>
        <w:t>data</w:t>
      </w:r>
      <w:r>
        <w:rPr>
          <w:spacing w:val="-4"/>
        </w:rPr>
        <w:t> </w:t>
      </w:r>
      <w:r>
        <w:rPr/>
        <w:t>were</w:t>
      </w:r>
      <w:r>
        <w:rPr>
          <w:spacing w:val="-7"/>
        </w:rPr>
        <w:t> </w:t>
      </w:r>
      <w:r>
        <w:rPr/>
        <w:t>stored</w:t>
      </w:r>
      <w:r>
        <w:rPr>
          <w:spacing w:val="-8"/>
        </w:rPr>
        <w:t> </w:t>
      </w:r>
      <w:r>
        <w:rPr/>
        <w:t>and</w:t>
      </w:r>
      <w:r>
        <w:rPr>
          <w:spacing w:val="-7"/>
        </w:rPr>
        <w:t> </w:t>
      </w:r>
      <w:r>
        <w:rPr/>
        <w:t>who</w:t>
      </w:r>
      <w:r>
        <w:rPr>
          <w:spacing w:val="-8"/>
        </w:rPr>
        <w:t> </w:t>
      </w:r>
      <w:r>
        <w:rPr/>
        <w:t>owned</w:t>
      </w:r>
      <w:r>
        <w:rPr>
          <w:spacing w:val="-7"/>
        </w:rPr>
        <w:t> </w:t>
      </w:r>
      <w:r>
        <w:rPr/>
        <w:t>them,</w:t>
      </w:r>
      <w:r>
        <w:rPr>
          <w:spacing w:val="-8"/>
        </w:rPr>
        <w:t> </w:t>
      </w:r>
      <w:r>
        <w:rPr/>
        <w:t>including</w:t>
      </w:r>
      <w:r>
        <w:rPr>
          <w:spacing w:val="-7"/>
        </w:rPr>
        <w:t> </w:t>
      </w:r>
      <w:r>
        <w:rPr/>
        <w:t>in</w:t>
      </w:r>
      <w:r>
        <w:rPr>
          <w:spacing w:val="-8"/>
        </w:rPr>
        <w:t> </w:t>
      </w:r>
      <w:r>
        <w:rPr/>
        <w:t>the</w:t>
      </w:r>
      <w:r>
        <w:rPr>
          <w:spacing w:val="-7"/>
        </w:rPr>
        <w:t> </w:t>
      </w:r>
      <w:r>
        <w:rPr/>
        <w:t>context of GDPR. Working group members felt the Code should address the need for firms to have a policy</w:t>
      </w:r>
      <w:r>
        <w:rPr>
          <w:spacing w:val="-33"/>
        </w:rPr>
        <w:t> </w:t>
      </w:r>
      <w:r>
        <w:rPr/>
        <w:t>on storing and using market data. This material should not be overly prescriptive – but the Code could emphasise the need for this to be understood and for appropriate policies to be in</w:t>
      </w:r>
      <w:r>
        <w:rPr>
          <w:spacing w:val="-6"/>
        </w:rPr>
        <w:t> </w:t>
      </w:r>
      <w:r>
        <w:rPr/>
        <w:t>place.</w:t>
      </w:r>
    </w:p>
    <w:p>
      <w:pPr>
        <w:pStyle w:val="BodyText"/>
        <w:spacing w:before="5"/>
        <w:ind w:left="0"/>
        <w:rPr>
          <w:sz w:val="17"/>
        </w:rPr>
      </w:pPr>
    </w:p>
    <w:p>
      <w:pPr>
        <w:pStyle w:val="BodyText"/>
        <w:spacing w:line="276" w:lineRule="auto"/>
        <w:ind w:right="120"/>
        <w:jc w:val="both"/>
      </w:pPr>
      <w:r>
        <w:rPr/>
        <w:t>It was suggested that the Code could also address the need for market participants using algorithmic products to have in place processes to address potential adverse outcomes arising from the use of automated technology. In doing so, it might draw on the extensive thinking on these issues in supervisory</w:t>
      </w:r>
      <w:r>
        <w:rPr>
          <w:spacing w:val="-9"/>
        </w:rPr>
        <w:t> </w:t>
      </w:r>
      <w:r>
        <w:rPr/>
        <w:t>and</w:t>
      </w:r>
      <w:r>
        <w:rPr>
          <w:spacing w:val="-7"/>
        </w:rPr>
        <w:t> </w:t>
      </w:r>
      <w:r>
        <w:rPr/>
        <w:t>other</w:t>
      </w:r>
      <w:r>
        <w:rPr>
          <w:spacing w:val="-4"/>
        </w:rPr>
        <w:t> </w:t>
      </w:r>
      <w:r>
        <w:rPr/>
        <w:t>circles.</w:t>
      </w:r>
      <w:r>
        <w:rPr>
          <w:spacing w:val="-7"/>
        </w:rPr>
        <w:t> </w:t>
      </w:r>
      <w:r>
        <w:rPr/>
        <w:t>The</w:t>
      </w:r>
      <w:r>
        <w:rPr>
          <w:spacing w:val="-7"/>
        </w:rPr>
        <w:t> </w:t>
      </w:r>
      <w:r>
        <w:rPr/>
        <w:t>use</w:t>
      </w:r>
      <w:r>
        <w:rPr>
          <w:spacing w:val="-6"/>
        </w:rPr>
        <w:t> </w:t>
      </w:r>
      <w:r>
        <w:rPr/>
        <w:t>of</w:t>
      </w:r>
      <w:r>
        <w:rPr>
          <w:spacing w:val="-5"/>
        </w:rPr>
        <w:t> </w:t>
      </w:r>
      <w:r>
        <w:rPr/>
        <w:t>platforms</w:t>
      </w:r>
      <w:r>
        <w:rPr>
          <w:spacing w:val="-6"/>
        </w:rPr>
        <w:t> </w:t>
      </w:r>
      <w:r>
        <w:rPr/>
        <w:t>also</w:t>
      </w:r>
      <w:r>
        <w:rPr>
          <w:spacing w:val="-7"/>
        </w:rPr>
        <w:t> </w:t>
      </w:r>
      <w:r>
        <w:rPr/>
        <w:t>raised</w:t>
      </w:r>
      <w:r>
        <w:rPr>
          <w:spacing w:val="-5"/>
        </w:rPr>
        <w:t> </w:t>
      </w:r>
      <w:r>
        <w:rPr/>
        <w:t>issues</w:t>
      </w:r>
      <w:r>
        <w:rPr>
          <w:spacing w:val="-6"/>
        </w:rPr>
        <w:t> </w:t>
      </w:r>
      <w:r>
        <w:rPr/>
        <w:t>of</w:t>
      </w:r>
      <w:r>
        <w:rPr>
          <w:spacing w:val="-6"/>
        </w:rPr>
        <w:t> </w:t>
      </w:r>
      <w:r>
        <w:rPr/>
        <w:t>potential</w:t>
      </w:r>
      <w:r>
        <w:rPr>
          <w:spacing w:val="-5"/>
        </w:rPr>
        <w:t> </w:t>
      </w:r>
      <w:r>
        <w:rPr/>
        <w:t>market</w:t>
      </w:r>
      <w:r>
        <w:rPr>
          <w:spacing w:val="-7"/>
        </w:rPr>
        <w:t> </w:t>
      </w:r>
      <w:r>
        <w:rPr/>
        <w:t>concentration of the need to ensure contingencies were available in the event of a technology</w:t>
      </w:r>
      <w:r>
        <w:rPr>
          <w:spacing w:val="-14"/>
        </w:rPr>
        <w:t> </w:t>
      </w:r>
      <w:r>
        <w:rPr/>
        <w:t>failure.</w:t>
      </w:r>
    </w:p>
    <w:p>
      <w:pPr>
        <w:pStyle w:val="BodyText"/>
        <w:spacing w:before="4"/>
        <w:ind w:left="0"/>
        <w:rPr>
          <w:sz w:val="17"/>
        </w:rPr>
      </w:pPr>
    </w:p>
    <w:p>
      <w:pPr>
        <w:pStyle w:val="BodyText"/>
        <w:spacing w:line="278" w:lineRule="auto"/>
        <w:ind w:right="118"/>
        <w:jc w:val="both"/>
      </w:pPr>
      <w:r>
        <w:rPr/>
        <w:t>Technological advances in the dealing room had enhanced the potential for flexible working in the industry. In light of this it was proposed that where technology could assist with D&amp;I objectives, firms should seek to enhance it, subject to ensuring appropriate oversight and control.</w:t>
      </w:r>
    </w:p>
    <w:p>
      <w:pPr>
        <w:pStyle w:val="Heading1"/>
        <w:spacing w:before="193"/>
        <w:jc w:val="both"/>
      </w:pPr>
      <w:r>
        <w:rPr/>
        <w:t>Item 4. Report from MMC working group: Impacts of Regulatory Reform</w:t>
      </w:r>
    </w:p>
    <w:p>
      <w:pPr>
        <w:pStyle w:val="BodyText"/>
        <w:spacing w:before="6"/>
        <w:ind w:left="0"/>
        <w:rPr>
          <w:b/>
        </w:rPr>
      </w:pPr>
    </w:p>
    <w:p>
      <w:pPr>
        <w:pStyle w:val="BodyText"/>
        <w:spacing w:line="276" w:lineRule="auto"/>
        <w:ind w:right="118"/>
        <w:jc w:val="both"/>
      </w:pPr>
      <w:r>
        <w:rPr/>
        <w:t>The</w:t>
      </w:r>
      <w:r>
        <w:rPr>
          <w:spacing w:val="-6"/>
        </w:rPr>
        <w:t> </w:t>
      </w:r>
      <w:r>
        <w:rPr/>
        <w:t>group</w:t>
      </w:r>
      <w:r>
        <w:rPr>
          <w:spacing w:val="-6"/>
        </w:rPr>
        <w:t> </w:t>
      </w:r>
      <w:r>
        <w:rPr/>
        <w:t>covering</w:t>
      </w:r>
      <w:r>
        <w:rPr>
          <w:spacing w:val="-3"/>
        </w:rPr>
        <w:t> </w:t>
      </w:r>
      <w:r>
        <w:rPr/>
        <w:t>the</w:t>
      </w:r>
      <w:r>
        <w:rPr>
          <w:spacing w:val="-3"/>
        </w:rPr>
        <w:t> </w:t>
      </w:r>
      <w:r>
        <w:rPr/>
        <w:t>impacts</w:t>
      </w:r>
      <w:r>
        <w:rPr>
          <w:spacing w:val="-3"/>
        </w:rPr>
        <w:t> </w:t>
      </w:r>
      <w:r>
        <w:rPr/>
        <w:t>of</w:t>
      </w:r>
      <w:r>
        <w:rPr>
          <w:spacing w:val="-4"/>
        </w:rPr>
        <w:t> </w:t>
      </w:r>
      <w:r>
        <w:rPr/>
        <w:t>regulatory</w:t>
      </w:r>
      <w:r>
        <w:rPr>
          <w:spacing w:val="-9"/>
        </w:rPr>
        <w:t> </w:t>
      </w:r>
      <w:r>
        <w:rPr/>
        <w:t>reform</w:t>
      </w:r>
      <w:r>
        <w:rPr>
          <w:spacing w:val="-1"/>
        </w:rPr>
        <w:t> </w:t>
      </w:r>
      <w:r>
        <w:rPr/>
        <w:t>over</w:t>
      </w:r>
      <w:r>
        <w:rPr>
          <w:spacing w:val="-5"/>
        </w:rPr>
        <w:t> </w:t>
      </w:r>
      <w:r>
        <w:rPr/>
        <w:t>the</w:t>
      </w:r>
      <w:r>
        <w:rPr>
          <w:spacing w:val="-2"/>
        </w:rPr>
        <w:t> </w:t>
      </w:r>
      <w:r>
        <w:rPr/>
        <w:t>past</w:t>
      </w:r>
      <w:r>
        <w:rPr>
          <w:spacing w:val="-5"/>
        </w:rPr>
        <w:t> </w:t>
      </w:r>
      <w:r>
        <w:rPr/>
        <w:t>three</w:t>
      </w:r>
      <w:r>
        <w:rPr>
          <w:spacing w:val="-1"/>
        </w:rPr>
        <w:t> </w:t>
      </w:r>
      <w:r>
        <w:rPr/>
        <w:t>years</w:t>
      </w:r>
      <w:r>
        <w:rPr>
          <w:spacing w:val="-4"/>
        </w:rPr>
        <w:t> </w:t>
      </w:r>
      <w:r>
        <w:rPr/>
        <w:t>presented</w:t>
      </w:r>
      <w:r>
        <w:rPr>
          <w:spacing w:val="-6"/>
        </w:rPr>
        <w:t> </w:t>
      </w:r>
      <w:r>
        <w:rPr/>
        <w:t>their</w:t>
      </w:r>
      <w:r>
        <w:rPr>
          <w:spacing w:val="-4"/>
        </w:rPr>
        <w:t> </w:t>
      </w:r>
      <w:r>
        <w:rPr/>
        <w:t>findings. It</w:t>
      </w:r>
      <w:r>
        <w:rPr>
          <w:spacing w:val="-7"/>
        </w:rPr>
        <w:t> </w:t>
      </w:r>
      <w:r>
        <w:rPr/>
        <w:t>noted</w:t>
      </w:r>
      <w:r>
        <w:rPr>
          <w:spacing w:val="-6"/>
        </w:rPr>
        <w:t> </w:t>
      </w:r>
      <w:r>
        <w:rPr/>
        <w:t>that</w:t>
      </w:r>
      <w:r>
        <w:rPr>
          <w:spacing w:val="-4"/>
        </w:rPr>
        <w:t> </w:t>
      </w:r>
      <w:r>
        <w:rPr/>
        <w:t>Environmental,</w:t>
      </w:r>
      <w:r>
        <w:rPr>
          <w:spacing w:val="-3"/>
        </w:rPr>
        <w:t> </w:t>
      </w:r>
      <w:r>
        <w:rPr/>
        <w:t>Social</w:t>
      </w:r>
      <w:r>
        <w:rPr>
          <w:spacing w:val="-7"/>
        </w:rPr>
        <w:t> </w:t>
      </w:r>
      <w:r>
        <w:rPr/>
        <w:t>and</w:t>
      </w:r>
      <w:r>
        <w:rPr>
          <w:spacing w:val="-6"/>
        </w:rPr>
        <w:t> </w:t>
      </w:r>
      <w:r>
        <w:rPr/>
        <w:t>Governance</w:t>
      </w:r>
      <w:r>
        <w:rPr>
          <w:spacing w:val="-1"/>
        </w:rPr>
        <w:t> </w:t>
      </w:r>
      <w:r>
        <w:rPr/>
        <w:t>factors</w:t>
      </w:r>
      <w:r>
        <w:rPr>
          <w:spacing w:val="-4"/>
        </w:rPr>
        <w:t> </w:t>
      </w:r>
      <w:r>
        <w:rPr/>
        <w:t>had</w:t>
      </w:r>
      <w:r>
        <w:rPr>
          <w:spacing w:val="-6"/>
        </w:rPr>
        <w:t> </w:t>
      </w:r>
      <w:r>
        <w:rPr/>
        <w:t>become</w:t>
      </w:r>
      <w:r>
        <w:rPr>
          <w:spacing w:val="-6"/>
        </w:rPr>
        <w:t> </w:t>
      </w:r>
      <w:r>
        <w:rPr/>
        <w:t>increasingly</w:t>
      </w:r>
      <w:r>
        <w:rPr>
          <w:spacing w:val="-9"/>
        </w:rPr>
        <w:t> </w:t>
      </w:r>
      <w:r>
        <w:rPr/>
        <w:t>prevalent</w:t>
      </w:r>
      <w:r>
        <w:rPr>
          <w:spacing w:val="-3"/>
        </w:rPr>
        <w:t> </w:t>
      </w:r>
      <w:r>
        <w:rPr/>
        <w:t>in</w:t>
      </w:r>
      <w:r>
        <w:rPr>
          <w:spacing w:val="-7"/>
        </w:rPr>
        <w:t> </w:t>
      </w:r>
      <w:r>
        <w:rPr/>
        <w:t>fixed income</w:t>
      </w:r>
      <w:r>
        <w:rPr>
          <w:spacing w:val="-12"/>
        </w:rPr>
        <w:t> </w:t>
      </w:r>
      <w:r>
        <w:rPr/>
        <w:t>and</w:t>
      </w:r>
      <w:r>
        <w:rPr>
          <w:spacing w:val="-12"/>
        </w:rPr>
        <w:t> </w:t>
      </w:r>
      <w:r>
        <w:rPr/>
        <w:t>money</w:t>
      </w:r>
      <w:r>
        <w:rPr>
          <w:spacing w:val="-15"/>
        </w:rPr>
        <w:t> </w:t>
      </w:r>
      <w:r>
        <w:rPr/>
        <w:t>markets.</w:t>
      </w:r>
      <w:r>
        <w:rPr>
          <w:spacing w:val="-9"/>
        </w:rPr>
        <w:t> </w:t>
      </w:r>
      <w:r>
        <w:rPr/>
        <w:t>It</w:t>
      </w:r>
      <w:r>
        <w:rPr>
          <w:spacing w:val="-9"/>
        </w:rPr>
        <w:t> </w:t>
      </w:r>
      <w:r>
        <w:rPr/>
        <w:t>was</w:t>
      </w:r>
      <w:r>
        <w:rPr>
          <w:spacing w:val="-11"/>
        </w:rPr>
        <w:t> </w:t>
      </w:r>
      <w:r>
        <w:rPr/>
        <w:t>suggested</w:t>
      </w:r>
      <w:r>
        <w:rPr>
          <w:spacing w:val="-10"/>
        </w:rPr>
        <w:t> </w:t>
      </w:r>
      <w:r>
        <w:rPr/>
        <w:t>that</w:t>
      </w:r>
      <w:r>
        <w:rPr>
          <w:spacing w:val="-11"/>
        </w:rPr>
        <w:t> </w:t>
      </w:r>
      <w:r>
        <w:rPr/>
        <w:t>the</w:t>
      </w:r>
      <w:r>
        <w:rPr>
          <w:spacing w:val="-12"/>
        </w:rPr>
        <w:t> </w:t>
      </w:r>
      <w:r>
        <w:rPr/>
        <w:t>securities</w:t>
      </w:r>
      <w:r>
        <w:rPr>
          <w:spacing w:val="-11"/>
        </w:rPr>
        <w:t> </w:t>
      </w:r>
      <w:r>
        <w:rPr/>
        <w:t>lending</w:t>
      </w:r>
      <w:r>
        <w:rPr>
          <w:spacing w:val="-12"/>
        </w:rPr>
        <w:t> </w:t>
      </w:r>
      <w:r>
        <w:rPr/>
        <w:t>section</w:t>
      </w:r>
      <w:r>
        <w:rPr>
          <w:spacing w:val="-9"/>
        </w:rPr>
        <w:t> </w:t>
      </w:r>
      <w:r>
        <w:rPr/>
        <w:t>of</w:t>
      </w:r>
      <w:r>
        <w:rPr>
          <w:spacing w:val="-10"/>
        </w:rPr>
        <w:t> </w:t>
      </w:r>
      <w:r>
        <w:rPr/>
        <w:t>the</w:t>
      </w:r>
      <w:r>
        <w:rPr>
          <w:spacing w:val="-12"/>
        </w:rPr>
        <w:t> </w:t>
      </w:r>
      <w:r>
        <w:rPr/>
        <w:t>Code</w:t>
      </w:r>
      <w:r>
        <w:rPr>
          <w:spacing w:val="-12"/>
        </w:rPr>
        <w:t> </w:t>
      </w:r>
      <w:r>
        <w:rPr/>
        <w:t>might</w:t>
      </w:r>
      <w:r>
        <w:rPr>
          <w:spacing w:val="-11"/>
        </w:rPr>
        <w:t> </w:t>
      </w:r>
      <w:r>
        <w:rPr/>
        <w:t>refer to UN Principles for Responsible Investing, Principles for Sustainable Securities Lending and Sustainable Development</w:t>
      </w:r>
      <w:r>
        <w:rPr>
          <w:spacing w:val="-1"/>
        </w:rPr>
        <w:t> </w:t>
      </w:r>
      <w:r>
        <w:rPr/>
        <w:t>Goals.</w:t>
      </w:r>
    </w:p>
    <w:p>
      <w:pPr>
        <w:pStyle w:val="BodyText"/>
        <w:spacing w:before="4"/>
        <w:ind w:left="0"/>
        <w:rPr>
          <w:sz w:val="17"/>
        </w:rPr>
      </w:pPr>
    </w:p>
    <w:p>
      <w:pPr>
        <w:pStyle w:val="BodyText"/>
        <w:spacing w:line="278" w:lineRule="auto"/>
        <w:ind w:right="123"/>
        <w:jc w:val="both"/>
      </w:pPr>
      <w:r>
        <w:rPr/>
        <w:t>It was also suggested that the Code could help promote transition away from LIBOR and towards the use of risk-free rates, something that could be helped by including standard calculations and conventions in the Glossary and Explanatory Note.</w:t>
      </w:r>
    </w:p>
    <w:p>
      <w:pPr>
        <w:pStyle w:val="BodyText"/>
        <w:spacing w:line="276" w:lineRule="auto" w:before="194"/>
        <w:ind w:right="118"/>
        <w:jc w:val="both"/>
      </w:pPr>
      <w:r>
        <w:rPr/>
        <w:t>Market transparency was also highlighted as a key theme. It was noted that recent regulatory developments had been designed to make market data available to provide greater market transparency, however it was felt that more could be done to make greater use of these data.</w:t>
      </w:r>
    </w:p>
    <w:p>
      <w:pPr>
        <w:spacing w:after="0" w:line="276" w:lineRule="auto"/>
        <w:jc w:val="both"/>
        <w:sectPr>
          <w:pgSz w:w="11910" w:h="16840"/>
          <w:pgMar w:header="735" w:footer="0" w:top="1660" w:bottom="280" w:left="1000" w:right="1320"/>
        </w:sectPr>
      </w:pPr>
    </w:p>
    <w:p>
      <w:pPr>
        <w:pStyle w:val="BodyText"/>
        <w:spacing w:line="276" w:lineRule="auto" w:before="143"/>
        <w:ind w:right="115"/>
        <w:jc w:val="both"/>
      </w:pPr>
      <w:r>
        <w:rPr/>
        <w:t>Members also discussed the impact of regulation on movement of collateral in the financial system, in particular the impacts on market intermediation and liquidity. It was suggested having a further discussion on the impacts of regulatory reform on collateral at a future meeting of the MMC.</w:t>
      </w:r>
    </w:p>
    <w:p>
      <w:pPr>
        <w:pStyle w:val="BodyText"/>
        <w:spacing w:before="4"/>
        <w:ind w:left="0"/>
        <w:rPr>
          <w:sz w:val="17"/>
        </w:rPr>
      </w:pPr>
    </w:p>
    <w:p>
      <w:pPr>
        <w:pStyle w:val="BodyText"/>
        <w:spacing w:line="276" w:lineRule="auto"/>
        <w:ind w:right="118"/>
        <w:jc w:val="both"/>
      </w:pPr>
      <w:r>
        <w:rPr/>
        <w:t>The Chair thanked working group members again for their thoughts and input. Many useful topics had been</w:t>
      </w:r>
      <w:r>
        <w:rPr>
          <w:spacing w:val="-7"/>
        </w:rPr>
        <w:t> </w:t>
      </w:r>
      <w:r>
        <w:rPr/>
        <w:t>raised.</w:t>
      </w:r>
      <w:r>
        <w:rPr>
          <w:spacing w:val="42"/>
        </w:rPr>
        <w:t> </w:t>
      </w:r>
      <w:r>
        <w:rPr/>
        <w:t>In</w:t>
      </w:r>
      <w:r>
        <w:rPr>
          <w:spacing w:val="-7"/>
        </w:rPr>
        <w:t> </w:t>
      </w:r>
      <w:r>
        <w:rPr/>
        <w:t>judging</w:t>
      </w:r>
      <w:r>
        <w:rPr>
          <w:spacing w:val="-4"/>
        </w:rPr>
        <w:t> </w:t>
      </w:r>
      <w:r>
        <w:rPr/>
        <w:t>whether</w:t>
      </w:r>
      <w:r>
        <w:rPr>
          <w:spacing w:val="-6"/>
        </w:rPr>
        <w:t> </w:t>
      </w:r>
      <w:r>
        <w:rPr/>
        <w:t>and</w:t>
      </w:r>
      <w:r>
        <w:rPr>
          <w:spacing w:val="-7"/>
        </w:rPr>
        <w:t> </w:t>
      </w:r>
      <w:r>
        <w:rPr/>
        <w:t>how</w:t>
      </w:r>
      <w:r>
        <w:rPr>
          <w:spacing w:val="-9"/>
        </w:rPr>
        <w:t> </w:t>
      </w:r>
      <w:r>
        <w:rPr/>
        <w:t>to</w:t>
      </w:r>
      <w:r>
        <w:rPr>
          <w:spacing w:val="-7"/>
        </w:rPr>
        <w:t> </w:t>
      </w:r>
      <w:r>
        <w:rPr/>
        <w:t>include</w:t>
      </w:r>
      <w:r>
        <w:rPr>
          <w:spacing w:val="-7"/>
        </w:rPr>
        <w:t> </w:t>
      </w:r>
      <w:r>
        <w:rPr/>
        <w:t>this</w:t>
      </w:r>
      <w:r>
        <w:rPr>
          <w:spacing w:val="-8"/>
        </w:rPr>
        <w:t> </w:t>
      </w:r>
      <w:r>
        <w:rPr/>
        <w:t>material</w:t>
      </w:r>
      <w:r>
        <w:rPr>
          <w:spacing w:val="-6"/>
        </w:rPr>
        <w:t> </w:t>
      </w:r>
      <w:r>
        <w:rPr/>
        <w:t>in</w:t>
      </w:r>
      <w:r>
        <w:rPr>
          <w:spacing w:val="-7"/>
        </w:rPr>
        <w:t> </w:t>
      </w:r>
      <w:r>
        <w:rPr/>
        <w:t>a</w:t>
      </w:r>
      <w:r>
        <w:rPr>
          <w:spacing w:val="-5"/>
        </w:rPr>
        <w:t> </w:t>
      </w:r>
      <w:r>
        <w:rPr/>
        <w:t>revised</w:t>
      </w:r>
      <w:r>
        <w:rPr>
          <w:spacing w:val="-7"/>
        </w:rPr>
        <w:t> </w:t>
      </w:r>
      <w:r>
        <w:rPr/>
        <w:t>Code,</w:t>
      </w:r>
      <w:r>
        <w:rPr>
          <w:spacing w:val="1"/>
        </w:rPr>
        <w:t> </w:t>
      </w:r>
      <w:r>
        <w:rPr/>
        <w:t>the</w:t>
      </w:r>
      <w:r>
        <w:rPr>
          <w:spacing w:val="-7"/>
        </w:rPr>
        <w:t> </w:t>
      </w:r>
      <w:r>
        <w:rPr/>
        <w:t>Committee</w:t>
      </w:r>
      <w:r>
        <w:rPr>
          <w:spacing w:val="-6"/>
        </w:rPr>
        <w:t> </w:t>
      </w:r>
      <w:r>
        <w:rPr/>
        <w:t>and the wider membership would need to weigh the merits of broadening the Code, on the one hand, with the challenges that some members had reported in revalidating their compliance with new responsibilities. While there was support for many of the topics raised by the working groups, some members</w:t>
      </w:r>
      <w:r>
        <w:rPr>
          <w:spacing w:val="-11"/>
        </w:rPr>
        <w:t> </w:t>
      </w:r>
      <w:r>
        <w:rPr/>
        <w:t>also</w:t>
      </w:r>
      <w:r>
        <w:rPr>
          <w:spacing w:val="-13"/>
        </w:rPr>
        <w:t> </w:t>
      </w:r>
      <w:r>
        <w:rPr/>
        <w:t>noted</w:t>
      </w:r>
      <w:r>
        <w:rPr>
          <w:spacing w:val="-12"/>
        </w:rPr>
        <w:t> </w:t>
      </w:r>
      <w:r>
        <w:rPr/>
        <w:t>that</w:t>
      </w:r>
      <w:r>
        <w:rPr>
          <w:spacing w:val="-8"/>
        </w:rPr>
        <w:t> </w:t>
      </w:r>
      <w:r>
        <w:rPr/>
        <w:t>it</w:t>
      </w:r>
      <w:r>
        <w:rPr>
          <w:spacing w:val="-9"/>
        </w:rPr>
        <w:t> </w:t>
      </w:r>
      <w:r>
        <w:rPr/>
        <w:t>was</w:t>
      </w:r>
      <w:r>
        <w:rPr>
          <w:spacing w:val="-12"/>
        </w:rPr>
        <w:t> </w:t>
      </w:r>
      <w:r>
        <w:rPr/>
        <w:t>important</w:t>
      </w:r>
      <w:r>
        <w:rPr>
          <w:spacing w:val="-12"/>
        </w:rPr>
        <w:t> </w:t>
      </w:r>
      <w:r>
        <w:rPr/>
        <w:t>to</w:t>
      </w:r>
      <w:r>
        <w:rPr>
          <w:spacing w:val="-11"/>
        </w:rPr>
        <w:t> </w:t>
      </w:r>
      <w:r>
        <w:rPr/>
        <w:t>ensure</w:t>
      </w:r>
      <w:r>
        <w:rPr>
          <w:spacing w:val="-11"/>
        </w:rPr>
        <w:t> </w:t>
      </w:r>
      <w:r>
        <w:rPr/>
        <w:t>that</w:t>
      </w:r>
      <w:r>
        <w:rPr>
          <w:spacing w:val="-13"/>
        </w:rPr>
        <w:t> </w:t>
      </w:r>
      <w:r>
        <w:rPr/>
        <w:t>guidance</w:t>
      </w:r>
      <w:r>
        <w:rPr>
          <w:spacing w:val="-12"/>
        </w:rPr>
        <w:t> </w:t>
      </w:r>
      <w:r>
        <w:rPr/>
        <w:t>in</w:t>
      </w:r>
      <w:r>
        <w:rPr>
          <w:spacing w:val="-11"/>
        </w:rPr>
        <w:t> </w:t>
      </w:r>
      <w:r>
        <w:rPr/>
        <w:t>the</w:t>
      </w:r>
      <w:r>
        <w:rPr>
          <w:spacing w:val="-10"/>
        </w:rPr>
        <w:t> </w:t>
      </w:r>
      <w:r>
        <w:rPr/>
        <w:t>Code</w:t>
      </w:r>
      <w:r>
        <w:rPr>
          <w:spacing w:val="-13"/>
        </w:rPr>
        <w:t> </w:t>
      </w:r>
      <w:r>
        <w:rPr/>
        <w:t>should</w:t>
      </w:r>
      <w:r>
        <w:rPr>
          <w:spacing w:val="-12"/>
        </w:rPr>
        <w:t> </w:t>
      </w:r>
      <w:r>
        <w:rPr/>
        <w:t>remain</w:t>
      </w:r>
      <w:r>
        <w:rPr>
          <w:spacing w:val="-13"/>
        </w:rPr>
        <w:t> </w:t>
      </w:r>
      <w:r>
        <w:rPr/>
        <w:t>accessible to</w:t>
      </w:r>
      <w:r>
        <w:rPr>
          <w:spacing w:val="-7"/>
        </w:rPr>
        <w:t> </w:t>
      </w:r>
      <w:r>
        <w:rPr/>
        <w:t>a</w:t>
      </w:r>
      <w:r>
        <w:rPr>
          <w:spacing w:val="-7"/>
        </w:rPr>
        <w:t> </w:t>
      </w:r>
      <w:r>
        <w:rPr/>
        <w:t>broad</w:t>
      </w:r>
      <w:r>
        <w:rPr>
          <w:spacing w:val="-7"/>
        </w:rPr>
        <w:t> </w:t>
      </w:r>
      <w:r>
        <w:rPr/>
        <w:t>range</w:t>
      </w:r>
      <w:r>
        <w:rPr>
          <w:spacing w:val="-7"/>
        </w:rPr>
        <w:t> </w:t>
      </w:r>
      <w:r>
        <w:rPr/>
        <w:t>of</w:t>
      </w:r>
      <w:r>
        <w:rPr>
          <w:spacing w:val="-5"/>
        </w:rPr>
        <w:t> </w:t>
      </w:r>
      <w:r>
        <w:rPr/>
        <w:t>market</w:t>
      </w:r>
      <w:r>
        <w:rPr>
          <w:spacing w:val="-10"/>
        </w:rPr>
        <w:t> </w:t>
      </w:r>
      <w:r>
        <w:rPr/>
        <w:t>participants</w:t>
      </w:r>
      <w:r>
        <w:rPr>
          <w:spacing w:val="-6"/>
        </w:rPr>
        <w:t> </w:t>
      </w:r>
      <w:r>
        <w:rPr/>
        <w:t>and</w:t>
      </w:r>
      <w:r>
        <w:rPr>
          <w:spacing w:val="-7"/>
        </w:rPr>
        <w:t> </w:t>
      </w:r>
      <w:r>
        <w:rPr/>
        <w:t>should</w:t>
      </w:r>
      <w:r>
        <w:rPr>
          <w:spacing w:val="-7"/>
        </w:rPr>
        <w:t> </w:t>
      </w:r>
      <w:r>
        <w:rPr/>
        <w:t>not</w:t>
      </w:r>
      <w:r>
        <w:rPr>
          <w:spacing w:val="-4"/>
        </w:rPr>
        <w:t> </w:t>
      </w:r>
      <w:r>
        <w:rPr/>
        <w:t>inadvertently</w:t>
      </w:r>
      <w:r>
        <w:rPr>
          <w:spacing w:val="-10"/>
        </w:rPr>
        <w:t> </w:t>
      </w:r>
      <w:r>
        <w:rPr/>
        <w:t>act</w:t>
      </w:r>
      <w:r>
        <w:rPr>
          <w:spacing w:val="-7"/>
        </w:rPr>
        <w:t> </w:t>
      </w:r>
      <w:r>
        <w:rPr/>
        <w:t>as</w:t>
      </w:r>
      <w:r>
        <w:rPr>
          <w:spacing w:val="-6"/>
        </w:rPr>
        <w:t> </w:t>
      </w:r>
      <w:r>
        <w:rPr/>
        <w:t>a</w:t>
      </w:r>
      <w:r>
        <w:rPr>
          <w:spacing w:val="-7"/>
        </w:rPr>
        <w:t> </w:t>
      </w:r>
      <w:r>
        <w:rPr/>
        <w:t>barrier</w:t>
      </w:r>
      <w:r>
        <w:rPr>
          <w:spacing w:val="-6"/>
        </w:rPr>
        <w:t> </w:t>
      </w:r>
      <w:r>
        <w:rPr/>
        <w:t>to</w:t>
      </w:r>
      <w:r>
        <w:rPr>
          <w:spacing w:val="-7"/>
        </w:rPr>
        <w:t> </w:t>
      </w:r>
      <w:r>
        <w:rPr/>
        <w:t>signing</w:t>
      </w:r>
      <w:r>
        <w:rPr>
          <w:spacing w:val="-7"/>
        </w:rPr>
        <w:t> </w:t>
      </w:r>
      <w:r>
        <w:rPr/>
        <w:t>up</w:t>
      </w:r>
      <w:r>
        <w:rPr>
          <w:spacing w:val="-7"/>
        </w:rPr>
        <w:t> </w:t>
      </w:r>
      <w:r>
        <w:rPr/>
        <w:t>to</w:t>
      </w:r>
      <w:r>
        <w:rPr>
          <w:spacing w:val="-7"/>
        </w:rPr>
        <w:t> </w:t>
      </w:r>
      <w:r>
        <w:rPr/>
        <w:t>the Code. Committee members agreed to reflect on what the Code update </w:t>
      </w:r>
      <w:r>
        <w:rPr>
          <w:spacing w:val="2"/>
        </w:rPr>
        <w:t>might </w:t>
      </w:r>
      <w:r>
        <w:rPr/>
        <w:t>include at the next meeting.</w:t>
      </w:r>
    </w:p>
    <w:p>
      <w:pPr>
        <w:pStyle w:val="BodyText"/>
        <w:spacing w:before="4"/>
        <w:ind w:left="0"/>
        <w:rPr>
          <w:sz w:val="17"/>
        </w:rPr>
      </w:pPr>
    </w:p>
    <w:p>
      <w:pPr>
        <w:pStyle w:val="Heading1"/>
        <w:spacing w:before="1"/>
      </w:pPr>
      <w:r>
        <w:rPr/>
        <w:t>Item 5. Update from the UK Money Markets Code Sub-Committee</w:t>
      </w:r>
    </w:p>
    <w:p>
      <w:pPr>
        <w:pStyle w:val="BodyText"/>
        <w:spacing w:before="3"/>
        <w:ind w:left="0"/>
        <w:rPr>
          <w:b/>
        </w:rPr>
      </w:pPr>
    </w:p>
    <w:p>
      <w:pPr>
        <w:pStyle w:val="BodyText"/>
        <w:spacing w:line="276" w:lineRule="auto"/>
        <w:ind w:right="118"/>
        <w:jc w:val="both"/>
      </w:pPr>
      <w:r>
        <w:rPr/>
        <w:t>At</w:t>
      </w:r>
      <w:r>
        <w:rPr>
          <w:spacing w:val="-8"/>
        </w:rPr>
        <w:t> </w:t>
      </w:r>
      <w:r>
        <w:rPr/>
        <w:t>its</w:t>
      </w:r>
      <w:r>
        <w:rPr>
          <w:spacing w:val="-7"/>
        </w:rPr>
        <w:t> </w:t>
      </w:r>
      <w:r>
        <w:rPr/>
        <w:t>most</w:t>
      </w:r>
      <w:r>
        <w:rPr>
          <w:spacing w:val="-7"/>
        </w:rPr>
        <w:t> </w:t>
      </w:r>
      <w:r>
        <w:rPr/>
        <w:t>recent</w:t>
      </w:r>
      <w:r>
        <w:rPr>
          <w:spacing w:val="-10"/>
        </w:rPr>
        <w:t> </w:t>
      </w:r>
      <w:r>
        <w:rPr/>
        <w:t>meeting,</w:t>
      </w:r>
      <w:r>
        <w:rPr>
          <w:spacing w:val="-7"/>
        </w:rPr>
        <w:t> </w:t>
      </w:r>
      <w:r>
        <w:rPr/>
        <w:t>the</w:t>
      </w:r>
      <w:r>
        <w:rPr>
          <w:spacing w:val="-8"/>
        </w:rPr>
        <w:t> </w:t>
      </w:r>
      <w:r>
        <w:rPr/>
        <w:t>Sub-Committee</w:t>
      </w:r>
      <w:r>
        <w:rPr>
          <w:spacing w:val="-7"/>
        </w:rPr>
        <w:t> </w:t>
      </w:r>
      <w:r>
        <w:rPr/>
        <w:t>had</w:t>
      </w:r>
      <w:r>
        <w:rPr>
          <w:spacing w:val="-4"/>
        </w:rPr>
        <w:t> </w:t>
      </w:r>
      <w:r>
        <w:rPr/>
        <w:t>discussed</w:t>
      </w:r>
      <w:r>
        <w:rPr>
          <w:spacing w:val="-7"/>
        </w:rPr>
        <w:t> </w:t>
      </w:r>
      <w:r>
        <w:rPr/>
        <w:t>the</w:t>
      </w:r>
      <w:r>
        <w:rPr>
          <w:spacing w:val="-8"/>
        </w:rPr>
        <w:t> </w:t>
      </w:r>
      <w:r>
        <w:rPr/>
        <w:t>three-year</w:t>
      </w:r>
      <w:r>
        <w:rPr>
          <w:spacing w:val="-7"/>
        </w:rPr>
        <w:t> </w:t>
      </w:r>
      <w:r>
        <w:rPr/>
        <w:t>review</w:t>
      </w:r>
      <w:r>
        <w:rPr>
          <w:spacing w:val="-6"/>
        </w:rPr>
        <w:t> </w:t>
      </w:r>
      <w:r>
        <w:rPr/>
        <w:t>of</w:t>
      </w:r>
      <w:r>
        <w:rPr>
          <w:spacing w:val="-6"/>
        </w:rPr>
        <w:t> </w:t>
      </w:r>
      <w:r>
        <w:rPr/>
        <w:t>the</w:t>
      </w:r>
      <w:r>
        <w:rPr>
          <w:spacing w:val="-7"/>
        </w:rPr>
        <w:t> </w:t>
      </w:r>
      <w:r>
        <w:rPr/>
        <w:t>Code.</w:t>
      </w:r>
      <w:r>
        <w:rPr>
          <w:spacing w:val="-8"/>
        </w:rPr>
        <w:t> </w:t>
      </w:r>
      <w:r>
        <w:rPr/>
        <w:t>It</w:t>
      </w:r>
      <w:r>
        <w:rPr>
          <w:spacing w:val="-4"/>
        </w:rPr>
        <w:t> </w:t>
      </w:r>
      <w:r>
        <w:rPr/>
        <w:t>had been</w:t>
      </w:r>
      <w:r>
        <w:rPr>
          <w:spacing w:val="-6"/>
        </w:rPr>
        <w:t> </w:t>
      </w:r>
      <w:r>
        <w:rPr/>
        <w:t>agreed</w:t>
      </w:r>
      <w:r>
        <w:rPr>
          <w:spacing w:val="-5"/>
        </w:rPr>
        <w:t> </w:t>
      </w:r>
      <w:r>
        <w:rPr/>
        <w:t>that</w:t>
      </w:r>
      <w:r>
        <w:rPr>
          <w:spacing w:val="-5"/>
        </w:rPr>
        <w:t> </w:t>
      </w:r>
      <w:r>
        <w:rPr/>
        <w:t>the</w:t>
      </w:r>
      <w:r>
        <w:rPr>
          <w:spacing w:val="-4"/>
        </w:rPr>
        <w:t> </w:t>
      </w:r>
      <w:r>
        <w:rPr/>
        <w:t>timing</w:t>
      </w:r>
      <w:r>
        <w:rPr>
          <w:spacing w:val="-7"/>
        </w:rPr>
        <w:t> </w:t>
      </w:r>
      <w:r>
        <w:rPr/>
        <w:t>of</w:t>
      </w:r>
      <w:r>
        <w:rPr>
          <w:spacing w:val="-6"/>
        </w:rPr>
        <w:t> </w:t>
      </w:r>
      <w:r>
        <w:rPr/>
        <w:t>the</w:t>
      </w:r>
      <w:r>
        <w:rPr>
          <w:spacing w:val="-5"/>
        </w:rPr>
        <w:t> </w:t>
      </w:r>
      <w:r>
        <w:rPr/>
        <w:t>review</w:t>
      </w:r>
      <w:r>
        <w:rPr>
          <w:spacing w:val="-8"/>
        </w:rPr>
        <w:t> </w:t>
      </w:r>
      <w:r>
        <w:rPr/>
        <w:t>should</w:t>
      </w:r>
      <w:r>
        <w:rPr>
          <w:spacing w:val="-3"/>
        </w:rPr>
        <w:t> </w:t>
      </w:r>
      <w:r>
        <w:rPr/>
        <w:t>be</w:t>
      </w:r>
      <w:r>
        <w:rPr>
          <w:spacing w:val="-5"/>
        </w:rPr>
        <w:t> </w:t>
      </w:r>
      <w:r>
        <w:rPr/>
        <w:t>aligned</w:t>
      </w:r>
      <w:r>
        <w:rPr>
          <w:spacing w:val="-2"/>
        </w:rPr>
        <w:t> </w:t>
      </w:r>
      <w:r>
        <w:rPr/>
        <w:t>with</w:t>
      </w:r>
      <w:r>
        <w:rPr>
          <w:spacing w:val="-6"/>
        </w:rPr>
        <w:t> </w:t>
      </w:r>
      <w:r>
        <w:rPr/>
        <w:t>the</w:t>
      </w:r>
      <w:r>
        <w:rPr>
          <w:spacing w:val="-7"/>
        </w:rPr>
        <w:t> </w:t>
      </w:r>
      <w:r>
        <w:rPr/>
        <w:t>three-year</w:t>
      </w:r>
      <w:r>
        <w:rPr>
          <w:spacing w:val="-4"/>
        </w:rPr>
        <w:t> </w:t>
      </w:r>
      <w:r>
        <w:rPr/>
        <w:t>review</w:t>
      </w:r>
      <w:r>
        <w:rPr>
          <w:spacing w:val="-6"/>
        </w:rPr>
        <w:t> </w:t>
      </w:r>
      <w:r>
        <w:rPr/>
        <w:t>of</w:t>
      </w:r>
      <w:r>
        <w:rPr>
          <w:spacing w:val="-5"/>
        </w:rPr>
        <w:t> </w:t>
      </w:r>
      <w:r>
        <w:rPr/>
        <w:t>the</w:t>
      </w:r>
      <w:r>
        <w:rPr>
          <w:spacing w:val="-5"/>
        </w:rPr>
        <w:t> </w:t>
      </w:r>
      <w:r>
        <w:rPr/>
        <w:t>FX</w:t>
      </w:r>
      <w:r>
        <w:rPr>
          <w:spacing w:val="-6"/>
        </w:rPr>
        <w:t> </w:t>
      </w:r>
      <w:r>
        <w:rPr/>
        <w:t>Global Code, insofar as possible, beginning in earnest in 2020 Q1, with small working groups formed to look at each individual Chapter of the Code. Outputs from the three MMC discussion groups would provide one useful input for this process. On the cross-cutting issue of D&amp;I, a session would be organised in early</w:t>
      </w:r>
      <w:r>
        <w:rPr>
          <w:spacing w:val="-10"/>
        </w:rPr>
        <w:t> </w:t>
      </w:r>
      <w:r>
        <w:rPr/>
        <w:t>2020</w:t>
      </w:r>
      <w:r>
        <w:rPr>
          <w:spacing w:val="-7"/>
        </w:rPr>
        <w:t> </w:t>
      </w:r>
      <w:r>
        <w:rPr/>
        <w:t>to</w:t>
      </w:r>
      <w:r>
        <w:rPr>
          <w:spacing w:val="-5"/>
        </w:rPr>
        <w:t> </w:t>
      </w:r>
      <w:r>
        <w:rPr/>
        <w:t>look</w:t>
      </w:r>
      <w:r>
        <w:rPr>
          <w:spacing w:val="-3"/>
        </w:rPr>
        <w:t> </w:t>
      </w:r>
      <w:r>
        <w:rPr/>
        <w:t>in</w:t>
      </w:r>
      <w:r>
        <w:rPr>
          <w:spacing w:val="-7"/>
        </w:rPr>
        <w:t> </w:t>
      </w:r>
      <w:r>
        <w:rPr/>
        <w:t>detail</w:t>
      </w:r>
      <w:r>
        <w:rPr>
          <w:spacing w:val="-8"/>
        </w:rPr>
        <w:t> </w:t>
      </w:r>
      <w:r>
        <w:rPr/>
        <w:t>at</w:t>
      </w:r>
      <w:r>
        <w:rPr>
          <w:spacing w:val="-7"/>
        </w:rPr>
        <w:t> </w:t>
      </w:r>
      <w:r>
        <w:rPr/>
        <w:t>D&amp;I</w:t>
      </w:r>
      <w:r>
        <w:rPr>
          <w:spacing w:val="-7"/>
        </w:rPr>
        <w:t> </w:t>
      </w:r>
      <w:r>
        <w:rPr/>
        <w:t>and</w:t>
      </w:r>
      <w:r>
        <w:rPr>
          <w:spacing w:val="-7"/>
        </w:rPr>
        <w:t> </w:t>
      </w:r>
      <w:r>
        <w:rPr/>
        <w:t>the</w:t>
      </w:r>
      <w:r>
        <w:rPr>
          <w:spacing w:val="-7"/>
        </w:rPr>
        <w:t> </w:t>
      </w:r>
      <w:r>
        <w:rPr/>
        <w:t>Code.</w:t>
      </w:r>
      <w:r>
        <w:rPr>
          <w:spacing w:val="45"/>
        </w:rPr>
        <w:t> </w:t>
      </w:r>
      <w:r>
        <w:rPr/>
        <w:t>This</w:t>
      </w:r>
      <w:r>
        <w:rPr>
          <w:spacing w:val="-5"/>
        </w:rPr>
        <w:t> </w:t>
      </w:r>
      <w:r>
        <w:rPr/>
        <w:t>would</w:t>
      </w:r>
      <w:r>
        <w:rPr>
          <w:spacing w:val="-7"/>
        </w:rPr>
        <w:t> </w:t>
      </w:r>
      <w:r>
        <w:rPr/>
        <w:t>be</w:t>
      </w:r>
      <w:r>
        <w:rPr>
          <w:spacing w:val="-7"/>
        </w:rPr>
        <w:t> </w:t>
      </w:r>
      <w:r>
        <w:rPr/>
        <w:t>a</w:t>
      </w:r>
      <w:r>
        <w:rPr>
          <w:spacing w:val="-6"/>
        </w:rPr>
        <w:t> </w:t>
      </w:r>
      <w:r>
        <w:rPr/>
        <w:t>more</w:t>
      </w:r>
      <w:r>
        <w:rPr>
          <w:spacing w:val="-6"/>
        </w:rPr>
        <w:t> </w:t>
      </w:r>
      <w:r>
        <w:rPr/>
        <w:t>informal</w:t>
      </w:r>
      <w:r>
        <w:rPr>
          <w:spacing w:val="-8"/>
        </w:rPr>
        <w:t> </w:t>
      </w:r>
      <w:r>
        <w:rPr/>
        <w:t>meeting,</w:t>
      </w:r>
      <w:r>
        <w:rPr>
          <w:spacing w:val="-7"/>
        </w:rPr>
        <w:t> </w:t>
      </w:r>
      <w:r>
        <w:rPr/>
        <w:t>and</w:t>
      </w:r>
      <w:r>
        <w:rPr>
          <w:spacing w:val="-7"/>
        </w:rPr>
        <w:t> </w:t>
      </w:r>
      <w:r>
        <w:rPr/>
        <w:t>members of the Sub-Committee would bring along a colleague who would meet the diversity</w:t>
      </w:r>
      <w:r>
        <w:rPr>
          <w:spacing w:val="-9"/>
        </w:rPr>
        <w:t> </w:t>
      </w:r>
      <w:r>
        <w:rPr/>
        <w:t>goals.</w:t>
      </w:r>
    </w:p>
    <w:p>
      <w:pPr>
        <w:pStyle w:val="BodyText"/>
        <w:spacing w:before="5"/>
        <w:ind w:left="0"/>
        <w:rPr>
          <w:sz w:val="17"/>
        </w:rPr>
      </w:pPr>
    </w:p>
    <w:p>
      <w:pPr>
        <w:pStyle w:val="BodyText"/>
        <w:spacing w:line="276" w:lineRule="auto" w:before="1"/>
        <w:ind w:right="118"/>
        <w:jc w:val="both"/>
      </w:pPr>
      <w:r>
        <w:rPr/>
        <w:t>A brief update on the Public Register of Statements of Commitment and Statements of Support to the Code was provided. It was noted that since the Public Register launched just over a year previously, the number of firms that appeared on it had more than doubled. Split by firm type, there were 128 banks, 36 building societies, 14 broker-dealers, 3 CCPs, 17 asset managers, 3 brokers, 1 corporate, 6 local authorities, and 9 Statements of Support from organisations such as trade</w:t>
      </w:r>
      <w:r>
        <w:rPr>
          <w:spacing w:val="-8"/>
        </w:rPr>
        <w:t> </w:t>
      </w:r>
      <w:r>
        <w:rPr/>
        <w:t>associations.</w:t>
      </w:r>
    </w:p>
    <w:p>
      <w:pPr>
        <w:pStyle w:val="BodyText"/>
        <w:spacing w:before="6"/>
        <w:ind w:left="0"/>
        <w:rPr>
          <w:sz w:val="17"/>
        </w:rPr>
      </w:pPr>
    </w:p>
    <w:p>
      <w:pPr>
        <w:pStyle w:val="BodyText"/>
        <w:spacing w:line="276" w:lineRule="auto"/>
        <w:ind w:right="116"/>
        <w:jc w:val="both"/>
      </w:pPr>
      <w:r>
        <w:rPr/>
        <w:t>In</w:t>
      </w:r>
      <w:r>
        <w:rPr>
          <w:spacing w:val="-7"/>
        </w:rPr>
        <w:t> </w:t>
      </w:r>
      <w:r>
        <w:rPr/>
        <w:t>light</w:t>
      </w:r>
      <w:r>
        <w:rPr>
          <w:spacing w:val="-4"/>
        </w:rPr>
        <w:t> </w:t>
      </w:r>
      <w:r>
        <w:rPr/>
        <w:t>of</w:t>
      </w:r>
      <w:r>
        <w:rPr>
          <w:spacing w:val="-5"/>
        </w:rPr>
        <w:t> </w:t>
      </w:r>
      <w:r>
        <w:rPr/>
        <w:t>these</w:t>
      </w:r>
      <w:r>
        <w:rPr>
          <w:spacing w:val="-7"/>
        </w:rPr>
        <w:t> </w:t>
      </w:r>
      <w:r>
        <w:rPr/>
        <w:t>findings,</w:t>
      </w:r>
      <w:r>
        <w:rPr>
          <w:spacing w:val="-7"/>
        </w:rPr>
        <w:t> </w:t>
      </w:r>
      <w:r>
        <w:rPr/>
        <w:t>the</w:t>
      </w:r>
      <w:r>
        <w:rPr>
          <w:spacing w:val="-7"/>
        </w:rPr>
        <w:t> </w:t>
      </w:r>
      <w:r>
        <w:rPr/>
        <w:t>Sub-Committee</w:t>
      </w:r>
      <w:r>
        <w:rPr>
          <w:spacing w:val="-7"/>
        </w:rPr>
        <w:t> </w:t>
      </w:r>
      <w:r>
        <w:rPr/>
        <w:t>had</w:t>
      </w:r>
      <w:r>
        <w:rPr>
          <w:spacing w:val="-6"/>
        </w:rPr>
        <w:t> </w:t>
      </w:r>
      <w:r>
        <w:rPr/>
        <w:t>discussed</w:t>
      </w:r>
      <w:r>
        <w:rPr>
          <w:spacing w:val="-7"/>
        </w:rPr>
        <w:t> </w:t>
      </w:r>
      <w:r>
        <w:rPr/>
        <w:t>the</w:t>
      </w:r>
      <w:r>
        <w:rPr>
          <w:spacing w:val="-6"/>
        </w:rPr>
        <w:t> </w:t>
      </w:r>
      <w:r>
        <w:rPr/>
        <w:t>need</w:t>
      </w:r>
      <w:r>
        <w:rPr>
          <w:spacing w:val="-7"/>
        </w:rPr>
        <w:t> </w:t>
      </w:r>
      <w:r>
        <w:rPr/>
        <w:t>to</w:t>
      </w:r>
      <w:r>
        <w:rPr>
          <w:spacing w:val="-6"/>
        </w:rPr>
        <w:t> </w:t>
      </w:r>
      <w:r>
        <w:rPr/>
        <w:t>strengthen</w:t>
      </w:r>
      <w:r>
        <w:rPr>
          <w:spacing w:val="-5"/>
        </w:rPr>
        <w:t> </w:t>
      </w:r>
      <w:r>
        <w:rPr/>
        <w:t>sign</w:t>
      </w:r>
      <w:r>
        <w:rPr>
          <w:spacing w:val="-7"/>
        </w:rPr>
        <w:t> </w:t>
      </w:r>
      <w:r>
        <w:rPr/>
        <w:t>up</w:t>
      </w:r>
      <w:r>
        <w:rPr>
          <w:spacing w:val="-7"/>
        </w:rPr>
        <w:t> </w:t>
      </w:r>
      <w:r>
        <w:rPr/>
        <w:t>to</w:t>
      </w:r>
      <w:r>
        <w:rPr>
          <w:spacing w:val="-7"/>
        </w:rPr>
        <w:t> </w:t>
      </w:r>
      <w:r>
        <w:rPr/>
        <w:t>the</w:t>
      </w:r>
      <w:r>
        <w:rPr>
          <w:spacing w:val="-7"/>
        </w:rPr>
        <w:t> </w:t>
      </w:r>
      <w:r>
        <w:rPr/>
        <w:t>Code amongst the corporate sector. One action agreed at the last meeting was for the Association of Corporate Treasurers (ACT) and Bank to create a short summary document to explain to corporate treasurers succinctly, clearly and effectively why their companies should sign up to the Code. That document</w:t>
      </w:r>
      <w:r>
        <w:rPr>
          <w:spacing w:val="-6"/>
        </w:rPr>
        <w:t> </w:t>
      </w:r>
      <w:r>
        <w:rPr/>
        <w:t>had</w:t>
      </w:r>
      <w:r>
        <w:rPr>
          <w:spacing w:val="-4"/>
        </w:rPr>
        <w:t> </w:t>
      </w:r>
      <w:r>
        <w:rPr/>
        <w:t>now</w:t>
      </w:r>
      <w:r>
        <w:rPr>
          <w:spacing w:val="-6"/>
        </w:rPr>
        <w:t> </w:t>
      </w:r>
      <w:r>
        <w:rPr/>
        <w:t>been</w:t>
      </w:r>
      <w:r>
        <w:rPr>
          <w:spacing w:val="-7"/>
        </w:rPr>
        <w:t> </w:t>
      </w:r>
      <w:r>
        <w:rPr/>
        <w:t>finalised,</w:t>
      </w:r>
      <w:r>
        <w:rPr>
          <w:spacing w:val="-7"/>
        </w:rPr>
        <w:t> </w:t>
      </w:r>
      <w:r>
        <w:rPr/>
        <w:t>published</w:t>
      </w:r>
      <w:r>
        <w:rPr>
          <w:spacing w:val="-7"/>
        </w:rPr>
        <w:t> </w:t>
      </w:r>
      <w:r>
        <w:rPr/>
        <w:t>on</w:t>
      </w:r>
      <w:r>
        <w:rPr>
          <w:spacing w:val="-7"/>
        </w:rPr>
        <w:t> </w:t>
      </w:r>
      <w:r>
        <w:rPr/>
        <w:t>the</w:t>
      </w:r>
      <w:r>
        <w:rPr>
          <w:spacing w:val="-4"/>
        </w:rPr>
        <w:t> </w:t>
      </w:r>
      <w:r>
        <w:rPr/>
        <w:t>Bank’s</w:t>
      </w:r>
      <w:r>
        <w:rPr>
          <w:spacing w:val="-5"/>
        </w:rPr>
        <w:t> </w:t>
      </w:r>
      <w:r>
        <w:rPr/>
        <w:t>and</w:t>
      </w:r>
      <w:r>
        <w:rPr>
          <w:spacing w:val="-6"/>
        </w:rPr>
        <w:t> </w:t>
      </w:r>
      <w:r>
        <w:rPr/>
        <w:t>ACT’s</w:t>
      </w:r>
      <w:r>
        <w:rPr>
          <w:spacing w:val="-4"/>
        </w:rPr>
        <w:t> </w:t>
      </w:r>
      <w:r>
        <w:rPr/>
        <w:t>websites,</w:t>
      </w:r>
      <w:r>
        <w:rPr>
          <w:spacing w:val="-4"/>
        </w:rPr>
        <w:t> </w:t>
      </w:r>
      <w:r>
        <w:rPr/>
        <w:t>and</w:t>
      </w:r>
      <w:r>
        <w:rPr>
          <w:spacing w:val="-6"/>
        </w:rPr>
        <w:t> </w:t>
      </w:r>
      <w:r>
        <w:rPr/>
        <w:t>distributed</w:t>
      </w:r>
      <w:r>
        <w:rPr>
          <w:spacing w:val="-5"/>
        </w:rPr>
        <w:t> </w:t>
      </w:r>
      <w:r>
        <w:rPr/>
        <w:t>by</w:t>
      </w:r>
      <w:r>
        <w:rPr>
          <w:spacing w:val="-10"/>
        </w:rPr>
        <w:t> </w:t>
      </w:r>
      <w:r>
        <w:rPr/>
        <w:t>the ACT to its members. The effectiveness of these tools would need to be monitored over</w:t>
      </w:r>
      <w:r>
        <w:rPr>
          <w:spacing w:val="-16"/>
        </w:rPr>
        <w:t> </w:t>
      </w:r>
      <w:r>
        <w:rPr/>
        <w:t>time.</w:t>
      </w:r>
    </w:p>
    <w:p>
      <w:pPr>
        <w:pStyle w:val="BodyText"/>
        <w:spacing w:before="3"/>
        <w:ind w:left="0"/>
        <w:rPr>
          <w:sz w:val="17"/>
        </w:rPr>
      </w:pPr>
    </w:p>
    <w:p>
      <w:pPr>
        <w:pStyle w:val="Heading1"/>
      </w:pPr>
      <w:r>
        <w:rPr/>
        <w:t>Item 6. Discussion on Market Conditions</w:t>
      </w:r>
    </w:p>
    <w:p>
      <w:pPr>
        <w:pStyle w:val="BodyText"/>
        <w:spacing w:before="8"/>
        <w:ind w:left="0"/>
        <w:rPr>
          <w:b/>
        </w:rPr>
      </w:pPr>
    </w:p>
    <w:p>
      <w:pPr>
        <w:pStyle w:val="BodyText"/>
      </w:pPr>
      <w:r>
        <w:rPr/>
        <w:t>A short discussion was held covering recent developments in market conditions since the last meeting.</w:t>
      </w:r>
    </w:p>
    <w:p>
      <w:pPr>
        <w:pStyle w:val="BodyText"/>
        <w:spacing w:before="1"/>
        <w:ind w:left="0"/>
      </w:pPr>
    </w:p>
    <w:p>
      <w:pPr>
        <w:pStyle w:val="BodyText"/>
        <w:spacing w:line="276" w:lineRule="auto"/>
        <w:ind w:right="115"/>
        <w:jc w:val="both"/>
      </w:pPr>
      <w:r>
        <w:rPr/>
        <w:t>The discussion began with a review of recent developments in US money markets. It was noted that in mid-September 2019, repo rates in the US had spiked significantly. The spike had been catalysed by a combination of an increased demand to borrow cash, decreased supply and decreased intermediation capacity. Set against the backdrop of quantitative tightening, mid-September reserves had</w:t>
      </w:r>
      <w:r>
        <w:rPr>
          <w:spacing w:val="-6"/>
        </w:rPr>
        <w:t> </w:t>
      </w:r>
      <w:r>
        <w:rPr/>
        <w:t>been</w:t>
      </w:r>
      <w:r>
        <w:rPr>
          <w:spacing w:val="-5"/>
        </w:rPr>
        <w:t> </w:t>
      </w:r>
      <w:r>
        <w:rPr/>
        <w:t>the</w:t>
      </w:r>
      <w:r>
        <w:rPr>
          <w:spacing w:val="-6"/>
        </w:rPr>
        <w:t> </w:t>
      </w:r>
      <w:r>
        <w:rPr/>
        <w:t>lowest</w:t>
      </w:r>
      <w:r>
        <w:rPr>
          <w:spacing w:val="-4"/>
        </w:rPr>
        <w:t> </w:t>
      </w:r>
      <w:r>
        <w:rPr/>
        <w:t>for</w:t>
      </w:r>
      <w:r>
        <w:rPr>
          <w:spacing w:val="-5"/>
        </w:rPr>
        <w:t> </w:t>
      </w:r>
      <w:r>
        <w:rPr/>
        <w:t>seven</w:t>
      </w:r>
      <w:r>
        <w:rPr>
          <w:spacing w:val="-2"/>
        </w:rPr>
        <w:t> </w:t>
      </w:r>
      <w:r>
        <w:rPr/>
        <w:t>years,</w:t>
      </w:r>
      <w:r>
        <w:rPr>
          <w:spacing w:val="-2"/>
        </w:rPr>
        <w:t> </w:t>
      </w:r>
      <w:r>
        <w:rPr/>
        <w:t>increasing</w:t>
      </w:r>
      <w:r>
        <w:rPr>
          <w:spacing w:val="-5"/>
        </w:rPr>
        <w:t> </w:t>
      </w:r>
      <w:r>
        <w:rPr/>
        <w:t>the</w:t>
      </w:r>
      <w:r>
        <w:rPr>
          <w:spacing w:val="-6"/>
        </w:rPr>
        <w:t> </w:t>
      </w:r>
      <w:r>
        <w:rPr/>
        <w:t>sensitivity</w:t>
      </w:r>
      <w:r>
        <w:rPr>
          <w:spacing w:val="-8"/>
        </w:rPr>
        <w:t> </w:t>
      </w:r>
      <w:r>
        <w:rPr/>
        <w:t>of</w:t>
      </w:r>
      <w:r>
        <w:rPr>
          <w:spacing w:val="-4"/>
        </w:rPr>
        <w:t> </w:t>
      </w:r>
      <w:r>
        <w:rPr/>
        <w:t>short</w:t>
      </w:r>
      <w:r>
        <w:rPr>
          <w:spacing w:val="-4"/>
        </w:rPr>
        <w:t> </w:t>
      </w:r>
      <w:r>
        <w:rPr/>
        <w:t>term</w:t>
      </w:r>
      <w:r>
        <w:rPr>
          <w:spacing w:val="-3"/>
        </w:rPr>
        <w:t> </w:t>
      </w:r>
      <w:r>
        <w:rPr/>
        <w:t>market</w:t>
      </w:r>
      <w:r>
        <w:rPr>
          <w:spacing w:val="-4"/>
        </w:rPr>
        <w:t> </w:t>
      </w:r>
      <w:r>
        <w:rPr/>
        <w:t>rates</w:t>
      </w:r>
      <w:r>
        <w:rPr>
          <w:spacing w:val="-1"/>
        </w:rPr>
        <w:t> </w:t>
      </w:r>
      <w:r>
        <w:rPr/>
        <w:t>to</w:t>
      </w:r>
      <w:r>
        <w:rPr>
          <w:spacing w:val="-5"/>
        </w:rPr>
        <w:t> </w:t>
      </w:r>
      <w:r>
        <w:rPr/>
        <w:t>the</w:t>
      </w:r>
      <w:r>
        <w:rPr>
          <w:spacing w:val="-3"/>
        </w:rPr>
        <w:t> </w:t>
      </w:r>
      <w:r>
        <w:rPr/>
        <w:t>level</w:t>
      </w:r>
      <w:r>
        <w:rPr>
          <w:spacing w:val="-5"/>
        </w:rPr>
        <w:t> </w:t>
      </w:r>
      <w:r>
        <w:rPr/>
        <w:t>of reserves</w:t>
      </w:r>
      <w:r>
        <w:rPr>
          <w:spacing w:val="-12"/>
        </w:rPr>
        <w:t> </w:t>
      </w:r>
      <w:r>
        <w:rPr/>
        <w:t>in</w:t>
      </w:r>
      <w:r>
        <w:rPr>
          <w:spacing w:val="-12"/>
        </w:rPr>
        <w:t> </w:t>
      </w:r>
      <w:r>
        <w:rPr/>
        <w:t>the</w:t>
      </w:r>
      <w:r>
        <w:rPr>
          <w:spacing w:val="-13"/>
        </w:rPr>
        <w:t> </w:t>
      </w:r>
      <w:r>
        <w:rPr/>
        <w:t>system.</w:t>
      </w:r>
      <w:r>
        <w:rPr>
          <w:spacing w:val="-12"/>
        </w:rPr>
        <w:t> </w:t>
      </w:r>
      <w:r>
        <w:rPr/>
        <w:t>The</w:t>
      </w:r>
      <w:r>
        <w:rPr>
          <w:spacing w:val="-16"/>
        </w:rPr>
        <w:t> </w:t>
      </w:r>
      <w:r>
        <w:rPr/>
        <w:t>Federal</w:t>
      </w:r>
      <w:r>
        <w:rPr>
          <w:spacing w:val="-15"/>
        </w:rPr>
        <w:t> </w:t>
      </w:r>
      <w:r>
        <w:rPr/>
        <w:t>Reserve</w:t>
      </w:r>
      <w:r>
        <w:rPr>
          <w:spacing w:val="-13"/>
        </w:rPr>
        <w:t> </w:t>
      </w:r>
      <w:r>
        <w:rPr/>
        <w:t>had</w:t>
      </w:r>
      <w:r>
        <w:rPr>
          <w:spacing w:val="-15"/>
        </w:rPr>
        <w:t> </w:t>
      </w:r>
      <w:r>
        <w:rPr/>
        <w:t>subsequently</w:t>
      </w:r>
      <w:r>
        <w:rPr>
          <w:spacing w:val="-15"/>
        </w:rPr>
        <w:t> </w:t>
      </w:r>
      <w:r>
        <w:rPr/>
        <w:t>injected</w:t>
      </w:r>
      <w:r>
        <w:rPr>
          <w:spacing w:val="-13"/>
        </w:rPr>
        <w:t> </w:t>
      </w:r>
      <w:r>
        <w:rPr/>
        <w:t>significant</w:t>
      </w:r>
      <w:r>
        <w:rPr>
          <w:spacing w:val="-12"/>
        </w:rPr>
        <w:t> </w:t>
      </w:r>
      <w:r>
        <w:rPr/>
        <w:t>amounts</w:t>
      </w:r>
      <w:r>
        <w:rPr>
          <w:spacing w:val="-14"/>
        </w:rPr>
        <w:t> </w:t>
      </w:r>
      <w:r>
        <w:rPr/>
        <w:t>of</w:t>
      </w:r>
      <w:r>
        <w:rPr>
          <w:spacing w:val="-12"/>
        </w:rPr>
        <w:t> </w:t>
      </w:r>
      <w:r>
        <w:rPr/>
        <w:t>reserves through bill purchases and repo operations. Members of the Committee noted that the action taken by the Fed had been effective in stabilising rates, but the market was waiting for further clarity on what action the Fed may</w:t>
      </w:r>
      <w:r>
        <w:rPr>
          <w:spacing w:val="-41"/>
        </w:rPr>
        <w:t> </w:t>
      </w:r>
      <w:r>
        <w:rPr/>
        <w:t>take in the medium to long term, for example whether a permanent Standing Repo facility may be launched, or furthermore how long T-bill purchases may continue for, and in what size. The implications of the spike in repo rates for risk-free rate transition were also</w:t>
      </w:r>
      <w:r>
        <w:rPr>
          <w:spacing w:val="-14"/>
        </w:rPr>
        <w:t> </w:t>
      </w:r>
      <w:r>
        <w:rPr/>
        <w:t>discussed.</w:t>
      </w:r>
    </w:p>
    <w:p>
      <w:pPr>
        <w:spacing w:after="0" w:line="276" w:lineRule="auto"/>
        <w:jc w:val="both"/>
        <w:sectPr>
          <w:pgSz w:w="11910" w:h="16840"/>
          <w:pgMar w:header="735" w:footer="0" w:top="1660" w:bottom="280" w:left="1000" w:right="1320"/>
        </w:sectPr>
      </w:pPr>
    </w:p>
    <w:p>
      <w:pPr>
        <w:pStyle w:val="BodyText"/>
        <w:spacing w:line="276" w:lineRule="auto" w:before="143"/>
        <w:ind w:right="117"/>
        <w:jc w:val="both"/>
      </w:pPr>
      <w:r>
        <w:rPr/>
        <w:t>Members noted that they had seen no spillovers from the US money market dysfunction into sterling markets. Conditions had been orderly and markets had generally been liquid and well-functioning, although some movement in the cross currency basis had been observed. Some members noted that in</w:t>
      </w:r>
      <w:r>
        <w:rPr>
          <w:spacing w:val="-8"/>
        </w:rPr>
        <w:t> </w:t>
      </w:r>
      <w:r>
        <w:rPr/>
        <w:t>the</w:t>
      </w:r>
      <w:r>
        <w:rPr>
          <w:spacing w:val="-7"/>
        </w:rPr>
        <w:t> </w:t>
      </w:r>
      <w:r>
        <w:rPr/>
        <w:t>UK</w:t>
      </w:r>
      <w:r>
        <w:rPr>
          <w:spacing w:val="-5"/>
        </w:rPr>
        <w:t> </w:t>
      </w:r>
      <w:r>
        <w:rPr/>
        <w:t>a</w:t>
      </w:r>
      <w:r>
        <w:rPr>
          <w:spacing w:val="-7"/>
        </w:rPr>
        <w:t> </w:t>
      </w:r>
      <w:r>
        <w:rPr/>
        <w:t>broader</w:t>
      </w:r>
      <w:r>
        <w:rPr>
          <w:spacing w:val="-6"/>
        </w:rPr>
        <w:t> </w:t>
      </w:r>
      <w:r>
        <w:rPr/>
        <w:t>range</w:t>
      </w:r>
      <w:r>
        <w:rPr>
          <w:spacing w:val="-8"/>
        </w:rPr>
        <w:t> </w:t>
      </w:r>
      <w:r>
        <w:rPr/>
        <w:t>of</w:t>
      </w:r>
      <w:r>
        <w:rPr>
          <w:spacing w:val="-7"/>
        </w:rPr>
        <w:t> </w:t>
      </w:r>
      <w:r>
        <w:rPr/>
        <w:t>money</w:t>
      </w:r>
      <w:r>
        <w:rPr>
          <w:spacing w:val="-13"/>
        </w:rPr>
        <w:t> </w:t>
      </w:r>
      <w:r>
        <w:rPr/>
        <w:t>market</w:t>
      </w:r>
      <w:r>
        <w:rPr>
          <w:spacing w:val="-7"/>
        </w:rPr>
        <w:t> </w:t>
      </w:r>
      <w:r>
        <w:rPr/>
        <w:t>participants</w:t>
      </w:r>
      <w:r>
        <w:rPr>
          <w:spacing w:val="-4"/>
        </w:rPr>
        <w:t> </w:t>
      </w:r>
      <w:r>
        <w:rPr/>
        <w:t>had</w:t>
      </w:r>
      <w:r>
        <w:rPr>
          <w:spacing w:val="-7"/>
        </w:rPr>
        <w:t> </w:t>
      </w:r>
      <w:r>
        <w:rPr/>
        <w:t>direct</w:t>
      </w:r>
      <w:r>
        <w:rPr>
          <w:spacing w:val="-8"/>
        </w:rPr>
        <w:t> </w:t>
      </w:r>
      <w:r>
        <w:rPr/>
        <w:t>access</w:t>
      </w:r>
      <w:r>
        <w:rPr>
          <w:spacing w:val="-6"/>
        </w:rPr>
        <w:t> </w:t>
      </w:r>
      <w:r>
        <w:rPr/>
        <w:t>to central</w:t>
      </w:r>
      <w:r>
        <w:rPr>
          <w:spacing w:val="-8"/>
        </w:rPr>
        <w:t> </w:t>
      </w:r>
      <w:r>
        <w:rPr/>
        <w:t>bank</w:t>
      </w:r>
      <w:r>
        <w:rPr>
          <w:spacing w:val="-7"/>
        </w:rPr>
        <w:t> </w:t>
      </w:r>
      <w:r>
        <w:rPr/>
        <w:t>facilities</w:t>
      </w:r>
      <w:r>
        <w:rPr>
          <w:spacing w:val="-6"/>
        </w:rPr>
        <w:t> </w:t>
      </w:r>
      <w:r>
        <w:rPr/>
        <w:t>than in the US. That was viewed as one factor supporting sterling market</w:t>
      </w:r>
      <w:r>
        <w:rPr>
          <w:spacing w:val="-11"/>
        </w:rPr>
        <w:t> </w:t>
      </w:r>
      <w:r>
        <w:rPr/>
        <w:t>conditions.</w:t>
      </w:r>
    </w:p>
    <w:p>
      <w:pPr>
        <w:pStyle w:val="BodyText"/>
        <w:spacing w:before="3"/>
        <w:ind w:left="0"/>
        <w:rPr>
          <w:sz w:val="17"/>
        </w:rPr>
      </w:pPr>
    </w:p>
    <w:p>
      <w:pPr>
        <w:pStyle w:val="BodyText"/>
        <w:spacing w:line="276" w:lineRule="auto"/>
        <w:ind w:right="117"/>
        <w:jc w:val="both"/>
      </w:pPr>
      <w:r>
        <w:rPr/>
        <w:t>Conditions</w:t>
      </w:r>
      <w:r>
        <w:rPr>
          <w:spacing w:val="-10"/>
        </w:rPr>
        <w:t> </w:t>
      </w:r>
      <w:r>
        <w:rPr/>
        <w:t>over</w:t>
      </w:r>
      <w:r>
        <w:rPr>
          <w:spacing w:val="-9"/>
        </w:rPr>
        <w:t> </w:t>
      </w:r>
      <w:r>
        <w:rPr/>
        <w:t>2019</w:t>
      </w:r>
      <w:r>
        <w:rPr>
          <w:spacing w:val="-8"/>
        </w:rPr>
        <w:t> </w:t>
      </w:r>
      <w:r>
        <w:rPr/>
        <w:t>year</w:t>
      </w:r>
      <w:r>
        <w:rPr>
          <w:spacing w:val="-9"/>
        </w:rPr>
        <w:t> </w:t>
      </w:r>
      <w:r>
        <w:rPr/>
        <w:t>end</w:t>
      </w:r>
      <w:r>
        <w:rPr>
          <w:spacing w:val="-8"/>
        </w:rPr>
        <w:t> </w:t>
      </w:r>
      <w:r>
        <w:rPr/>
        <w:t>were</w:t>
      </w:r>
      <w:r>
        <w:rPr>
          <w:spacing w:val="-7"/>
        </w:rPr>
        <w:t> </w:t>
      </w:r>
      <w:r>
        <w:rPr/>
        <w:t>also</w:t>
      </w:r>
      <w:r>
        <w:rPr>
          <w:spacing w:val="-10"/>
        </w:rPr>
        <w:t> </w:t>
      </w:r>
      <w:r>
        <w:rPr/>
        <w:t>discussed.</w:t>
      </w:r>
      <w:r>
        <w:rPr>
          <w:spacing w:val="35"/>
        </w:rPr>
        <w:t> </w:t>
      </w:r>
      <w:r>
        <w:rPr/>
        <w:t>It</w:t>
      </w:r>
      <w:r>
        <w:rPr>
          <w:spacing w:val="-10"/>
        </w:rPr>
        <w:t> </w:t>
      </w:r>
      <w:r>
        <w:rPr/>
        <w:t>was</w:t>
      </w:r>
      <w:r>
        <w:rPr>
          <w:spacing w:val="-9"/>
        </w:rPr>
        <w:t> </w:t>
      </w:r>
      <w:r>
        <w:rPr/>
        <w:t>agreed</w:t>
      </w:r>
      <w:r>
        <w:rPr>
          <w:spacing w:val="-10"/>
        </w:rPr>
        <w:t> </w:t>
      </w:r>
      <w:r>
        <w:rPr/>
        <w:t>that</w:t>
      </w:r>
      <w:r>
        <w:rPr>
          <w:spacing w:val="-8"/>
        </w:rPr>
        <w:t> </w:t>
      </w:r>
      <w:r>
        <w:rPr/>
        <w:t>year</w:t>
      </w:r>
      <w:r>
        <w:rPr>
          <w:spacing w:val="-9"/>
        </w:rPr>
        <w:t> </w:t>
      </w:r>
      <w:r>
        <w:rPr/>
        <w:t>end</w:t>
      </w:r>
      <w:r>
        <w:rPr>
          <w:spacing w:val="-10"/>
        </w:rPr>
        <w:t> </w:t>
      </w:r>
      <w:r>
        <w:rPr/>
        <w:t>had</w:t>
      </w:r>
      <w:r>
        <w:rPr>
          <w:spacing w:val="-11"/>
        </w:rPr>
        <w:t> </w:t>
      </w:r>
      <w:r>
        <w:rPr/>
        <w:t>been</w:t>
      </w:r>
      <w:r>
        <w:rPr>
          <w:spacing w:val="-11"/>
        </w:rPr>
        <w:t> </w:t>
      </w:r>
      <w:r>
        <w:rPr/>
        <w:t>orderly</w:t>
      </w:r>
      <w:r>
        <w:rPr>
          <w:spacing w:val="-14"/>
        </w:rPr>
        <w:t> </w:t>
      </w:r>
      <w:r>
        <w:rPr/>
        <w:t>both in the UK and globally. In the US, repo rates had traded at only a small premium to the Fed funds</w:t>
      </w:r>
      <w:r>
        <w:rPr>
          <w:spacing w:val="-37"/>
        </w:rPr>
        <w:t> </w:t>
      </w:r>
      <w:r>
        <w:rPr/>
        <w:t>rate, with</w:t>
      </w:r>
      <w:r>
        <w:rPr>
          <w:spacing w:val="-9"/>
        </w:rPr>
        <w:t> </w:t>
      </w:r>
      <w:r>
        <w:rPr/>
        <w:t>a</w:t>
      </w:r>
      <w:r>
        <w:rPr>
          <w:spacing w:val="-11"/>
        </w:rPr>
        <w:t> </w:t>
      </w:r>
      <w:r>
        <w:rPr/>
        <w:t>premium</w:t>
      </w:r>
      <w:r>
        <w:rPr>
          <w:spacing w:val="-6"/>
        </w:rPr>
        <w:t> </w:t>
      </w:r>
      <w:r>
        <w:rPr/>
        <w:t>comparable</w:t>
      </w:r>
      <w:r>
        <w:rPr>
          <w:spacing w:val="-9"/>
        </w:rPr>
        <w:t> </w:t>
      </w:r>
      <w:r>
        <w:rPr/>
        <w:t>to</w:t>
      </w:r>
      <w:r>
        <w:rPr>
          <w:spacing w:val="-11"/>
        </w:rPr>
        <w:t> </w:t>
      </w:r>
      <w:r>
        <w:rPr/>
        <w:t>November’s</w:t>
      </w:r>
      <w:r>
        <w:rPr>
          <w:spacing w:val="-11"/>
        </w:rPr>
        <w:t> </w:t>
      </w:r>
      <w:r>
        <w:rPr/>
        <w:t>month</w:t>
      </w:r>
      <w:r>
        <w:rPr>
          <w:spacing w:val="-11"/>
        </w:rPr>
        <w:t> </w:t>
      </w:r>
      <w:r>
        <w:rPr/>
        <w:t>end,</w:t>
      </w:r>
      <w:r>
        <w:rPr>
          <w:spacing w:val="-8"/>
        </w:rPr>
        <w:t> </w:t>
      </w:r>
      <w:r>
        <w:rPr/>
        <w:t>and</w:t>
      </w:r>
      <w:r>
        <w:rPr>
          <w:spacing w:val="-9"/>
        </w:rPr>
        <w:t> </w:t>
      </w:r>
      <w:r>
        <w:rPr/>
        <w:t>well</w:t>
      </w:r>
      <w:r>
        <w:rPr>
          <w:spacing w:val="-9"/>
        </w:rPr>
        <w:t> </w:t>
      </w:r>
      <w:r>
        <w:rPr/>
        <w:t>below</w:t>
      </w:r>
      <w:r>
        <w:rPr>
          <w:spacing w:val="-12"/>
        </w:rPr>
        <w:t> </w:t>
      </w:r>
      <w:r>
        <w:rPr/>
        <w:t>that</w:t>
      </w:r>
      <w:r>
        <w:rPr>
          <w:spacing w:val="-8"/>
        </w:rPr>
        <w:t> </w:t>
      </w:r>
      <w:r>
        <w:rPr/>
        <w:t>seen</w:t>
      </w:r>
      <w:r>
        <w:rPr>
          <w:spacing w:val="-8"/>
        </w:rPr>
        <w:t> </w:t>
      </w:r>
      <w:r>
        <w:rPr/>
        <w:t>at</w:t>
      </w:r>
      <w:r>
        <w:rPr>
          <w:spacing w:val="-9"/>
        </w:rPr>
        <w:t> </w:t>
      </w:r>
      <w:r>
        <w:rPr/>
        <w:t>the</w:t>
      </w:r>
      <w:r>
        <w:rPr>
          <w:spacing w:val="-11"/>
        </w:rPr>
        <w:t> </w:t>
      </w:r>
      <w:r>
        <w:rPr/>
        <w:t>time</w:t>
      </w:r>
      <w:r>
        <w:rPr>
          <w:spacing w:val="-11"/>
        </w:rPr>
        <w:t> </w:t>
      </w:r>
      <w:r>
        <w:rPr/>
        <w:t>of</w:t>
      </w:r>
      <w:r>
        <w:rPr>
          <w:spacing w:val="-8"/>
        </w:rPr>
        <w:t> </w:t>
      </w:r>
      <w:r>
        <w:rPr/>
        <w:t>the</w:t>
      </w:r>
      <w:r>
        <w:rPr>
          <w:spacing w:val="-11"/>
        </w:rPr>
        <w:t> </w:t>
      </w:r>
      <w:r>
        <w:rPr/>
        <w:t>2018 year end. This was largely put down to action taken by the Fed in the preceding weeks. In sterling markets,</w:t>
      </w:r>
      <w:r>
        <w:rPr>
          <w:spacing w:val="-10"/>
        </w:rPr>
        <w:t> </w:t>
      </w:r>
      <w:r>
        <w:rPr/>
        <w:t>year-end</w:t>
      </w:r>
      <w:r>
        <w:rPr>
          <w:spacing w:val="-13"/>
        </w:rPr>
        <w:t> </w:t>
      </w:r>
      <w:r>
        <w:rPr/>
        <w:t>conditions</w:t>
      </w:r>
      <w:r>
        <w:rPr>
          <w:spacing w:val="-10"/>
        </w:rPr>
        <w:t> </w:t>
      </w:r>
      <w:r>
        <w:rPr/>
        <w:t>had</w:t>
      </w:r>
      <w:r>
        <w:rPr>
          <w:spacing w:val="-13"/>
        </w:rPr>
        <w:t> </w:t>
      </w:r>
      <w:r>
        <w:rPr/>
        <w:t>also</w:t>
      </w:r>
      <w:r>
        <w:rPr>
          <w:spacing w:val="-12"/>
        </w:rPr>
        <w:t> </w:t>
      </w:r>
      <w:r>
        <w:rPr/>
        <w:t>been</w:t>
      </w:r>
      <w:r>
        <w:rPr>
          <w:spacing w:val="-11"/>
        </w:rPr>
        <w:t> </w:t>
      </w:r>
      <w:r>
        <w:rPr/>
        <w:t>orderly</w:t>
      </w:r>
      <w:r>
        <w:rPr>
          <w:spacing w:val="-16"/>
        </w:rPr>
        <w:t> </w:t>
      </w:r>
      <w:r>
        <w:rPr/>
        <w:t>and</w:t>
      </w:r>
      <w:r>
        <w:rPr>
          <w:spacing w:val="-10"/>
        </w:rPr>
        <w:t> </w:t>
      </w:r>
      <w:r>
        <w:rPr/>
        <w:t>comparable</w:t>
      </w:r>
      <w:r>
        <w:rPr>
          <w:spacing w:val="-13"/>
        </w:rPr>
        <w:t> </w:t>
      </w:r>
      <w:r>
        <w:rPr/>
        <w:t>to</w:t>
      </w:r>
      <w:r>
        <w:rPr>
          <w:spacing w:val="-12"/>
        </w:rPr>
        <w:t> </w:t>
      </w:r>
      <w:r>
        <w:rPr/>
        <w:t>2018.</w:t>
      </w:r>
      <w:r>
        <w:rPr>
          <w:spacing w:val="38"/>
        </w:rPr>
        <w:t> </w:t>
      </w:r>
      <w:r>
        <w:rPr/>
        <w:t>DBV</w:t>
      </w:r>
      <w:r>
        <w:rPr>
          <w:spacing w:val="-11"/>
        </w:rPr>
        <w:t> </w:t>
      </w:r>
      <w:r>
        <w:rPr/>
        <w:t>repo</w:t>
      </w:r>
      <w:r>
        <w:rPr>
          <w:spacing w:val="-12"/>
        </w:rPr>
        <w:t> </w:t>
      </w:r>
      <w:r>
        <w:rPr/>
        <w:t>rates</w:t>
      </w:r>
      <w:r>
        <w:rPr>
          <w:spacing w:val="-8"/>
        </w:rPr>
        <w:t> </w:t>
      </w:r>
      <w:r>
        <w:rPr/>
        <w:t>had</w:t>
      </w:r>
      <w:r>
        <w:rPr>
          <w:spacing w:val="-10"/>
        </w:rPr>
        <w:t> </w:t>
      </w:r>
      <w:r>
        <w:rPr/>
        <w:t>been elevated slightly on 30 and 31 December, as firms responded to regulatory incentives – but this had been largely expected, and followed the trend of previous quarter-ends. The secured RONIA index had</w:t>
      </w:r>
      <w:r>
        <w:rPr>
          <w:spacing w:val="-10"/>
        </w:rPr>
        <w:t> </w:t>
      </w:r>
      <w:r>
        <w:rPr/>
        <w:t>seen</w:t>
      </w:r>
      <w:r>
        <w:rPr>
          <w:spacing w:val="-7"/>
        </w:rPr>
        <w:t> </w:t>
      </w:r>
      <w:r>
        <w:rPr/>
        <w:t>low</w:t>
      </w:r>
      <w:r>
        <w:rPr>
          <w:spacing w:val="-9"/>
        </w:rPr>
        <w:t> </w:t>
      </w:r>
      <w:r>
        <w:rPr/>
        <w:t>volumes</w:t>
      </w:r>
      <w:r>
        <w:rPr>
          <w:spacing w:val="-8"/>
        </w:rPr>
        <w:t> </w:t>
      </w:r>
      <w:r>
        <w:rPr/>
        <w:t>around</w:t>
      </w:r>
      <w:r>
        <w:rPr>
          <w:spacing w:val="-6"/>
        </w:rPr>
        <w:t> </w:t>
      </w:r>
      <w:r>
        <w:rPr/>
        <w:t>year</w:t>
      </w:r>
      <w:r>
        <w:rPr>
          <w:spacing w:val="-6"/>
        </w:rPr>
        <w:t> </w:t>
      </w:r>
      <w:r>
        <w:rPr/>
        <w:t>end</w:t>
      </w:r>
      <w:r>
        <w:rPr>
          <w:spacing w:val="-5"/>
        </w:rPr>
        <w:t> </w:t>
      </w:r>
      <w:r>
        <w:rPr/>
        <w:t>and</w:t>
      </w:r>
      <w:r>
        <w:rPr>
          <w:spacing w:val="-10"/>
        </w:rPr>
        <w:t> </w:t>
      </w:r>
      <w:r>
        <w:rPr/>
        <w:t>perhaps</w:t>
      </w:r>
      <w:r>
        <w:rPr>
          <w:spacing w:val="-6"/>
        </w:rPr>
        <w:t> </w:t>
      </w:r>
      <w:r>
        <w:rPr/>
        <w:t>unsurprisingly</w:t>
      </w:r>
      <w:r>
        <w:rPr>
          <w:spacing w:val="-13"/>
        </w:rPr>
        <w:t> </w:t>
      </w:r>
      <w:r>
        <w:rPr/>
        <w:t>the</w:t>
      </w:r>
      <w:r>
        <w:rPr>
          <w:spacing w:val="-10"/>
        </w:rPr>
        <w:t> </w:t>
      </w:r>
      <w:r>
        <w:rPr/>
        <w:t>brokered</w:t>
      </w:r>
      <w:r>
        <w:rPr>
          <w:spacing w:val="-9"/>
        </w:rPr>
        <w:t> </w:t>
      </w:r>
      <w:r>
        <w:rPr/>
        <w:t>part</w:t>
      </w:r>
      <w:r>
        <w:rPr>
          <w:spacing w:val="-10"/>
        </w:rPr>
        <w:t> </w:t>
      </w:r>
      <w:r>
        <w:rPr/>
        <w:t>of</w:t>
      </w:r>
      <w:r>
        <w:rPr>
          <w:spacing w:val="-7"/>
        </w:rPr>
        <w:t> </w:t>
      </w:r>
      <w:r>
        <w:rPr/>
        <w:t>the</w:t>
      </w:r>
      <w:r>
        <w:rPr>
          <w:spacing w:val="-10"/>
        </w:rPr>
        <w:t> </w:t>
      </w:r>
      <w:r>
        <w:rPr/>
        <w:t>market</w:t>
      </w:r>
      <w:r>
        <w:rPr>
          <w:spacing w:val="-10"/>
        </w:rPr>
        <w:t> </w:t>
      </w:r>
      <w:r>
        <w:rPr/>
        <w:t>had seen</w:t>
      </w:r>
      <w:r>
        <w:rPr>
          <w:spacing w:val="-15"/>
        </w:rPr>
        <w:t> </w:t>
      </w:r>
      <w:r>
        <w:rPr/>
        <w:t>the</w:t>
      </w:r>
      <w:r>
        <w:rPr>
          <w:spacing w:val="-12"/>
        </w:rPr>
        <w:t> </w:t>
      </w:r>
      <w:r>
        <w:rPr/>
        <w:t>highest</w:t>
      </w:r>
      <w:r>
        <w:rPr>
          <w:spacing w:val="-13"/>
        </w:rPr>
        <w:t> </w:t>
      </w:r>
      <w:r>
        <w:rPr/>
        <w:t>rates.</w:t>
      </w:r>
      <w:r>
        <w:rPr>
          <w:spacing w:val="32"/>
        </w:rPr>
        <w:t> </w:t>
      </w:r>
      <w:r>
        <w:rPr/>
        <w:t>Moves</w:t>
      </w:r>
      <w:r>
        <w:rPr>
          <w:spacing w:val="-12"/>
        </w:rPr>
        <w:t> </w:t>
      </w:r>
      <w:r>
        <w:rPr/>
        <w:t>in</w:t>
      </w:r>
      <w:r>
        <w:rPr>
          <w:spacing w:val="-12"/>
        </w:rPr>
        <w:t> </w:t>
      </w:r>
      <w:r>
        <w:rPr/>
        <w:t>the</w:t>
      </w:r>
      <w:r>
        <w:rPr>
          <w:spacing w:val="-13"/>
        </w:rPr>
        <w:t> </w:t>
      </w:r>
      <w:r>
        <w:rPr/>
        <w:t>Sterling</w:t>
      </w:r>
      <w:r>
        <w:rPr>
          <w:spacing w:val="-12"/>
        </w:rPr>
        <w:t> </w:t>
      </w:r>
      <w:r>
        <w:rPr/>
        <w:t>Repo</w:t>
      </w:r>
      <w:r>
        <w:rPr>
          <w:spacing w:val="-12"/>
        </w:rPr>
        <w:t> </w:t>
      </w:r>
      <w:r>
        <w:rPr/>
        <w:t>index</w:t>
      </w:r>
      <w:r>
        <w:rPr>
          <w:spacing w:val="-13"/>
        </w:rPr>
        <w:t> </w:t>
      </w:r>
      <w:r>
        <w:rPr/>
        <w:t>rate</w:t>
      </w:r>
      <w:r>
        <w:rPr>
          <w:spacing w:val="-13"/>
        </w:rPr>
        <w:t> </w:t>
      </w:r>
      <w:r>
        <w:rPr/>
        <w:t>had</w:t>
      </w:r>
      <w:r>
        <w:rPr>
          <w:spacing w:val="-14"/>
        </w:rPr>
        <w:t> </w:t>
      </w:r>
      <w:r>
        <w:rPr/>
        <w:t>been</w:t>
      </w:r>
      <w:r>
        <w:rPr>
          <w:spacing w:val="-9"/>
        </w:rPr>
        <w:t> </w:t>
      </w:r>
      <w:r>
        <w:rPr/>
        <w:t>very</w:t>
      </w:r>
      <w:r>
        <w:rPr>
          <w:spacing w:val="-15"/>
        </w:rPr>
        <w:t> </w:t>
      </w:r>
      <w:r>
        <w:rPr/>
        <w:t>contained,</w:t>
      </w:r>
      <w:r>
        <w:rPr>
          <w:spacing w:val="-13"/>
        </w:rPr>
        <w:t> </w:t>
      </w:r>
      <w:r>
        <w:rPr/>
        <w:t>again</w:t>
      </w:r>
      <w:r>
        <w:rPr>
          <w:spacing w:val="-12"/>
        </w:rPr>
        <w:t> </w:t>
      </w:r>
      <w:r>
        <w:rPr/>
        <w:t>indicating that what year end pressures there had been, were a function of cash management rather than any particular collateral stress. Members stressed that market had been well prepared heading into the turn, with most activity in the lead up taking place through mid-end December. It was commented that Money Market Funds tend to prepare for year-end throughout the year. Several members noted that through preparing for the General Election, much of the market had built up large amounts of liquidity. Several noted that in the local authority sector that had been an increase in inter-authority lending, which was largely a function of the recent increase in the Public Works Loan Board (PWLB)</w:t>
      </w:r>
      <w:r>
        <w:rPr>
          <w:spacing w:val="-22"/>
        </w:rPr>
        <w:t> </w:t>
      </w:r>
      <w:r>
        <w:rPr/>
        <w:t>rate.</w:t>
      </w:r>
    </w:p>
    <w:p>
      <w:pPr>
        <w:pStyle w:val="BodyText"/>
        <w:spacing w:before="6"/>
        <w:ind w:left="0"/>
        <w:rPr>
          <w:sz w:val="17"/>
        </w:rPr>
      </w:pPr>
    </w:p>
    <w:p>
      <w:pPr>
        <w:pStyle w:val="Heading1"/>
        <w:spacing w:before="1"/>
        <w:jc w:val="both"/>
      </w:pPr>
      <w:r>
        <w:rPr/>
        <w:t>Item 7. Update from the Securities Lending Committee</w:t>
      </w:r>
    </w:p>
    <w:p>
      <w:pPr>
        <w:pStyle w:val="BodyText"/>
        <w:spacing w:before="3"/>
        <w:ind w:left="0"/>
        <w:rPr>
          <w:b/>
        </w:rPr>
      </w:pPr>
    </w:p>
    <w:p>
      <w:pPr>
        <w:pStyle w:val="BodyText"/>
        <w:spacing w:line="278" w:lineRule="auto"/>
        <w:ind w:right="122"/>
        <w:jc w:val="both"/>
      </w:pPr>
      <w:r>
        <w:rPr/>
        <w:t>At their last meeting, the Securities Lending Committee had discussed a number of topical issues, namely: recent market trends; D&amp;I; and ESG.</w:t>
      </w:r>
    </w:p>
    <w:p>
      <w:pPr>
        <w:pStyle w:val="BodyText"/>
        <w:spacing w:line="276" w:lineRule="auto" w:before="196"/>
        <w:ind w:right="116"/>
        <w:jc w:val="both"/>
      </w:pPr>
      <w:r>
        <w:rPr/>
        <w:t>Revenues from Securities Lending activities had reportedly fallen by 15% YoY in H1 2019. A lack of hedge</w:t>
      </w:r>
      <w:r>
        <w:rPr>
          <w:spacing w:val="-9"/>
        </w:rPr>
        <w:t> </w:t>
      </w:r>
      <w:r>
        <w:rPr/>
        <w:t>fund</w:t>
      </w:r>
      <w:r>
        <w:rPr>
          <w:spacing w:val="-7"/>
        </w:rPr>
        <w:t> </w:t>
      </w:r>
      <w:r>
        <w:rPr/>
        <w:t>activity</w:t>
      </w:r>
      <w:r>
        <w:rPr>
          <w:spacing w:val="-9"/>
        </w:rPr>
        <w:t> </w:t>
      </w:r>
      <w:r>
        <w:rPr/>
        <w:t>was</w:t>
      </w:r>
      <w:r>
        <w:rPr>
          <w:spacing w:val="-8"/>
        </w:rPr>
        <w:t> </w:t>
      </w:r>
      <w:r>
        <w:rPr/>
        <w:t>said</w:t>
      </w:r>
      <w:r>
        <w:rPr>
          <w:spacing w:val="-8"/>
        </w:rPr>
        <w:t> </w:t>
      </w:r>
      <w:r>
        <w:rPr/>
        <w:t>to</w:t>
      </w:r>
      <w:r>
        <w:rPr>
          <w:spacing w:val="-7"/>
        </w:rPr>
        <w:t> </w:t>
      </w:r>
      <w:r>
        <w:rPr/>
        <w:t>be</w:t>
      </w:r>
      <w:r>
        <w:rPr>
          <w:spacing w:val="-8"/>
        </w:rPr>
        <w:t> </w:t>
      </w:r>
      <w:r>
        <w:rPr/>
        <w:t>a</w:t>
      </w:r>
      <w:r>
        <w:rPr>
          <w:spacing w:val="-6"/>
        </w:rPr>
        <w:t> </w:t>
      </w:r>
      <w:r>
        <w:rPr/>
        <w:t>key</w:t>
      </w:r>
      <w:r>
        <w:rPr>
          <w:spacing w:val="-13"/>
        </w:rPr>
        <w:t> </w:t>
      </w:r>
      <w:r>
        <w:rPr/>
        <w:t>driver</w:t>
      </w:r>
      <w:r>
        <w:rPr>
          <w:spacing w:val="-5"/>
        </w:rPr>
        <w:t> </w:t>
      </w:r>
      <w:r>
        <w:rPr/>
        <w:t>on</w:t>
      </w:r>
      <w:r>
        <w:rPr>
          <w:spacing w:val="-8"/>
        </w:rPr>
        <w:t> </w:t>
      </w:r>
      <w:r>
        <w:rPr/>
        <w:t>the</w:t>
      </w:r>
      <w:r>
        <w:rPr>
          <w:spacing w:val="-7"/>
        </w:rPr>
        <w:t> </w:t>
      </w:r>
      <w:r>
        <w:rPr/>
        <w:t>equity</w:t>
      </w:r>
      <w:r>
        <w:rPr>
          <w:spacing w:val="-13"/>
        </w:rPr>
        <w:t> </w:t>
      </w:r>
      <w:r>
        <w:rPr/>
        <w:t>side,</w:t>
      </w:r>
      <w:r>
        <w:rPr>
          <w:spacing w:val="-4"/>
        </w:rPr>
        <w:t> </w:t>
      </w:r>
      <w:r>
        <w:rPr/>
        <w:t>with</w:t>
      </w:r>
      <w:r>
        <w:rPr>
          <w:spacing w:val="-7"/>
        </w:rPr>
        <w:t> </w:t>
      </w:r>
      <w:r>
        <w:rPr/>
        <w:t>members</w:t>
      </w:r>
      <w:r>
        <w:rPr>
          <w:spacing w:val="-3"/>
        </w:rPr>
        <w:t> </w:t>
      </w:r>
      <w:r>
        <w:rPr/>
        <w:t>observing</w:t>
      </w:r>
      <w:r>
        <w:rPr>
          <w:spacing w:val="-8"/>
        </w:rPr>
        <w:t> </w:t>
      </w:r>
      <w:r>
        <w:rPr/>
        <w:t>compressed fixed income spreads. It was noted that post-trade regulatory changes (e.g. SFTR &amp; CSDR) had continued to be a key theme for the sector. On CSDR some members had noted a continued lack of understanding</w:t>
      </w:r>
      <w:r>
        <w:rPr>
          <w:spacing w:val="-5"/>
        </w:rPr>
        <w:t> </w:t>
      </w:r>
      <w:r>
        <w:rPr/>
        <w:t>about</w:t>
      </w:r>
      <w:r>
        <w:rPr>
          <w:spacing w:val="-1"/>
        </w:rPr>
        <w:t> </w:t>
      </w:r>
      <w:r>
        <w:rPr/>
        <w:t>how</w:t>
      </w:r>
      <w:r>
        <w:rPr>
          <w:spacing w:val="-3"/>
        </w:rPr>
        <w:t> </w:t>
      </w:r>
      <w:r>
        <w:rPr/>
        <w:t>it</w:t>
      </w:r>
      <w:r>
        <w:rPr>
          <w:spacing w:val="-3"/>
        </w:rPr>
        <w:t> </w:t>
      </w:r>
      <w:r>
        <w:rPr/>
        <w:t>would</w:t>
      </w:r>
      <w:r>
        <w:rPr>
          <w:spacing w:val="-3"/>
        </w:rPr>
        <w:t> </w:t>
      </w:r>
      <w:r>
        <w:rPr/>
        <w:t>impact</w:t>
      </w:r>
      <w:r>
        <w:rPr>
          <w:spacing w:val="-5"/>
        </w:rPr>
        <w:t> </w:t>
      </w:r>
      <w:r>
        <w:rPr/>
        <w:t>the</w:t>
      </w:r>
      <w:r>
        <w:rPr>
          <w:spacing w:val="-4"/>
        </w:rPr>
        <w:t> </w:t>
      </w:r>
      <w:r>
        <w:rPr/>
        <w:t>securities</w:t>
      </w:r>
      <w:r>
        <w:rPr>
          <w:spacing w:val="-3"/>
        </w:rPr>
        <w:t> </w:t>
      </w:r>
      <w:r>
        <w:rPr/>
        <w:t>lending</w:t>
      </w:r>
      <w:r>
        <w:rPr>
          <w:spacing w:val="-3"/>
        </w:rPr>
        <w:t> </w:t>
      </w:r>
      <w:r>
        <w:rPr/>
        <w:t>industry.</w:t>
      </w:r>
      <w:r>
        <w:rPr>
          <w:spacing w:val="-3"/>
        </w:rPr>
        <w:t> </w:t>
      </w:r>
      <w:r>
        <w:rPr/>
        <w:t>On</w:t>
      </w:r>
      <w:r>
        <w:rPr>
          <w:spacing w:val="-3"/>
        </w:rPr>
        <w:t> </w:t>
      </w:r>
      <w:r>
        <w:rPr/>
        <w:t>SFTR,</w:t>
      </w:r>
      <w:r>
        <w:rPr>
          <w:spacing w:val="-5"/>
        </w:rPr>
        <w:t> </w:t>
      </w:r>
      <w:r>
        <w:rPr/>
        <w:t>members were</w:t>
      </w:r>
      <w:r>
        <w:rPr>
          <w:spacing w:val="-5"/>
        </w:rPr>
        <w:t> </w:t>
      </w:r>
      <w:r>
        <w:rPr/>
        <w:t>still awaiting further clarification from ESMA as a number of protocols were still being</w:t>
      </w:r>
      <w:r>
        <w:rPr>
          <w:spacing w:val="-6"/>
        </w:rPr>
        <w:t> </w:t>
      </w:r>
      <w:r>
        <w:rPr/>
        <w:t>finalised.</w:t>
      </w:r>
    </w:p>
    <w:p>
      <w:pPr>
        <w:pStyle w:val="BodyText"/>
        <w:spacing w:before="6"/>
        <w:ind w:left="0"/>
        <w:rPr>
          <w:sz w:val="17"/>
        </w:rPr>
      </w:pPr>
    </w:p>
    <w:p>
      <w:pPr>
        <w:pStyle w:val="BodyText"/>
        <w:spacing w:line="278" w:lineRule="auto"/>
        <w:ind w:right="118"/>
        <w:jc w:val="both"/>
      </w:pPr>
      <w:r>
        <w:rPr/>
        <w:t>D&amp;I</w:t>
      </w:r>
      <w:r>
        <w:rPr>
          <w:spacing w:val="-7"/>
        </w:rPr>
        <w:t> </w:t>
      </w:r>
      <w:r>
        <w:rPr/>
        <w:t>had</w:t>
      </w:r>
      <w:r>
        <w:rPr>
          <w:spacing w:val="-7"/>
        </w:rPr>
        <w:t> </w:t>
      </w:r>
      <w:r>
        <w:rPr/>
        <w:t>been</w:t>
      </w:r>
      <w:r>
        <w:rPr>
          <w:spacing w:val="-7"/>
        </w:rPr>
        <w:t> </w:t>
      </w:r>
      <w:r>
        <w:rPr/>
        <w:t>a</w:t>
      </w:r>
      <w:r>
        <w:rPr>
          <w:spacing w:val="-6"/>
        </w:rPr>
        <w:t> </w:t>
      </w:r>
      <w:r>
        <w:rPr/>
        <w:t>key</w:t>
      </w:r>
      <w:r>
        <w:rPr>
          <w:spacing w:val="-10"/>
        </w:rPr>
        <w:t> </w:t>
      </w:r>
      <w:r>
        <w:rPr/>
        <w:t>topic</w:t>
      </w:r>
      <w:r>
        <w:rPr>
          <w:spacing w:val="-6"/>
        </w:rPr>
        <w:t> </w:t>
      </w:r>
      <w:r>
        <w:rPr/>
        <w:t>for</w:t>
      </w:r>
      <w:r>
        <w:rPr>
          <w:spacing w:val="-6"/>
        </w:rPr>
        <w:t> </w:t>
      </w:r>
      <w:r>
        <w:rPr/>
        <w:t>the</w:t>
      </w:r>
      <w:r>
        <w:rPr>
          <w:spacing w:val="-7"/>
        </w:rPr>
        <w:t> </w:t>
      </w:r>
      <w:r>
        <w:rPr/>
        <w:t>SLC</w:t>
      </w:r>
      <w:r>
        <w:rPr>
          <w:spacing w:val="-6"/>
        </w:rPr>
        <w:t> </w:t>
      </w:r>
      <w:r>
        <w:rPr/>
        <w:t>and</w:t>
      </w:r>
      <w:r>
        <w:rPr>
          <w:spacing w:val="-6"/>
        </w:rPr>
        <w:t> </w:t>
      </w:r>
      <w:r>
        <w:rPr/>
        <w:t>had</w:t>
      </w:r>
      <w:r>
        <w:rPr>
          <w:spacing w:val="-7"/>
        </w:rPr>
        <w:t> </w:t>
      </w:r>
      <w:r>
        <w:rPr/>
        <w:t>featured</w:t>
      </w:r>
      <w:r>
        <w:rPr>
          <w:spacing w:val="-7"/>
        </w:rPr>
        <w:t> </w:t>
      </w:r>
      <w:r>
        <w:rPr/>
        <w:t>heavily</w:t>
      </w:r>
      <w:r>
        <w:rPr>
          <w:spacing w:val="-8"/>
        </w:rPr>
        <w:t> </w:t>
      </w:r>
      <w:r>
        <w:rPr/>
        <w:t>in</w:t>
      </w:r>
      <w:r>
        <w:rPr>
          <w:spacing w:val="-7"/>
        </w:rPr>
        <w:t> </w:t>
      </w:r>
      <w:r>
        <w:rPr/>
        <w:t>both</w:t>
      </w:r>
      <w:r>
        <w:rPr>
          <w:spacing w:val="-7"/>
        </w:rPr>
        <w:t> </w:t>
      </w:r>
      <w:r>
        <w:rPr/>
        <w:t>2019</w:t>
      </w:r>
      <w:r>
        <w:rPr>
          <w:spacing w:val="-7"/>
        </w:rPr>
        <w:t> </w:t>
      </w:r>
      <w:r>
        <w:rPr/>
        <w:t>meetings,</w:t>
      </w:r>
      <w:r>
        <w:rPr>
          <w:spacing w:val="-7"/>
        </w:rPr>
        <w:t> </w:t>
      </w:r>
      <w:r>
        <w:rPr/>
        <w:t>and</w:t>
      </w:r>
      <w:r>
        <w:rPr>
          <w:spacing w:val="-7"/>
        </w:rPr>
        <w:t> </w:t>
      </w:r>
      <w:r>
        <w:rPr/>
        <w:t>it</w:t>
      </w:r>
      <w:r>
        <w:rPr>
          <w:spacing w:val="-4"/>
        </w:rPr>
        <w:t> </w:t>
      </w:r>
      <w:r>
        <w:rPr/>
        <w:t>was</w:t>
      </w:r>
      <w:r>
        <w:rPr>
          <w:spacing w:val="-6"/>
        </w:rPr>
        <w:t> </w:t>
      </w:r>
      <w:r>
        <w:rPr/>
        <w:t>noted that the SLC would continue to return to this topic</w:t>
      </w:r>
      <w:r>
        <w:rPr>
          <w:spacing w:val="-6"/>
        </w:rPr>
        <w:t> </w:t>
      </w:r>
      <w:r>
        <w:rPr/>
        <w:t>regularly.</w:t>
      </w:r>
    </w:p>
    <w:p>
      <w:pPr>
        <w:pStyle w:val="BodyText"/>
        <w:spacing w:line="276" w:lineRule="auto" w:before="194"/>
        <w:ind w:right="114"/>
        <w:jc w:val="both"/>
      </w:pPr>
      <w:r>
        <w:rPr/>
        <w:t>On ESG, members had discussed the various ways their firms were approaching the issue, with most noting that investors would now look at the ESG criteria of a business and their operations in order to inform</w:t>
      </w:r>
      <w:r>
        <w:rPr>
          <w:spacing w:val="-8"/>
        </w:rPr>
        <w:t> </w:t>
      </w:r>
      <w:r>
        <w:rPr/>
        <w:t>investment</w:t>
      </w:r>
      <w:r>
        <w:rPr>
          <w:spacing w:val="-9"/>
        </w:rPr>
        <w:t> </w:t>
      </w:r>
      <w:r>
        <w:rPr/>
        <w:t>decision-making.</w:t>
      </w:r>
      <w:r>
        <w:rPr>
          <w:spacing w:val="37"/>
        </w:rPr>
        <w:t> </w:t>
      </w:r>
      <w:r>
        <w:rPr/>
        <w:t>It</w:t>
      </w:r>
      <w:r>
        <w:rPr>
          <w:spacing w:val="-9"/>
        </w:rPr>
        <w:t> </w:t>
      </w:r>
      <w:r>
        <w:rPr/>
        <w:t>had</w:t>
      </w:r>
      <w:r>
        <w:rPr>
          <w:spacing w:val="-9"/>
        </w:rPr>
        <w:t> </w:t>
      </w:r>
      <w:r>
        <w:rPr/>
        <w:t>been</w:t>
      </w:r>
      <w:r>
        <w:rPr>
          <w:spacing w:val="-7"/>
        </w:rPr>
        <w:t> </w:t>
      </w:r>
      <w:r>
        <w:rPr/>
        <w:t>noted</w:t>
      </w:r>
      <w:r>
        <w:rPr>
          <w:spacing w:val="-9"/>
        </w:rPr>
        <w:t> </w:t>
      </w:r>
      <w:r>
        <w:rPr/>
        <w:t>that</w:t>
      </w:r>
      <w:r>
        <w:rPr>
          <w:spacing w:val="-10"/>
        </w:rPr>
        <w:t> </w:t>
      </w:r>
      <w:r>
        <w:rPr/>
        <w:t>Europe</w:t>
      </w:r>
      <w:r>
        <w:rPr>
          <w:spacing w:val="-9"/>
        </w:rPr>
        <w:t> </w:t>
      </w:r>
      <w:r>
        <w:rPr/>
        <w:t>and</w:t>
      </w:r>
      <w:r>
        <w:rPr>
          <w:spacing w:val="-9"/>
        </w:rPr>
        <w:t> </w:t>
      </w:r>
      <w:r>
        <w:rPr/>
        <w:t>the</w:t>
      </w:r>
      <w:r>
        <w:rPr>
          <w:spacing w:val="-11"/>
        </w:rPr>
        <w:t> </w:t>
      </w:r>
      <w:r>
        <w:rPr/>
        <w:t>UK</w:t>
      </w:r>
      <w:r>
        <w:rPr>
          <w:spacing w:val="-5"/>
        </w:rPr>
        <w:t> </w:t>
      </w:r>
      <w:r>
        <w:rPr/>
        <w:t>were</w:t>
      </w:r>
      <w:r>
        <w:rPr>
          <w:spacing w:val="-10"/>
        </w:rPr>
        <w:t> </w:t>
      </w:r>
      <w:r>
        <w:rPr/>
        <w:t>global</w:t>
      </w:r>
      <w:r>
        <w:rPr>
          <w:spacing w:val="-10"/>
        </w:rPr>
        <w:t> </w:t>
      </w:r>
      <w:r>
        <w:rPr/>
        <w:t>leaders</w:t>
      </w:r>
      <w:r>
        <w:rPr>
          <w:spacing w:val="-8"/>
        </w:rPr>
        <w:t> </w:t>
      </w:r>
      <w:r>
        <w:rPr/>
        <w:t>with respect to ESG investing. It was expected that focus on ESG matters would increase in the future as end-users became more focused on responsible investing. A number of key issues had been highlighted by SLC members for their forward agenda, including the importance of accountability and how</w:t>
      </w:r>
      <w:r>
        <w:rPr>
          <w:spacing w:val="-15"/>
        </w:rPr>
        <w:t> </w:t>
      </w:r>
      <w:r>
        <w:rPr/>
        <w:t>legislation</w:t>
      </w:r>
      <w:r>
        <w:rPr>
          <w:spacing w:val="-13"/>
        </w:rPr>
        <w:t> </w:t>
      </w:r>
      <w:r>
        <w:rPr/>
        <w:t>and</w:t>
      </w:r>
      <w:r>
        <w:rPr>
          <w:spacing w:val="-13"/>
        </w:rPr>
        <w:t> </w:t>
      </w:r>
      <w:r>
        <w:rPr/>
        <w:t>regulation</w:t>
      </w:r>
      <w:r>
        <w:rPr>
          <w:spacing w:val="-10"/>
        </w:rPr>
        <w:t> </w:t>
      </w:r>
      <w:r>
        <w:rPr/>
        <w:t>had</w:t>
      </w:r>
      <w:r>
        <w:rPr>
          <w:spacing w:val="-13"/>
        </w:rPr>
        <w:t> </w:t>
      </w:r>
      <w:r>
        <w:rPr/>
        <w:t>evolved</w:t>
      </w:r>
      <w:r>
        <w:rPr>
          <w:spacing w:val="-13"/>
        </w:rPr>
        <w:t> </w:t>
      </w:r>
      <w:r>
        <w:rPr/>
        <w:t>to</w:t>
      </w:r>
      <w:r>
        <w:rPr>
          <w:spacing w:val="-12"/>
        </w:rPr>
        <w:t> </w:t>
      </w:r>
      <w:r>
        <w:rPr/>
        <w:t>acknowledge</w:t>
      </w:r>
      <w:r>
        <w:rPr>
          <w:spacing w:val="-13"/>
        </w:rPr>
        <w:t> </w:t>
      </w:r>
      <w:r>
        <w:rPr/>
        <w:t>this;</w:t>
      </w:r>
      <w:r>
        <w:rPr>
          <w:spacing w:val="-12"/>
        </w:rPr>
        <w:t> </w:t>
      </w:r>
      <w:r>
        <w:rPr/>
        <w:t>how</w:t>
      </w:r>
      <w:r>
        <w:rPr>
          <w:spacing w:val="-12"/>
        </w:rPr>
        <w:t> </w:t>
      </w:r>
      <w:r>
        <w:rPr/>
        <w:t>ESG</w:t>
      </w:r>
      <w:r>
        <w:rPr>
          <w:spacing w:val="-12"/>
        </w:rPr>
        <w:t> </w:t>
      </w:r>
      <w:r>
        <w:rPr/>
        <w:t>factors</w:t>
      </w:r>
      <w:r>
        <w:rPr>
          <w:spacing w:val="-8"/>
        </w:rPr>
        <w:t> </w:t>
      </w:r>
      <w:r>
        <w:rPr/>
        <w:t>were</w:t>
      </w:r>
      <w:r>
        <w:rPr>
          <w:spacing w:val="-13"/>
        </w:rPr>
        <w:t> </w:t>
      </w:r>
      <w:r>
        <w:rPr/>
        <w:t>being</w:t>
      </w:r>
      <w:r>
        <w:rPr>
          <w:spacing w:val="-10"/>
        </w:rPr>
        <w:t> </w:t>
      </w:r>
      <w:r>
        <w:rPr/>
        <w:t>integrated among</w:t>
      </w:r>
      <w:r>
        <w:rPr>
          <w:spacing w:val="-13"/>
        </w:rPr>
        <w:t> </w:t>
      </w:r>
      <w:r>
        <w:rPr/>
        <w:t>asset</w:t>
      </w:r>
      <w:r>
        <w:rPr>
          <w:spacing w:val="-12"/>
        </w:rPr>
        <w:t> </w:t>
      </w:r>
      <w:r>
        <w:rPr/>
        <w:t>managers</w:t>
      </w:r>
      <w:r>
        <w:rPr>
          <w:spacing w:val="-10"/>
        </w:rPr>
        <w:t> </w:t>
      </w:r>
      <w:r>
        <w:rPr/>
        <w:t>and</w:t>
      </w:r>
      <w:r>
        <w:rPr>
          <w:spacing w:val="-11"/>
        </w:rPr>
        <w:t> </w:t>
      </w:r>
      <w:r>
        <w:rPr/>
        <w:t>asset</w:t>
      </w:r>
      <w:r>
        <w:rPr>
          <w:spacing w:val="-12"/>
        </w:rPr>
        <w:t> </w:t>
      </w:r>
      <w:r>
        <w:rPr/>
        <w:t>owners;</w:t>
      </w:r>
      <w:r>
        <w:rPr>
          <w:spacing w:val="-12"/>
        </w:rPr>
        <w:t> </w:t>
      </w:r>
      <w:r>
        <w:rPr/>
        <w:t>and</w:t>
      </w:r>
      <w:r>
        <w:rPr>
          <w:spacing w:val="-10"/>
        </w:rPr>
        <w:t> </w:t>
      </w:r>
      <w:r>
        <w:rPr/>
        <w:t>the</w:t>
      </w:r>
      <w:r>
        <w:rPr>
          <w:spacing w:val="-10"/>
        </w:rPr>
        <w:t> </w:t>
      </w:r>
      <w:r>
        <w:rPr/>
        <w:t>difficulties</w:t>
      </w:r>
      <w:r>
        <w:rPr>
          <w:spacing w:val="-11"/>
        </w:rPr>
        <w:t> </w:t>
      </w:r>
      <w:r>
        <w:rPr/>
        <w:t>in</w:t>
      </w:r>
      <w:r>
        <w:rPr>
          <w:spacing w:val="-13"/>
        </w:rPr>
        <w:t> </w:t>
      </w:r>
      <w:r>
        <w:rPr/>
        <w:t>determining</w:t>
      </w:r>
      <w:r>
        <w:rPr>
          <w:spacing w:val="-12"/>
        </w:rPr>
        <w:t> </w:t>
      </w:r>
      <w:r>
        <w:rPr/>
        <w:t>the</w:t>
      </w:r>
      <w:r>
        <w:rPr>
          <w:spacing w:val="-12"/>
        </w:rPr>
        <w:t> </w:t>
      </w:r>
      <w:r>
        <w:rPr/>
        <w:t>share</w:t>
      </w:r>
      <w:r>
        <w:rPr>
          <w:spacing w:val="-12"/>
        </w:rPr>
        <w:t> </w:t>
      </w:r>
      <w:r>
        <w:rPr/>
        <w:t>of</w:t>
      </w:r>
      <w:r>
        <w:rPr>
          <w:spacing w:val="-11"/>
        </w:rPr>
        <w:t> </w:t>
      </w:r>
      <w:r>
        <w:rPr/>
        <w:t>ESG</w:t>
      </w:r>
      <w:r>
        <w:rPr>
          <w:spacing w:val="-11"/>
        </w:rPr>
        <w:t> </w:t>
      </w:r>
      <w:r>
        <w:rPr/>
        <w:t>investing as these securities were not classified in a binary way but in a sliding</w:t>
      </w:r>
      <w:r>
        <w:rPr>
          <w:spacing w:val="-7"/>
        </w:rPr>
        <w:t> </w:t>
      </w:r>
      <w:r>
        <w:rPr/>
        <w:t>scale.</w:t>
      </w:r>
    </w:p>
    <w:p>
      <w:pPr>
        <w:pStyle w:val="BodyText"/>
        <w:spacing w:before="4"/>
        <w:ind w:left="0"/>
        <w:rPr>
          <w:sz w:val="17"/>
        </w:rPr>
      </w:pPr>
    </w:p>
    <w:p>
      <w:pPr>
        <w:pStyle w:val="Heading1"/>
        <w:jc w:val="both"/>
      </w:pPr>
      <w:r>
        <w:rPr/>
        <w:t>Item 8. AOB</w:t>
      </w:r>
    </w:p>
    <w:p>
      <w:pPr>
        <w:pStyle w:val="BodyText"/>
        <w:spacing w:before="8"/>
        <w:ind w:left="0"/>
        <w:rPr>
          <w:b/>
        </w:rPr>
      </w:pPr>
    </w:p>
    <w:p>
      <w:pPr>
        <w:pStyle w:val="BodyText"/>
        <w:spacing w:before="1"/>
        <w:jc w:val="both"/>
      </w:pPr>
      <w:r>
        <w:rPr/>
        <w:t>The Chair noted that the next meeting would take place at the Bank on 4 March 2020.</w:t>
      </w:r>
    </w:p>
    <w:p>
      <w:pPr>
        <w:spacing w:after="0"/>
        <w:jc w:val="both"/>
        <w:sectPr>
          <w:pgSz w:w="11910" w:h="16840"/>
          <w:pgMar w:header="735" w:footer="0" w:top="1660" w:bottom="280" w:left="1000" w:right="1320"/>
        </w:sectPr>
      </w:pPr>
    </w:p>
    <w:p>
      <w:pPr>
        <w:pStyle w:val="BodyText"/>
        <w:spacing w:line="278" w:lineRule="auto" w:before="143"/>
        <w:ind w:right="114"/>
      </w:pPr>
      <w:r>
        <w:rPr/>
        <w:t>The Chair invited members of the Committee to contact the Secretariat should they wish to host future meetings.</w:t>
      </w:r>
    </w:p>
    <w:sectPr>
      <w:pgSz w:w="11910" w:h="16840"/>
      <w:pgMar w:header="735" w:footer="0" w:top="1660" w:bottom="280" w:left="10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drawing>
        <wp:anchor distT="0" distB="0" distL="0" distR="0" allowOverlap="1" layoutInCell="1" locked="0" behindDoc="1" simplePos="0" relativeHeight="251292672">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251293696">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251294720">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251295744">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251296768">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251297792">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251298816">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251299840">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251300864">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251301888">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251302912">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251303936">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251304960">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251305984">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440"/>
    </w:pPr>
    <w:rPr>
      <w:rFonts w:ascii="Arial" w:hAnsi="Arial" w:eastAsia="Arial" w:cs="Arial"/>
      <w:sz w:val="20"/>
      <w:szCs w:val="20"/>
      <w:lang w:val="en-gb" w:eastAsia="en-gb" w:bidi="en-gb"/>
    </w:rPr>
  </w:style>
  <w:style w:styleId="Heading1" w:type="paragraph">
    <w:name w:val="Heading 1"/>
    <w:basedOn w:val="Normal"/>
    <w:uiPriority w:val="1"/>
    <w:qFormat/>
    <w:pPr>
      <w:ind w:left="4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Money Markets Committee minutes - January 2020</dc:title>
  <dcterms:created xsi:type="dcterms:W3CDTF">2020-06-01T02:00:35Z</dcterms:created>
  <dcterms:modified xsi:type="dcterms:W3CDTF">2020-06-01T02:00:35Z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LastSaved">
    <vt:filetime>2020-06-01T00:00:00Z</vt:filetime>
  </property>
</Properties>
</file>