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spacing w:before="9"/>
        <w:rPr>
          <w:rFonts w:ascii="Times New Roman"/>
          <w:sz w:val="21"/>
        </w:rPr>
      </w:pPr>
    </w:p>
    <w:tbl>
      <w:tblPr>
        <w:tblW w:w="0" w:type="auto"/>
        <w:jc w:val="left"/>
        <w:tblInd w:w="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9"/>
        <w:gridCol w:w="8485"/>
      </w:tblGrid>
      <w:tr>
        <w:trPr>
          <w:trHeight w:val="665" w:hRule="atLeast"/>
        </w:trPr>
        <w:tc>
          <w:tcPr>
            <w:tcW w:w="9784" w:type="dxa"/>
            <w:gridSpan w:val="2"/>
          </w:tcPr>
          <w:p>
            <w:pPr>
              <w:pStyle w:val="TableParagraph"/>
              <w:spacing w:line="491" w:lineRule="exact"/>
              <w:rPr>
                <w:sz w:val="44"/>
              </w:rPr>
            </w:pPr>
            <w:r>
              <w:rPr>
                <w:sz w:val="44"/>
              </w:rPr>
              <w:t>Minutes</w:t>
            </w:r>
          </w:p>
        </w:tc>
      </w:tr>
      <w:tr>
        <w:trPr>
          <w:trHeight w:val="467" w:hRule="atLeast"/>
        </w:trPr>
        <w:tc>
          <w:tcPr>
            <w:tcW w:w="9784" w:type="dxa"/>
            <w:gridSpan w:val="2"/>
          </w:tcPr>
          <w:p>
            <w:pPr>
              <w:pStyle w:val="TableParagraph"/>
              <w:spacing w:before="167"/>
              <w:rPr>
                <w:b/>
                <w:sz w:val="24"/>
              </w:rPr>
            </w:pPr>
            <w:r>
              <w:rPr>
                <w:b/>
                <w:sz w:val="24"/>
              </w:rPr>
              <w:t>Foreign Exchange Joint Standing Committee Legal Sub-Committee</w:t>
            </w:r>
          </w:p>
        </w:tc>
      </w:tr>
      <w:tr>
        <w:trPr>
          <w:trHeight w:val="565" w:hRule="atLeast"/>
        </w:trPr>
        <w:tc>
          <w:tcPr>
            <w:tcW w:w="9784" w:type="dxa"/>
            <w:gridSpan w:val="2"/>
            <w:tcBorders>
              <w:bottom w:val="single" w:sz="4" w:space="0" w:color="000000"/>
            </w:tcBorders>
          </w:tcPr>
          <w:p>
            <w:pPr>
              <w:pStyle w:val="TableParagraph"/>
              <w:spacing w:before="16"/>
              <w:rPr>
                <w:sz w:val="24"/>
              </w:rPr>
            </w:pPr>
            <w:r>
              <w:rPr>
                <w:sz w:val="24"/>
              </w:rPr>
              <w:t>10 September 2019</w:t>
            </w:r>
          </w:p>
        </w:tc>
      </w:tr>
      <w:tr>
        <w:trPr>
          <w:trHeight w:val="579" w:hRule="atLeast"/>
        </w:trPr>
        <w:tc>
          <w:tcPr>
            <w:tcW w:w="1299" w:type="dxa"/>
            <w:tcBorders>
              <w:top w:val="single" w:sz="4" w:space="0" w:color="000000"/>
            </w:tcBorders>
          </w:tcPr>
          <w:p>
            <w:pPr>
              <w:pStyle w:val="TableParagraph"/>
              <w:spacing w:before="8"/>
              <w:rPr>
                <w:rFonts w:ascii="Times New Roman"/>
                <w:sz w:val="18"/>
              </w:rPr>
            </w:pPr>
          </w:p>
          <w:p>
            <w:pPr>
              <w:pStyle w:val="TableParagraph"/>
              <w:rPr>
                <w:sz w:val="20"/>
              </w:rPr>
            </w:pPr>
            <w:r>
              <w:rPr>
                <w:sz w:val="20"/>
              </w:rPr>
              <w:t>Location:</w:t>
            </w:r>
          </w:p>
        </w:tc>
        <w:tc>
          <w:tcPr>
            <w:tcW w:w="8485" w:type="dxa"/>
            <w:tcBorders>
              <w:top w:val="single" w:sz="4" w:space="0" w:color="000000"/>
            </w:tcBorders>
          </w:tcPr>
          <w:p>
            <w:pPr>
              <w:pStyle w:val="TableParagraph"/>
              <w:spacing w:before="8"/>
              <w:rPr>
                <w:rFonts w:ascii="Times New Roman"/>
                <w:sz w:val="18"/>
              </w:rPr>
            </w:pPr>
          </w:p>
          <w:p>
            <w:pPr>
              <w:pStyle w:val="TableParagraph"/>
              <w:ind w:left="191"/>
              <w:rPr>
                <w:sz w:val="20"/>
              </w:rPr>
            </w:pPr>
            <w:r>
              <w:rPr>
                <w:sz w:val="20"/>
              </w:rPr>
              <w:t>Bank of England, Threadneedle Street, London EC2R 8AH</w:t>
            </w:r>
          </w:p>
        </w:tc>
      </w:tr>
      <w:tr>
        <w:trPr>
          <w:trHeight w:val="3402" w:hRule="atLeast"/>
        </w:trPr>
        <w:tc>
          <w:tcPr>
            <w:tcW w:w="1299" w:type="dxa"/>
          </w:tcPr>
          <w:p>
            <w:pPr>
              <w:pStyle w:val="TableParagraph"/>
              <w:spacing w:before="130"/>
              <w:rPr>
                <w:sz w:val="20"/>
              </w:rPr>
            </w:pPr>
            <w:r>
              <w:rPr>
                <w:sz w:val="20"/>
              </w:rPr>
              <w:t>Attendees:</w:t>
            </w:r>
          </w:p>
        </w:tc>
        <w:tc>
          <w:tcPr>
            <w:tcW w:w="8485" w:type="dxa"/>
          </w:tcPr>
          <w:p>
            <w:pPr>
              <w:pStyle w:val="TableParagraph"/>
              <w:spacing w:line="276" w:lineRule="auto" w:before="127"/>
              <w:ind w:left="191" w:right="2760"/>
              <w:rPr>
                <w:sz w:val="20"/>
              </w:rPr>
            </w:pPr>
            <w:r>
              <w:rPr>
                <w:b/>
                <w:sz w:val="20"/>
              </w:rPr>
              <w:t>Bank of England</w:t>
            </w:r>
            <w:r>
              <w:rPr>
                <w:sz w:val="20"/>
              </w:rPr>
              <w:t>: Jonathan Grant (Secretary), Paul Avanzato </w:t>
            </w:r>
            <w:r>
              <w:rPr>
                <w:b/>
                <w:sz w:val="20"/>
              </w:rPr>
              <w:t>Bank of England: </w:t>
            </w:r>
            <w:r>
              <w:rPr>
                <w:sz w:val="20"/>
              </w:rPr>
              <w:t>Grigoria Christodoulou (Guest Speaker) </w:t>
            </w:r>
            <w:r>
              <w:rPr>
                <w:b/>
                <w:sz w:val="20"/>
              </w:rPr>
              <w:t>Goldman Sachs</w:t>
            </w:r>
            <w:r>
              <w:rPr>
                <w:sz w:val="20"/>
              </w:rPr>
              <w:t>: Dan Parker (Chair)</w:t>
            </w:r>
          </w:p>
          <w:p>
            <w:pPr>
              <w:pStyle w:val="TableParagraph"/>
              <w:spacing w:before="1"/>
              <w:ind w:left="191"/>
              <w:rPr>
                <w:sz w:val="20"/>
              </w:rPr>
            </w:pPr>
            <w:r>
              <w:rPr>
                <w:b/>
                <w:sz w:val="20"/>
              </w:rPr>
              <w:t>Financial Conduct Authority (FCA)</w:t>
            </w:r>
            <w:r>
              <w:rPr>
                <w:sz w:val="20"/>
              </w:rPr>
              <w:t>: David Harris</w:t>
            </w:r>
          </w:p>
          <w:p>
            <w:pPr>
              <w:pStyle w:val="TableParagraph"/>
              <w:spacing w:before="35"/>
              <w:ind w:left="191"/>
              <w:rPr>
                <w:sz w:val="20"/>
              </w:rPr>
            </w:pPr>
            <w:r>
              <w:rPr>
                <w:b/>
                <w:sz w:val="20"/>
              </w:rPr>
              <w:t>CLS</w:t>
            </w:r>
            <w:r>
              <w:rPr>
                <w:sz w:val="20"/>
              </w:rPr>
              <w:t>: Gaynor Wood</w:t>
            </w:r>
          </w:p>
          <w:p>
            <w:pPr>
              <w:pStyle w:val="TableParagraph"/>
              <w:spacing w:before="34"/>
              <w:ind w:left="191"/>
              <w:rPr>
                <w:sz w:val="20"/>
              </w:rPr>
            </w:pPr>
            <w:r>
              <w:rPr>
                <w:b/>
                <w:sz w:val="20"/>
              </w:rPr>
              <w:t>RBS/Natwest Markets</w:t>
            </w:r>
            <w:r>
              <w:rPr>
                <w:sz w:val="20"/>
              </w:rPr>
              <w:t>: Baljit Saini</w:t>
            </w:r>
          </w:p>
          <w:p>
            <w:pPr>
              <w:pStyle w:val="TableParagraph"/>
              <w:spacing w:before="34"/>
              <w:ind w:left="191"/>
              <w:rPr>
                <w:sz w:val="20"/>
              </w:rPr>
            </w:pPr>
            <w:r>
              <w:rPr>
                <w:b/>
                <w:sz w:val="20"/>
              </w:rPr>
              <w:t>Bank of America Merrill Lynch</w:t>
            </w:r>
            <w:r>
              <w:rPr>
                <w:sz w:val="20"/>
              </w:rPr>
              <w:t>: Jateen Shah</w:t>
            </w:r>
          </w:p>
          <w:p>
            <w:pPr>
              <w:pStyle w:val="TableParagraph"/>
              <w:spacing w:line="276" w:lineRule="auto" w:before="36"/>
              <w:ind w:left="191" w:right="4983"/>
              <w:rPr>
                <w:sz w:val="20"/>
              </w:rPr>
            </w:pPr>
            <w:r>
              <w:rPr>
                <w:b/>
                <w:sz w:val="20"/>
              </w:rPr>
              <w:t>Deutsche Bank</w:t>
            </w:r>
            <w:r>
              <w:rPr>
                <w:sz w:val="20"/>
              </w:rPr>
              <w:t>: Simon Goldsworthy </w:t>
            </w:r>
            <w:r>
              <w:rPr>
                <w:b/>
                <w:sz w:val="20"/>
              </w:rPr>
              <w:t>HSBC</w:t>
            </w:r>
            <w:r>
              <w:rPr>
                <w:sz w:val="20"/>
              </w:rPr>
              <w:t>: Harkamal Singh Atwal </w:t>
            </w:r>
            <w:r>
              <w:rPr>
                <w:b/>
                <w:sz w:val="20"/>
              </w:rPr>
              <w:t>Standard Chartered</w:t>
            </w:r>
            <w:r>
              <w:rPr>
                <w:sz w:val="20"/>
              </w:rPr>
              <w:t>: Rakesh Shah </w:t>
            </w:r>
            <w:r>
              <w:rPr>
                <w:b/>
                <w:sz w:val="20"/>
              </w:rPr>
              <w:t>UBS: </w:t>
            </w:r>
            <w:r>
              <w:rPr>
                <w:sz w:val="20"/>
              </w:rPr>
              <w:t>Krisha Somaiya</w:t>
            </w:r>
          </w:p>
          <w:p>
            <w:pPr>
              <w:pStyle w:val="TableParagraph"/>
              <w:spacing w:line="228" w:lineRule="exact"/>
              <w:ind w:left="191"/>
              <w:rPr>
                <w:sz w:val="20"/>
              </w:rPr>
            </w:pPr>
            <w:r>
              <w:rPr>
                <w:b/>
                <w:sz w:val="20"/>
              </w:rPr>
              <w:t>XTX Markets</w:t>
            </w:r>
            <w:r>
              <w:rPr>
                <w:sz w:val="20"/>
              </w:rPr>
              <w:t>: Sunil Samani</w:t>
            </w:r>
          </w:p>
        </w:tc>
      </w:tr>
      <w:tr>
        <w:trPr>
          <w:trHeight w:val="892" w:hRule="atLeast"/>
        </w:trPr>
        <w:tc>
          <w:tcPr>
            <w:tcW w:w="1299" w:type="dxa"/>
          </w:tcPr>
          <w:p>
            <w:pPr>
              <w:pStyle w:val="TableParagraph"/>
              <w:spacing w:before="131"/>
              <w:rPr>
                <w:sz w:val="20"/>
              </w:rPr>
            </w:pPr>
            <w:r>
              <w:rPr>
                <w:sz w:val="20"/>
              </w:rPr>
              <w:t>Dialled in:</w:t>
            </w:r>
          </w:p>
        </w:tc>
        <w:tc>
          <w:tcPr>
            <w:tcW w:w="8485" w:type="dxa"/>
          </w:tcPr>
          <w:p>
            <w:pPr>
              <w:pStyle w:val="TableParagraph"/>
              <w:spacing w:before="128"/>
              <w:ind w:left="191"/>
              <w:rPr>
                <w:sz w:val="20"/>
              </w:rPr>
            </w:pPr>
            <w:r>
              <w:rPr>
                <w:b/>
                <w:sz w:val="20"/>
              </w:rPr>
              <w:t>Barclays</w:t>
            </w:r>
            <w:r>
              <w:rPr>
                <w:sz w:val="20"/>
              </w:rPr>
              <w:t>: Nasia Pachiti Pallikaropoulou</w:t>
            </w:r>
          </w:p>
          <w:p>
            <w:pPr>
              <w:pStyle w:val="TableParagraph"/>
              <w:spacing w:before="37"/>
              <w:ind w:left="191"/>
              <w:rPr>
                <w:sz w:val="20"/>
              </w:rPr>
            </w:pPr>
            <w:r>
              <w:rPr>
                <w:b/>
                <w:sz w:val="20"/>
              </w:rPr>
              <w:t>Citigroup</w:t>
            </w:r>
            <w:r>
              <w:rPr>
                <w:sz w:val="20"/>
              </w:rPr>
              <w:t>: Sharon Blackman</w:t>
            </w:r>
          </w:p>
        </w:tc>
      </w:tr>
      <w:tr>
        <w:trPr>
          <w:trHeight w:val="1780" w:hRule="atLeast"/>
        </w:trPr>
        <w:tc>
          <w:tcPr>
            <w:tcW w:w="1299" w:type="dxa"/>
          </w:tcPr>
          <w:p>
            <w:pPr>
              <w:pStyle w:val="TableParagraph"/>
              <w:spacing w:before="10"/>
              <w:rPr>
                <w:rFonts w:ascii="Times New Roman"/>
                <w:sz w:val="22"/>
              </w:rPr>
            </w:pPr>
          </w:p>
          <w:p>
            <w:pPr>
              <w:pStyle w:val="TableParagraph"/>
              <w:rPr>
                <w:sz w:val="20"/>
              </w:rPr>
            </w:pPr>
            <w:r>
              <w:rPr>
                <w:sz w:val="20"/>
              </w:rPr>
              <w:t>Apologies:</w:t>
            </w:r>
          </w:p>
        </w:tc>
        <w:tc>
          <w:tcPr>
            <w:tcW w:w="8485" w:type="dxa"/>
          </w:tcPr>
          <w:p>
            <w:pPr>
              <w:pStyle w:val="TableParagraph"/>
              <w:spacing w:before="7"/>
              <w:rPr>
                <w:rFonts w:ascii="Times New Roman"/>
                <w:sz w:val="22"/>
              </w:rPr>
            </w:pPr>
          </w:p>
          <w:p>
            <w:pPr>
              <w:pStyle w:val="TableParagraph"/>
              <w:ind w:left="191"/>
              <w:rPr>
                <w:sz w:val="20"/>
              </w:rPr>
            </w:pPr>
            <w:r>
              <w:rPr>
                <w:b/>
                <w:sz w:val="20"/>
              </w:rPr>
              <w:t>Morgan Stanley</w:t>
            </w:r>
            <w:r>
              <w:rPr>
                <w:sz w:val="20"/>
              </w:rPr>
              <w:t>: Nimisha Kanabar</w:t>
            </w:r>
          </w:p>
          <w:p>
            <w:pPr>
              <w:pStyle w:val="TableParagraph"/>
              <w:spacing w:line="276" w:lineRule="auto" w:before="34"/>
              <w:ind w:left="191" w:right="5950"/>
              <w:rPr>
                <w:sz w:val="20"/>
              </w:rPr>
            </w:pPr>
            <w:r>
              <w:rPr>
                <w:b/>
                <w:sz w:val="20"/>
              </w:rPr>
              <w:t>LCH</w:t>
            </w:r>
            <w:r>
              <w:rPr>
                <w:sz w:val="20"/>
              </w:rPr>
              <w:t>: Diane Bouwmeester </w:t>
            </w:r>
            <w:r>
              <w:rPr>
                <w:b/>
                <w:sz w:val="20"/>
              </w:rPr>
              <w:t>JP Morgan</w:t>
            </w:r>
            <w:r>
              <w:rPr>
                <w:sz w:val="20"/>
              </w:rPr>
              <w:t>: Tamsin Rolls </w:t>
            </w:r>
            <w:r>
              <w:rPr>
                <w:b/>
                <w:sz w:val="20"/>
              </w:rPr>
              <w:t>TP ICAP</w:t>
            </w:r>
            <w:r>
              <w:rPr>
                <w:sz w:val="20"/>
              </w:rPr>
              <w:t>: Simon Helm </w:t>
            </w:r>
            <w:r>
              <w:rPr>
                <w:b/>
                <w:sz w:val="20"/>
              </w:rPr>
              <w:t>UBS</w:t>
            </w:r>
            <w:r>
              <w:rPr>
                <w:sz w:val="20"/>
              </w:rPr>
              <w:t>: Richard Lamb</w:t>
            </w:r>
          </w:p>
        </w:tc>
      </w:tr>
      <w:tr>
        <w:trPr>
          <w:trHeight w:val="582" w:hRule="atLeast"/>
        </w:trPr>
        <w:tc>
          <w:tcPr>
            <w:tcW w:w="1299" w:type="dxa"/>
          </w:tcPr>
          <w:p>
            <w:pPr>
              <w:pStyle w:val="TableParagraph"/>
              <w:spacing w:before="7"/>
              <w:rPr>
                <w:rFonts w:ascii="Times New Roman"/>
                <w:sz w:val="19"/>
              </w:rPr>
            </w:pPr>
          </w:p>
          <w:p>
            <w:pPr>
              <w:pStyle w:val="TableParagraph"/>
              <w:ind w:left="108"/>
              <w:rPr>
                <w:b/>
                <w:sz w:val="20"/>
              </w:rPr>
            </w:pPr>
            <w:r>
              <w:rPr>
                <w:b/>
                <w:sz w:val="20"/>
              </w:rPr>
              <w:t>Minute no.</w:t>
            </w:r>
          </w:p>
        </w:tc>
        <w:tc>
          <w:tcPr>
            <w:tcW w:w="8485" w:type="dxa"/>
          </w:tcPr>
          <w:p>
            <w:pPr>
              <w:pStyle w:val="TableParagraph"/>
              <w:spacing w:before="7"/>
              <w:rPr>
                <w:rFonts w:ascii="Times New Roman"/>
                <w:sz w:val="19"/>
              </w:rPr>
            </w:pPr>
          </w:p>
          <w:p>
            <w:pPr>
              <w:pStyle w:val="TableParagraph"/>
              <w:ind w:left="299"/>
              <w:rPr>
                <w:b/>
                <w:sz w:val="20"/>
              </w:rPr>
            </w:pPr>
            <w:r>
              <w:rPr>
                <w:b/>
                <w:sz w:val="20"/>
              </w:rPr>
              <w:t>Minute</w:t>
            </w:r>
          </w:p>
        </w:tc>
      </w:tr>
      <w:tr>
        <w:trPr>
          <w:trHeight w:val="934" w:hRule="atLeast"/>
        </w:trPr>
        <w:tc>
          <w:tcPr>
            <w:tcW w:w="1299" w:type="dxa"/>
          </w:tcPr>
          <w:p>
            <w:pPr>
              <w:pStyle w:val="TableParagraph"/>
              <w:spacing w:before="121"/>
              <w:ind w:left="108"/>
              <w:rPr>
                <w:sz w:val="20"/>
              </w:rPr>
            </w:pPr>
            <w:r>
              <w:rPr>
                <w:sz w:val="20"/>
              </w:rPr>
              <w:t>1.</w:t>
            </w:r>
          </w:p>
        </w:tc>
        <w:tc>
          <w:tcPr>
            <w:tcW w:w="8485" w:type="dxa"/>
          </w:tcPr>
          <w:p>
            <w:pPr>
              <w:pStyle w:val="TableParagraph"/>
              <w:spacing w:before="119"/>
              <w:ind w:left="299"/>
              <w:rPr>
                <w:b/>
                <w:sz w:val="20"/>
              </w:rPr>
            </w:pPr>
            <w:r>
              <w:rPr>
                <w:b/>
                <w:sz w:val="20"/>
              </w:rPr>
              <w:t>Introduction and Minutes</w:t>
            </w:r>
          </w:p>
          <w:p>
            <w:pPr>
              <w:pStyle w:val="TableParagraph"/>
              <w:spacing w:before="3"/>
              <w:rPr>
                <w:rFonts w:ascii="Times New Roman"/>
                <w:sz w:val="20"/>
              </w:rPr>
            </w:pPr>
          </w:p>
          <w:p>
            <w:pPr>
              <w:pStyle w:val="TableParagraph"/>
              <w:ind w:left="299"/>
              <w:rPr>
                <w:sz w:val="20"/>
              </w:rPr>
            </w:pPr>
            <w:r>
              <w:rPr>
                <w:sz w:val="20"/>
              </w:rPr>
              <w:t>The minutes of the 18 June 2018 meeting were approved.</w:t>
            </w:r>
          </w:p>
        </w:tc>
      </w:tr>
      <w:tr>
        <w:trPr>
          <w:trHeight w:val="3108" w:hRule="atLeast"/>
        </w:trPr>
        <w:tc>
          <w:tcPr>
            <w:tcW w:w="1299" w:type="dxa"/>
          </w:tcPr>
          <w:p>
            <w:pPr>
              <w:pStyle w:val="TableParagraph"/>
              <w:spacing w:before="118"/>
              <w:ind w:left="108"/>
              <w:rPr>
                <w:sz w:val="20"/>
              </w:rPr>
            </w:pPr>
            <w:r>
              <w:rPr>
                <w:sz w:val="20"/>
              </w:rPr>
              <w:t>2.</w:t>
            </w:r>
          </w:p>
        </w:tc>
        <w:tc>
          <w:tcPr>
            <w:tcW w:w="8485" w:type="dxa"/>
          </w:tcPr>
          <w:p>
            <w:pPr>
              <w:pStyle w:val="TableParagraph"/>
              <w:spacing w:before="115"/>
              <w:ind w:left="299"/>
              <w:jc w:val="both"/>
              <w:rPr>
                <w:b/>
                <w:sz w:val="20"/>
              </w:rPr>
            </w:pPr>
            <w:r>
              <w:rPr>
                <w:b/>
                <w:sz w:val="20"/>
              </w:rPr>
              <w:t>FX Global Code – 3-year Review update</w:t>
            </w:r>
          </w:p>
          <w:p>
            <w:pPr>
              <w:pStyle w:val="TableParagraph"/>
              <w:spacing w:before="3"/>
              <w:rPr>
                <w:rFonts w:ascii="Times New Roman"/>
                <w:sz w:val="20"/>
              </w:rPr>
            </w:pPr>
          </w:p>
          <w:p>
            <w:pPr>
              <w:pStyle w:val="TableParagraph"/>
              <w:ind w:left="299" w:right="1665"/>
              <w:jc w:val="both"/>
              <w:rPr>
                <w:sz w:val="20"/>
              </w:rPr>
            </w:pPr>
            <w:r>
              <w:rPr>
                <w:sz w:val="20"/>
              </w:rPr>
              <w:t>Grigoria Christodoulou of the FXJSC Secretariat reported that the GFXC had begun planning for a three-year review of the FX Global Code, which was scheduled to take place in 2020. The GFXC would solicit feedback from a wide range of market participants, including the FXJSC in the UK, in preparation for the review. Key topics proposed by FXJSC members for the review included further guidance on disclosures and initiatives that could help support further buy-side engagement with the Code. It was agreed that the Legal Sub-Committee (</w:t>
            </w:r>
            <w:r>
              <w:rPr>
                <w:b/>
                <w:sz w:val="20"/>
              </w:rPr>
              <w:t>LSC</w:t>
            </w:r>
            <w:r>
              <w:rPr>
                <w:sz w:val="20"/>
              </w:rPr>
              <w:t>) could assist in the review process if each LSC member firm submitted to the LSC Secretariat its ‘top three’ areas of the Code which, in their view, the review should</w:t>
            </w:r>
            <w:r>
              <w:rPr>
                <w:spacing w:val="32"/>
                <w:sz w:val="20"/>
              </w:rPr>
              <w:t> </w:t>
            </w:r>
            <w:r>
              <w:rPr>
                <w:sz w:val="20"/>
              </w:rPr>
              <w:t>focus</w:t>
            </w:r>
          </w:p>
          <w:p>
            <w:pPr>
              <w:pStyle w:val="TableParagraph"/>
              <w:spacing w:line="210" w:lineRule="exact"/>
              <w:ind w:left="299"/>
              <w:rPr>
                <w:sz w:val="20"/>
              </w:rPr>
            </w:pPr>
            <w:r>
              <w:rPr>
                <w:sz w:val="20"/>
              </w:rPr>
              <w:t>upon.</w:t>
            </w:r>
          </w:p>
        </w:tc>
      </w:tr>
    </w:tbl>
    <w:p>
      <w:pPr>
        <w:spacing w:after="0" w:line="210" w:lineRule="exact"/>
        <w:rPr>
          <w:sz w:val="20"/>
        </w:rPr>
        <w:sectPr>
          <w:type w:val="continuous"/>
          <w:pgSz w:w="11910" w:h="16840"/>
          <w:pgMar w:top="1580" w:bottom="280" w:left="860" w:right="960"/>
        </w:sectPr>
      </w:pPr>
    </w:p>
    <w:p>
      <w:pPr>
        <w:pStyle w:val="BodyText"/>
        <w:spacing w:before="67"/>
        <w:ind w:right="396"/>
        <w:jc w:val="right"/>
      </w:pPr>
      <w:r>
        <w:rPr>
          <w:w w:val="99"/>
        </w:rPr>
        <w:t>2</w:t>
      </w:r>
    </w:p>
    <w:p>
      <w:pPr>
        <w:pStyle w:val="BodyText"/>
        <w:spacing w:before="8"/>
        <w:rPr>
          <w:sz w:val="29"/>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8"/>
        <w:gridCol w:w="7381"/>
      </w:tblGrid>
      <w:tr>
        <w:trPr>
          <w:trHeight w:val="2648" w:hRule="atLeast"/>
        </w:trPr>
        <w:tc>
          <w:tcPr>
            <w:tcW w:w="1028" w:type="dxa"/>
          </w:tcPr>
          <w:p>
            <w:pPr>
              <w:pStyle w:val="TableParagraph"/>
              <w:spacing w:line="225" w:lineRule="exact"/>
              <w:ind w:left="200"/>
              <w:rPr>
                <w:sz w:val="20"/>
              </w:rPr>
            </w:pPr>
            <w:r>
              <w:rPr>
                <w:sz w:val="20"/>
              </w:rPr>
              <w:t>3.</w:t>
            </w:r>
          </w:p>
        </w:tc>
        <w:tc>
          <w:tcPr>
            <w:tcW w:w="7381" w:type="dxa"/>
          </w:tcPr>
          <w:p>
            <w:pPr>
              <w:pStyle w:val="TableParagraph"/>
              <w:spacing w:line="223" w:lineRule="exact"/>
              <w:ind w:left="662"/>
              <w:jc w:val="both"/>
              <w:rPr>
                <w:b/>
                <w:sz w:val="20"/>
              </w:rPr>
            </w:pPr>
            <w:r>
              <w:rPr>
                <w:b/>
                <w:sz w:val="20"/>
              </w:rPr>
              <w:t>CLS and the FX Markets</w:t>
            </w:r>
          </w:p>
          <w:p>
            <w:pPr>
              <w:pStyle w:val="TableParagraph"/>
              <w:spacing w:before="3"/>
              <w:rPr>
                <w:sz w:val="20"/>
              </w:rPr>
            </w:pPr>
          </w:p>
          <w:p>
            <w:pPr>
              <w:pStyle w:val="TableParagraph"/>
              <w:ind w:left="662" w:right="201"/>
              <w:jc w:val="both"/>
              <w:rPr>
                <w:sz w:val="20"/>
              </w:rPr>
            </w:pPr>
            <w:r>
              <w:rPr>
                <w:sz w:val="20"/>
              </w:rPr>
              <w:t>Gaynor Wood, General Counsel of CLS, gave an overview of the role of CLS in the global FX markets. This included an explanation of the legal, regulatory and contractual framework under which CLS operates; its three main business lines (settlement, processing and data); the importance of the principle of ‘finality’ of funding and payments; and the impact of Brexit. Reference was made to key documentation publicly available on the CLS web page which contains CLS’s regulatory information and its Principles for Financial Market Infrastructures Disclosure.</w:t>
            </w:r>
          </w:p>
        </w:tc>
      </w:tr>
      <w:tr>
        <w:trPr>
          <w:trHeight w:val="2535" w:hRule="atLeast"/>
        </w:trPr>
        <w:tc>
          <w:tcPr>
            <w:tcW w:w="1028" w:type="dxa"/>
          </w:tcPr>
          <w:p>
            <w:pPr>
              <w:pStyle w:val="TableParagraph"/>
              <w:spacing w:before="116"/>
              <w:ind w:left="200"/>
              <w:rPr>
                <w:sz w:val="20"/>
              </w:rPr>
            </w:pPr>
            <w:r>
              <w:rPr>
                <w:sz w:val="20"/>
              </w:rPr>
              <w:t>4.</w:t>
            </w:r>
          </w:p>
        </w:tc>
        <w:tc>
          <w:tcPr>
            <w:tcW w:w="7381" w:type="dxa"/>
          </w:tcPr>
          <w:p>
            <w:pPr>
              <w:pStyle w:val="TableParagraph"/>
              <w:spacing w:before="114"/>
              <w:ind w:left="662"/>
              <w:jc w:val="both"/>
              <w:rPr>
                <w:b/>
                <w:sz w:val="20"/>
              </w:rPr>
            </w:pPr>
            <w:r>
              <w:rPr>
                <w:b/>
                <w:sz w:val="20"/>
              </w:rPr>
              <w:t>FCA - Brexit and FX</w:t>
            </w:r>
          </w:p>
          <w:p>
            <w:pPr>
              <w:pStyle w:val="TableParagraph"/>
              <w:spacing w:before="3"/>
              <w:rPr>
                <w:sz w:val="20"/>
              </w:rPr>
            </w:pPr>
          </w:p>
          <w:p>
            <w:pPr>
              <w:pStyle w:val="TableParagraph"/>
              <w:ind w:left="662" w:right="198"/>
              <w:jc w:val="both"/>
              <w:rPr>
                <w:sz w:val="20"/>
              </w:rPr>
            </w:pPr>
            <w:r>
              <w:rPr>
                <w:sz w:val="20"/>
              </w:rPr>
              <w:t>David Harris of the FCA gave a presentation covering measures being taken by H.M.Treasury and the FCA to prepare for the UK’s exit from the EU, looked at from an FX perspective. This included the onshoring approach to preserving the current regulatory perimeter as it relates to existing EU-derived legislation; an overview of FCA’s Brexit Policy Statement 19/5 and amendments to the FCA Handbook; and the application of onshored rules to firms operating under the UK’s temporary permissions regime post-Brexit.</w:t>
            </w:r>
          </w:p>
        </w:tc>
      </w:tr>
      <w:tr>
        <w:trPr>
          <w:trHeight w:val="1493" w:hRule="atLeast"/>
        </w:trPr>
        <w:tc>
          <w:tcPr>
            <w:tcW w:w="1028" w:type="dxa"/>
          </w:tcPr>
          <w:p>
            <w:pPr>
              <w:pStyle w:val="TableParagraph"/>
              <w:spacing w:before="112"/>
              <w:ind w:left="200"/>
              <w:rPr>
                <w:sz w:val="20"/>
              </w:rPr>
            </w:pPr>
            <w:r>
              <w:rPr>
                <w:sz w:val="20"/>
              </w:rPr>
              <w:t>5.</w:t>
            </w:r>
          </w:p>
        </w:tc>
        <w:tc>
          <w:tcPr>
            <w:tcW w:w="7381" w:type="dxa"/>
          </w:tcPr>
          <w:p>
            <w:pPr>
              <w:pStyle w:val="TableParagraph"/>
              <w:spacing w:before="109"/>
              <w:ind w:left="662"/>
              <w:rPr>
                <w:b/>
                <w:sz w:val="20"/>
              </w:rPr>
            </w:pPr>
            <w:r>
              <w:rPr>
                <w:b/>
                <w:sz w:val="20"/>
              </w:rPr>
              <w:t>Any Other Business</w:t>
            </w:r>
          </w:p>
          <w:p>
            <w:pPr>
              <w:pStyle w:val="TableParagraph"/>
              <w:spacing w:before="3"/>
              <w:rPr>
                <w:sz w:val="20"/>
              </w:rPr>
            </w:pPr>
          </w:p>
          <w:p>
            <w:pPr>
              <w:pStyle w:val="TableParagraph"/>
              <w:ind w:left="662" w:right="35"/>
              <w:rPr>
                <w:sz w:val="20"/>
              </w:rPr>
            </w:pPr>
            <w:r>
              <w:rPr>
                <w:sz w:val="20"/>
              </w:rPr>
              <w:t>The Secretary invited members to propose agenda items for future meetings of the FXJSC Legal Sub-Committee.</w:t>
            </w:r>
          </w:p>
          <w:p>
            <w:pPr>
              <w:pStyle w:val="TableParagraph"/>
              <w:spacing w:before="1"/>
              <w:rPr>
                <w:sz w:val="20"/>
              </w:rPr>
            </w:pPr>
          </w:p>
          <w:p>
            <w:pPr>
              <w:pStyle w:val="TableParagraph"/>
              <w:spacing w:line="210" w:lineRule="exact" w:before="1"/>
              <w:ind w:left="662"/>
              <w:rPr>
                <w:sz w:val="20"/>
              </w:rPr>
            </w:pPr>
            <w:r>
              <w:rPr>
                <w:sz w:val="20"/>
              </w:rPr>
              <w:t>The next meeting will be on 19th November 2019.</w:t>
            </w:r>
          </w:p>
        </w:tc>
      </w:tr>
    </w:tbl>
    <w:sectPr>
      <w:pgSz w:w="11910" w:h="16840"/>
      <w:pgMar w:top="480" w:bottom="280" w:left="86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FXJSC Legal Sub-Committee Minutes from Meeting held 10 September 2019</dc:subject>
  <dc:title>FXJSC Legal Sub-Committee Minutes from Meeting held 10 September 2019</dc:title>
  <dcterms:created xsi:type="dcterms:W3CDTF">2020-06-02T14:23:07Z</dcterms:created>
  <dcterms:modified xsi:type="dcterms:W3CDTF">2020-06-02T14:23:07Z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2019-11-22T00:00:00Z</vt:filetime>
  </property>
  <property fmtid="{D5CDD505-2E9C-101B-9397-08002B2CF9AE}" pid="3" name="LastSaved">
    <vt:filetime>2020-06-02T00:00:00Z</vt:filetime>
  </property>
</Properties>
</file>