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9"/>
        <w:rPr>
          <w:rFonts w:ascii="Times New Roman"/>
          <w:sz w:val="21"/>
        </w:rPr>
      </w:pPr>
    </w:p>
    <w:tbl>
      <w:tblPr>
        <w:tblW w:w="0" w:type="auto"/>
        <w:jc w:val="left"/>
        <w:tblInd w:w="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6"/>
        <w:gridCol w:w="10167"/>
      </w:tblGrid>
      <w:tr>
        <w:trPr>
          <w:trHeight w:val="665" w:hRule="atLeast"/>
        </w:trPr>
        <w:tc>
          <w:tcPr>
            <w:tcW w:w="11123" w:type="dxa"/>
            <w:gridSpan w:val="2"/>
          </w:tcPr>
          <w:p>
            <w:pPr>
              <w:pStyle w:val="TableParagraph"/>
              <w:spacing w:line="491" w:lineRule="exact"/>
              <w:rPr>
                <w:sz w:val="44"/>
              </w:rPr>
            </w:pPr>
            <w:r>
              <w:rPr>
                <w:sz w:val="44"/>
              </w:rPr>
              <w:t>Minutes</w:t>
            </w:r>
          </w:p>
        </w:tc>
      </w:tr>
      <w:tr>
        <w:trPr>
          <w:trHeight w:val="467" w:hRule="atLeast"/>
        </w:trPr>
        <w:tc>
          <w:tcPr>
            <w:tcW w:w="11123" w:type="dxa"/>
            <w:gridSpan w:val="2"/>
          </w:tcPr>
          <w:p>
            <w:pPr>
              <w:pStyle w:val="TableParagraph"/>
              <w:spacing w:before="167"/>
              <w:rPr>
                <w:b/>
                <w:sz w:val="24"/>
              </w:rPr>
            </w:pPr>
            <w:r>
              <w:rPr>
                <w:b/>
                <w:sz w:val="24"/>
              </w:rPr>
              <w:t>Foreign Exchange Joint Standing Committee Legal Sub-Committee</w:t>
            </w:r>
          </w:p>
        </w:tc>
      </w:tr>
      <w:tr>
        <w:trPr>
          <w:trHeight w:val="565" w:hRule="atLeast"/>
        </w:trPr>
        <w:tc>
          <w:tcPr>
            <w:tcW w:w="11123" w:type="dxa"/>
            <w:gridSpan w:val="2"/>
            <w:tcBorders>
              <w:bottom w:val="single" w:sz="4" w:space="0" w:color="000000"/>
            </w:tcBorders>
          </w:tcPr>
          <w:p>
            <w:pPr>
              <w:pStyle w:val="TableParagraph"/>
              <w:spacing w:before="16"/>
              <w:rPr>
                <w:sz w:val="24"/>
              </w:rPr>
            </w:pPr>
            <w:r>
              <w:rPr>
                <w:sz w:val="24"/>
              </w:rPr>
              <w:t>19th November 2019</w:t>
            </w:r>
          </w:p>
        </w:tc>
      </w:tr>
      <w:tr>
        <w:trPr>
          <w:trHeight w:val="579" w:hRule="atLeast"/>
        </w:trPr>
        <w:tc>
          <w:tcPr>
            <w:tcW w:w="956" w:type="dxa"/>
            <w:tcBorders>
              <w:top w:val="single" w:sz="4" w:space="0" w:color="000000"/>
            </w:tcBorders>
          </w:tcPr>
          <w:p>
            <w:pPr>
              <w:pStyle w:val="TableParagraph"/>
              <w:spacing w:before="8"/>
              <w:rPr>
                <w:rFonts w:ascii="Times New Roman"/>
                <w:sz w:val="18"/>
              </w:rPr>
            </w:pPr>
          </w:p>
          <w:p>
            <w:pPr>
              <w:pStyle w:val="TableParagraph"/>
              <w:rPr>
                <w:sz w:val="20"/>
              </w:rPr>
            </w:pPr>
            <w:r>
              <w:rPr>
                <w:sz w:val="20"/>
              </w:rPr>
              <w:t>Location:</w:t>
            </w:r>
          </w:p>
        </w:tc>
        <w:tc>
          <w:tcPr>
            <w:tcW w:w="10167" w:type="dxa"/>
            <w:tcBorders>
              <w:top w:val="single" w:sz="4" w:space="0" w:color="000000"/>
            </w:tcBorders>
          </w:tcPr>
          <w:p>
            <w:pPr>
              <w:pStyle w:val="TableParagraph"/>
              <w:spacing w:before="8"/>
              <w:rPr>
                <w:rFonts w:ascii="Times New Roman"/>
                <w:sz w:val="18"/>
              </w:rPr>
            </w:pPr>
          </w:p>
          <w:p>
            <w:pPr>
              <w:pStyle w:val="TableParagraph"/>
              <w:ind w:left="2"/>
              <w:rPr>
                <w:sz w:val="20"/>
              </w:rPr>
            </w:pPr>
            <w:r>
              <w:rPr>
                <w:sz w:val="20"/>
              </w:rPr>
              <w:t>Goldman Sachs, Plumtree Court, 25 Shoe Lane, London EC4A 4AU</w:t>
            </w:r>
          </w:p>
        </w:tc>
      </w:tr>
      <w:tr>
        <w:trPr>
          <w:trHeight w:val="3800" w:hRule="atLeast"/>
        </w:trPr>
        <w:tc>
          <w:tcPr>
            <w:tcW w:w="956" w:type="dxa"/>
          </w:tcPr>
          <w:p>
            <w:pPr>
              <w:pStyle w:val="TableParagraph"/>
              <w:spacing w:before="130"/>
              <w:rPr>
                <w:sz w:val="20"/>
              </w:rPr>
            </w:pPr>
            <w:r>
              <w:rPr>
                <w:w w:val="95"/>
                <w:sz w:val="20"/>
              </w:rPr>
              <w:t>Attendees:</w:t>
            </w:r>
          </w:p>
        </w:tc>
        <w:tc>
          <w:tcPr>
            <w:tcW w:w="10167" w:type="dxa"/>
          </w:tcPr>
          <w:p>
            <w:pPr>
              <w:pStyle w:val="TableParagraph"/>
              <w:spacing w:before="127"/>
              <w:ind w:left="2"/>
              <w:rPr>
                <w:sz w:val="20"/>
              </w:rPr>
            </w:pPr>
            <w:r>
              <w:rPr>
                <w:b/>
                <w:sz w:val="20"/>
              </w:rPr>
              <w:t>Bank of England</w:t>
            </w:r>
            <w:r>
              <w:rPr>
                <w:sz w:val="20"/>
              </w:rPr>
              <w:t>: Jonathan Grant (Secretary), Paul Avanzato</w:t>
            </w:r>
          </w:p>
          <w:p>
            <w:pPr>
              <w:pStyle w:val="TableParagraph"/>
              <w:spacing w:before="34"/>
              <w:ind w:left="2"/>
              <w:rPr>
                <w:sz w:val="20"/>
              </w:rPr>
            </w:pPr>
            <w:r>
              <w:rPr>
                <w:b/>
                <w:sz w:val="20"/>
              </w:rPr>
              <w:t>Goldman Sachs</w:t>
            </w:r>
            <w:r>
              <w:rPr>
                <w:sz w:val="20"/>
              </w:rPr>
              <w:t>: Dan Parker (Chair)</w:t>
            </w:r>
          </w:p>
          <w:p>
            <w:pPr>
              <w:pStyle w:val="TableParagraph"/>
              <w:spacing w:before="37"/>
              <w:ind w:left="2"/>
              <w:rPr>
                <w:sz w:val="20"/>
              </w:rPr>
            </w:pPr>
            <w:r>
              <w:rPr>
                <w:b/>
                <w:sz w:val="20"/>
              </w:rPr>
              <w:t>Bank of England: </w:t>
            </w:r>
            <w:r>
              <w:rPr>
                <w:sz w:val="20"/>
              </w:rPr>
              <w:t>David Edmunds (Guest Speaker)</w:t>
            </w:r>
          </w:p>
          <w:p>
            <w:pPr>
              <w:pStyle w:val="TableParagraph"/>
              <w:spacing w:before="34"/>
              <w:ind w:left="2"/>
              <w:rPr>
                <w:sz w:val="20"/>
              </w:rPr>
            </w:pPr>
            <w:r>
              <w:rPr>
                <w:b/>
                <w:sz w:val="20"/>
              </w:rPr>
              <w:t>Citigroup</w:t>
            </w:r>
            <w:r>
              <w:rPr>
                <w:sz w:val="20"/>
              </w:rPr>
              <w:t>: Sharon Blackman</w:t>
            </w:r>
          </w:p>
          <w:p>
            <w:pPr>
              <w:pStyle w:val="TableParagraph"/>
              <w:spacing w:before="34"/>
              <w:ind w:left="2"/>
              <w:rPr>
                <w:sz w:val="20"/>
              </w:rPr>
            </w:pPr>
            <w:r>
              <w:rPr>
                <w:b/>
                <w:sz w:val="20"/>
              </w:rPr>
              <w:t>Deutsche Bank</w:t>
            </w:r>
            <w:r>
              <w:rPr>
                <w:sz w:val="20"/>
              </w:rPr>
              <w:t>: Simon Goldsworthy</w:t>
            </w:r>
          </w:p>
          <w:p>
            <w:pPr>
              <w:pStyle w:val="TableParagraph"/>
              <w:spacing w:before="34"/>
              <w:ind w:left="2"/>
              <w:rPr>
                <w:sz w:val="20"/>
              </w:rPr>
            </w:pPr>
            <w:r>
              <w:rPr>
                <w:b/>
                <w:sz w:val="20"/>
              </w:rPr>
              <w:t>Financial Conduct Authority (FCA)</w:t>
            </w:r>
            <w:r>
              <w:rPr>
                <w:sz w:val="20"/>
              </w:rPr>
              <w:t>: David Harris, Parma Bains, Laura Navaratnam</w:t>
            </w:r>
          </w:p>
          <w:p>
            <w:pPr>
              <w:pStyle w:val="TableParagraph"/>
              <w:spacing w:before="34"/>
              <w:ind w:left="2"/>
              <w:rPr>
                <w:sz w:val="20"/>
              </w:rPr>
            </w:pPr>
            <w:r>
              <w:rPr>
                <w:b/>
                <w:sz w:val="20"/>
              </w:rPr>
              <w:t>HSBC</w:t>
            </w:r>
            <w:r>
              <w:rPr>
                <w:sz w:val="20"/>
              </w:rPr>
              <w:t>: Harkamal Singh Atwal</w:t>
            </w:r>
          </w:p>
          <w:p>
            <w:pPr>
              <w:pStyle w:val="TableParagraph"/>
              <w:spacing w:before="37"/>
              <w:ind w:left="2"/>
              <w:rPr>
                <w:sz w:val="20"/>
              </w:rPr>
            </w:pPr>
            <w:r>
              <w:rPr>
                <w:b/>
                <w:sz w:val="20"/>
              </w:rPr>
              <w:t>JP Morgan</w:t>
            </w:r>
            <w:r>
              <w:rPr>
                <w:sz w:val="20"/>
              </w:rPr>
              <w:t>: Tamsin Rolls</w:t>
            </w:r>
          </w:p>
          <w:p>
            <w:pPr>
              <w:pStyle w:val="TableParagraph"/>
              <w:spacing w:before="34"/>
              <w:ind w:left="2"/>
              <w:rPr>
                <w:sz w:val="20"/>
              </w:rPr>
            </w:pPr>
            <w:r>
              <w:rPr>
                <w:b/>
                <w:sz w:val="20"/>
              </w:rPr>
              <w:t>LCH</w:t>
            </w:r>
            <w:r>
              <w:rPr>
                <w:sz w:val="20"/>
              </w:rPr>
              <w:t>: Diane Bouwmeester, Paddy Boyle, Owen Taylor</w:t>
            </w:r>
          </w:p>
          <w:p>
            <w:pPr>
              <w:pStyle w:val="TableParagraph"/>
              <w:spacing w:before="34"/>
              <w:ind w:left="2"/>
              <w:rPr>
                <w:sz w:val="20"/>
              </w:rPr>
            </w:pPr>
            <w:r>
              <w:rPr>
                <w:b/>
                <w:sz w:val="20"/>
              </w:rPr>
              <w:t>RBS/Natwest Markets</w:t>
            </w:r>
            <w:r>
              <w:rPr>
                <w:sz w:val="20"/>
              </w:rPr>
              <w:t>: Stephanie Cayer</w:t>
            </w:r>
          </w:p>
          <w:p>
            <w:pPr>
              <w:pStyle w:val="TableParagraph"/>
              <w:spacing w:before="34"/>
              <w:ind w:left="2"/>
              <w:rPr>
                <w:sz w:val="20"/>
              </w:rPr>
            </w:pPr>
            <w:r>
              <w:rPr>
                <w:b/>
                <w:sz w:val="20"/>
              </w:rPr>
              <w:t>Standard Chartered</w:t>
            </w:r>
            <w:r>
              <w:rPr>
                <w:sz w:val="20"/>
              </w:rPr>
              <w:t>: Rakesh Shah</w:t>
            </w:r>
          </w:p>
          <w:p>
            <w:pPr>
              <w:pStyle w:val="TableParagraph"/>
              <w:spacing w:before="34"/>
              <w:ind w:left="2"/>
              <w:rPr>
                <w:sz w:val="20"/>
              </w:rPr>
            </w:pPr>
            <w:r>
              <w:rPr>
                <w:b/>
                <w:sz w:val="20"/>
              </w:rPr>
              <w:t>TP ICAP</w:t>
            </w:r>
            <w:r>
              <w:rPr>
                <w:sz w:val="20"/>
              </w:rPr>
              <w:t>: Simon Helm</w:t>
            </w:r>
          </w:p>
          <w:p>
            <w:pPr>
              <w:pStyle w:val="TableParagraph"/>
              <w:spacing w:before="36"/>
              <w:ind w:left="2"/>
              <w:rPr>
                <w:sz w:val="20"/>
              </w:rPr>
            </w:pPr>
            <w:r>
              <w:rPr>
                <w:b/>
                <w:sz w:val="20"/>
              </w:rPr>
              <w:t>XTX Markets</w:t>
            </w:r>
            <w:r>
              <w:rPr>
                <w:sz w:val="20"/>
              </w:rPr>
              <w:t>: Sunil Samani</w:t>
            </w:r>
          </w:p>
        </w:tc>
      </w:tr>
      <w:tr>
        <w:trPr>
          <w:trHeight w:val="2177" w:hRule="atLeast"/>
        </w:trPr>
        <w:tc>
          <w:tcPr>
            <w:tcW w:w="956" w:type="dxa"/>
          </w:tcPr>
          <w:p>
            <w:pPr>
              <w:pStyle w:val="TableParagraph"/>
              <w:spacing w:before="10"/>
              <w:rPr>
                <w:rFonts w:ascii="Times New Roman"/>
                <w:sz w:val="22"/>
              </w:rPr>
            </w:pPr>
          </w:p>
          <w:p>
            <w:pPr>
              <w:pStyle w:val="TableParagraph"/>
              <w:rPr>
                <w:sz w:val="20"/>
              </w:rPr>
            </w:pPr>
            <w:r>
              <w:rPr>
                <w:sz w:val="20"/>
              </w:rPr>
              <w:t>Apologies:</w:t>
            </w:r>
          </w:p>
        </w:tc>
        <w:tc>
          <w:tcPr>
            <w:tcW w:w="10167" w:type="dxa"/>
          </w:tcPr>
          <w:p>
            <w:pPr>
              <w:pStyle w:val="TableParagraph"/>
              <w:spacing w:before="7"/>
              <w:rPr>
                <w:rFonts w:ascii="Times New Roman"/>
                <w:sz w:val="22"/>
              </w:rPr>
            </w:pPr>
          </w:p>
          <w:p>
            <w:pPr>
              <w:pStyle w:val="TableParagraph"/>
              <w:ind w:left="2"/>
              <w:rPr>
                <w:sz w:val="20"/>
              </w:rPr>
            </w:pPr>
            <w:r>
              <w:rPr>
                <w:b/>
                <w:sz w:val="20"/>
              </w:rPr>
              <w:t>Bank of America Merrill Lynch</w:t>
            </w:r>
            <w:r>
              <w:rPr>
                <w:sz w:val="20"/>
              </w:rPr>
              <w:t>: Jateen Shah</w:t>
            </w:r>
          </w:p>
          <w:p>
            <w:pPr>
              <w:pStyle w:val="TableParagraph"/>
              <w:spacing w:before="34"/>
              <w:ind w:left="2"/>
              <w:rPr>
                <w:sz w:val="20"/>
              </w:rPr>
            </w:pPr>
            <w:r>
              <w:rPr>
                <w:b/>
                <w:sz w:val="20"/>
              </w:rPr>
              <w:t>Barclays</w:t>
            </w:r>
            <w:r>
              <w:rPr>
                <w:sz w:val="20"/>
              </w:rPr>
              <w:t>: Nasia Pachiti Pallikaropoulou</w:t>
            </w:r>
          </w:p>
          <w:p>
            <w:pPr>
              <w:pStyle w:val="TableParagraph"/>
              <w:spacing w:before="34"/>
              <w:ind w:left="2"/>
              <w:rPr>
                <w:sz w:val="20"/>
              </w:rPr>
            </w:pPr>
            <w:r>
              <w:rPr>
                <w:b/>
                <w:sz w:val="20"/>
              </w:rPr>
              <w:t>CLS</w:t>
            </w:r>
            <w:r>
              <w:rPr>
                <w:sz w:val="20"/>
              </w:rPr>
              <w:t>: Gaynor</w:t>
            </w:r>
            <w:r>
              <w:rPr>
                <w:spacing w:val="-6"/>
                <w:sz w:val="20"/>
              </w:rPr>
              <w:t> </w:t>
            </w:r>
            <w:r>
              <w:rPr>
                <w:sz w:val="20"/>
              </w:rPr>
              <w:t>Wood</w:t>
            </w:r>
          </w:p>
          <w:p>
            <w:pPr>
              <w:pStyle w:val="TableParagraph"/>
              <w:spacing w:line="276" w:lineRule="auto" w:before="34"/>
              <w:ind w:left="2" w:right="7032"/>
              <w:jc w:val="both"/>
              <w:rPr>
                <w:sz w:val="20"/>
              </w:rPr>
            </w:pPr>
            <w:r>
              <w:rPr>
                <w:b/>
                <w:sz w:val="20"/>
              </w:rPr>
              <w:t>Morgan Stanley</w:t>
            </w:r>
            <w:r>
              <w:rPr>
                <w:sz w:val="20"/>
              </w:rPr>
              <w:t>: Nimisha </w:t>
            </w:r>
            <w:r>
              <w:rPr>
                <w:spacing w:val="-3"/>
                <w:sz w:val="20"/>
              </w:rPr>
              <w:t>Kanabar </w:t>
            </w:r>
            <w:r>
              <w:rPr>
                <w:b/>
                <w:sz w:val="20"/>
              </w:rPr>
              <w:t>RBS/Natwest Markets: </w:t>
            </w:r>
            <w:r>
              <w:rPr>
                <w:sz w:val="20"/>
              </w:rPr>
              <w:t>Baljit Saini </w:t>
            </w:r>
            <w:r>
              <w:rPr>
                <w:b/>
                <w:sz w:val="20"/>
              </w:rPr>
              <w:t>UBS</w:t>
            </w:r>
            <w:r>
              <w:rPr>
                <w:sz w:val="20"/>
              </w:rPr>
              <w:t>: Richard</w:t>
            </w:r>
            <w:r>
              <w:rPr>
                <w:spacing w:val="-1"/>
                <w:sz w:val="20"/>
              </w:rPr>
              <w:t> </w:t>
            </w:r>
            <w:r>
              <w:rPr>
                <w:sz w:val="20"/>
              </w:rPr>
              <w:t>Lamb</w:t>
            </w:r>
          </w:p>
        </w:tc>
      </w:tr>
      <w:tr>
        <w:trPr>
          <w:trHeight w:val="934" w:hRule="atLeast"/>
        </w:trPr>
        <w:tc>
          <w:tcPr>
            <w:tcW w:w="956" w:type="dxa"/>
          </w:tcPr>
          <w:p>
            <w:pPr>
              <w:pStyle w:val="TableParagraph"/>
              <w:rPr>
                <w:rFonts w:ascii="Times New Roman"/>
                <w:sz w:val="31"/>
              </w:rPr>
            </w:pPr>
          </w:p>
          <w:p>
            <w:pPr>
              <w:pStyle w:val="TableParagraph"/>
              <w:ind w:left="108" w:right="183"/>
              <w:rPr>
                <w:b/>
                <w:sz w:val="20"/>
              </w:rPr>
            </w:pPr>
            <w:r>
              <w:rPr>
                <w:b/>
                <w:sz w:val="20"/>
              </w:rPr>
              <w:t>Minute no.</w:t>
            </w:r>
          </w:p>
        </w:tc>
        <w:tc>
          <w:tcPr>
            <w:tcW w:w="10167" w:type="dxa"/>
          </w:tcPr>
          <w:p>
            <w:pPr>
              <w:pStyle w:val="TableParagraph"/>
              <w:rPr>
                <w:rFonts w:ascii="Times New Roman"/>
                <w:sz w:val="31"/>
              </w:rPr>
            </w:pPr>
          </w:p>
          <w:p>
            <w:pPr>
              <w:pStyle w:val="TableParagraph"/>
              <w:ind w:left="110"/>
              <w:rPr>
                <w:b/>
                <w:sz w:val="20"/>
              </w:rPr>
            </w:pPr>
            <w:r>
              <w:rPr>
                <w:b/>
                <w:sz w:val="20"/>
              </w:rPr>
              <w:t>Minute</w:t>
            </w:r>
          </w:p>
        </w:tc>
      </w:tr>
      <w:tr>
        <w:trPr>
          <w:trHeight w:val="926" w:hRule="atLeast"/>
        </w:trPr>
        <w:tc>
          <w:tcPr>
            <w:tcW w:w="956" w:type="dxa"/>
          </w:tcPr>
          <w:p>
            <w:pPr>
              <w:pStyle w:val="TableParagraph"/>
              <w:spacing w:before="113"/>
              <w:ind w:left="108"/>
              <w:rPr>
                <w:sz w:val="20"/>
              </w:rPr>
            </w:pPr>
            <w:r>
              <w:rPr>
                <w:sz w:val="20"/>
              </w:rPr>
              <w:t>1.</w:t>
            </w:r>
          </w:p>
        </w:tc>
        <w:tc>
          <w:tcPr>
            <w:tcW w:w="10167" w:type="dxa"/>
          </w:tcPr>
          <w:p>
            <w:pPr>
              <w:pStyle w:val="TableParagraph"/>
              <w:spacing w:before="110"/>
              <w:ind w:left="110"/>
              <w:rPr>
                <w:b/>
                <w:sz w:val="20"/>
              </w:rPr>
            </w:pPr>
            <w:r>
              <w:rPr>
                <w:b/>
                <w:sz w:val="20"/>
              </w:rPr>
              <w:t>Introduction and Minutes</w:t>
            </w:r>
          </w:p>
          <w:p>
            <w:pPr>
              <w:pStyle w:val="TableParagraph"/>
              <w:spacing w:before="3"/>
              <w:rPr>
                <w:rFonts w:ascii="Times New Roman"/>
                <w:sz w:val="20"/>
              </w:rPr>
            </w:pPr>
          </w:p>
          <w:p>
            <w:pPr>
              <w:pStyle w:val="TableParagraph"/>
              <w:spacing w:before="1"/>
              <w:ind w:left="110"/>
              <w:rPr>
                <w:sz w:val="20"/>
              </w:rPr>
            </w:pPr>
            <w:r>
              <w:rPr>
                <w:sz w:val="20"/>
              </w:rPr>
              <w:t>The minutes of the 10 September 2019 meeting were approved.</w:t>
            </w:r>
          </w:p>
        </w:tc>
      </w:tr>
      <w:tr>
        <w:trPr>
          <w:trHeight w:val="3063" w:hRule="atLeast"/>
        </w:trPr>
        <w:tc>
          <w:tcPr>
            <w:tcW w:w="956" w:type="dxa"/>
          </w:tcPr>
          <w:p>
            <w:pPr>
              <w:pStyle w:val="TableParagraph"/>
              <w:spacing w:before="118"/>
              <w:ind w:left="108"/>
              <w:rPr>
                <w:sz w:val="20"/>
              </w:rPr>
            </w:pPr>
            <w:r>
              <w:rPr>
                <w:sz w:val="20"/>
              </w:rPr>
              <w:t>2.</w:t>
            </w:r>
          </w:p>
        </w:tc>
        <w:tc>
          <w:tcPr>
            <w:tcW w:w="10167" w:type="dxa"/>
          </w:tcPr>
          <w:p>
            <w:pPr>
              <w:pStyle w:val="TableParagraph"/>
              <w:spacing w:before="115"/>
              <w:ind w:left="110"/>
              <w:jc w:val="both"/>
              <w:rPr>
                <w:b/>
                <w:sz w:val="20"/>
              </w:rPr>
            </w:pPr>
            <w:r>
              <w:rPr>
                <w:b/>
                <w:sz w:val="20"/>
              </w:rPr>
              <w:t>Global FX Committee and FX Global Code</w:t>
            </w:r>
          </w:p>
          <w:p>
            <w:pPr>
              <w:pStyle w:val="TableParagraph"/>
              <w:spacing w:before="3"/>
              <w:rPr>
                <w:rFonts w:ascii="Times New Roman"/>
                <w:sz w:val="20"/>
              </w:rPr>
            </w:pPr>
          </w:p>
          <w:p>
            <w:pPr>
              <w:pStyle w:val="TableParagraph"/>
              <w:ind w:left="110" w:right="540"/>
              <w:jc w:val="both"/>
              <w:rPr>
                <w:sz w:val="13"/>
              </w:rPr>
            </w:pPr>
            <w:r>
              <w:rPr>
                <w:sz w:val="20"/>
              </w:rPr>
              <w:t>David Edmunds of the FXJSC Secretariat provided an overview of the Global FX Committee (the ‘GFXC’) meeting to be held on 4 and 5 December 2019 in Sydney. Key discussion topics would include the GFXC’s 3-year review of the FX Global Code (the ‘Code’), updates from the GFXC’s working groups, and FX benchmarks. The focus of the 3-year review would be determined by the feedback provided to the GFXC by each of the local FX Committees, including the London FXJSC, and the responses received to the 2019 GFXC FX Global Code Survey. A summary of this feedback had been prepared by the GFXC Chair and would facilitate the GFXC’s discussion in Sydney. The aim would be to agree a work-plan for conducting the review during</w:t>
            </w:r>
            <w:r>
              <w:rPr>
                <w:spacing w:val="-6"/>
                <w:sz w:val="20"/>
              </w:rPr>
              <w:t> </w:t>
            </w:r>
            <w:r>
              <w:rPr>
                <w:sz w:val="20"/>
              </w:rPr>
              <w:t>2020.</w:t>
            </w:r>
            <w:r>
              <w:rPr>
                <w:position w:val="6"/>
                <w:sz w:val="13"/>
              </w:rPr>
              <w:t>1</w:t>
            </w:r>
          </w:p>
          <w:p>
            <w:pPr>
              <w:pStyle w:val="TableParagraph"/>
              <w:spacing w:before="9"/>
              <w:rPr>
                <w:rFonts w:ascii="Times New Roman"/>
                <w:sz w:val="20"/>
              </w:rPr>
            </w:pPr>
          </w:p>
          <w:p>
            <w:pPr>
              <w:pStyle w:val="TableParagraph"/>
              <w:ind w:left="110"/>
              <w:jc w:val="both"/>
              <w:rPr>
                <w:sz w:val="20"/>
              </w:rPr>
            </w:pPr>
            <w:r>
              <w:rPr>
                <w:sz w:val="20"/>
              </w:rPr>
              <w:t>Sunil Samani of XTX Markets provided an update on the GFXC Working Group’s draft ‘Report on the Role</w:t>
            </w:r>
          </w:p>
        </w:tc>
      </w:tr>
    </w:tbl>
    <w:p>
      <w:pPr>
        <w:pStyle w:val="BodyText"/>
        <w:spacing w:line="20" w:lineRule="exact"/>
        <w:ind w:left="948"/>
        <w:rPr>
          <w:rFonts w:ascii="Times New Roman"/>
          <w:sz w:val="2"/>
        </w:rPr>
      </w:pPr>
      <w:r>
        <w:rPr>
          <w:rFonts w:ascii="Times New Roman"/>
          <w:sz w:val="2"/>
        </w:rPr>
        <w:pict>
          <v:group style="width:144.050pt;height:.5pt;mso-position-horizontal-relative:char;mso-position-vertical-relative:line" coordorigin="0,0" coordsize="2881,10">
            <v:line style="position:absolute" from="0,5" to="2880,5" stroked="true" strokeweight=".47998pt" strokecolor="#000000">
              <v:stroke dashstyle="solid"/>
            </v:line>
          </v:group>
        </w:pict>
      </w:r>
      <w:r>
        <w:rPr>
          <w:rFonts w:ascii="Times New Roman"/>
          <w:sz w:val="2"/>
        </w:rPr>
      </w:r>
    </w:p>
    <w:p>
      <w:pPr>
        <w:pStyle w:val="BodyText"/>
        <w:spacing w:before="63"/>
        <w:ind w:left="953"/>
      </w:pPr>
      <w:r>
        <w:rPr>
          <w:position w:val="6"/>
          <w:sz w:val="13"/>
        </w:rPr>
        <w:t>1 </w:t>
      </w:r>
      <w:r>
        <w:rPr/>
        <w:t>See GFXC materials published following the meeting : </w:t>
      </w:r>
      <w:hyperlink r:id="rId5">
        <w:r>
          <w:rPr>
            <w:color w:val="0000FF"/>
            <w:u w:val="single" w:color="0000FF"/>
          </w:rPr>
          <w:t>https://www.globalfxc.org/agendas.htm</w:t>
        </w:r>
      </w:hyperlink>
    </w:p>
    <w:p>
      <w:pPr>
        <w:spacing w:after="0"/>
        <w:sectPr>
          <w:type w:val="continuous"/>
          <w:pgSz w:w="11910" w:h="16840"/>
          <w:pgMar w:top="1580" w:bottom="280" w:left="180" w:right="280"/>
        </w:sectPr>
      </w:pPr>
    </w:p>
    <w:p>
      <w:pPr>
        <w:pStyle w:val="BodyText"/>
        <w:spacing w:before="67"/>
        <w:ind w:right="1076"/>
        <w:jc w:val="right"/>
      </w:pPr>
      <w:r>
        <w:rPr>
          <w:w w:val="99"/>
        </w:rPr>
        <w:t>2</w:t>
      </w:r>
    </w:p>
    <w:p>
      <w:pPr>
        <w:pStyle w:val="BodyText"/>
        <w:spacing w:before="10" w:after="1"/>
        <w:rPr>
          <w:sz w:val="29"/>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10115"/>
      </w:tblGrid>
      <w:tr>
        <w:trPr>
          <w:trHeight w:val="1036" w:hRule="atLeast"/>
        </w:trPr>
        <w:tc>
          <w:tcPr>
            <w:tcW w:w="762" w:type="dxa"/>
          </w:tcPr>
          <w:p>
            <w:pPr>
              <w:pStyle w:val="TableParagraph"/>
              <w:rPr>
                <w:rFonts w:ascii="Times New Roman"/>
                <w:sz w:val="18"/>
              </w:rPr>
            </w:pPr>
          </w:p>
        </w:tc>
        <w:tc>
          <w:tcPr>
            <w:tcW w:w="10115" w:type="dxa"/>
          </w:tcPr>
          <w:p>
            <w:pPr>
              <w:pStyle w:val="TableParagraph"/>
              <w:ind w:left="396" w:right="198"/>
              <w:jc w:val="both"/>
              <w:rPr>
                <w:sz w:val="20"/>
              </w:rPr>
            </w:pPr>
            <w:r>
              <w:rPr>
                <w:sz w:val="20"/>
              </w:rPr>
              <w:t>of Disclosures and Transparency on Anonymous E-Trading Platforms’, the purpose of which was to identify issues of transparency in disclosures between users of electronic FX-trading platforms. The output of the Report once finalised would inform discussion of E-trading platform disclosures in the context of the Code’s 3-year Review.</w:t>
            </w:r>
          </w:p>
        </w:tc>
      </w:tr>
      <w:tr>
        <w:trPr>
          <w:trHeight w:val="2304" w:hRule="atLeast"/>
        </w:trPr>
        <w:tc>
          <w:tcPr>
            <w:tcW w:w="762" w:type="dxa"/>
          </w:tcPr>
          <w:p>
            <w:pPr>
              <w:pStyle w:val="TableParagraph"/>
              <w:spacing w:before="118"/>
              <w:ind w:left="200"/>
              <w:rPr>
                <w:sz w:val="20"/>
              </w:rPr>
            </w:pPr>
            <w:r>
              <w:rPr>
                <w:sz w:val="20"/>
              </w:rPr>
              <w:t>3.</w:t>
            </w:r>
          </w:p>
        </w:tc>
        <w:tc>
          <w:tcPr>
            <w:tcW w:w="10115" w:type="dxa"/>
          </w:tcPr>
          <w:p>
            <w:pPr>
              <w:pStyle w:val="TableParagraph"/>
              <w:spacing w:before="115"/>
              <w:ind w:left="396"/>
              <w:jc w:val="both"/>
              <w:rPr>
                <w:b/>
                <w:sz w:val="20"/>
              </w:rPr>
            </w:pPr>
            <w:r>
              <w:rPr>
                <w:b/>
                <w:sz w:val="20"/>
              </w:rPr>
              <w:t>LCH and the FX Markets</w:t>
            </w:r>
          </w:p>
          <w:p>
            <w:pPr>
              <w:pStyle w:val="TableParagraph"/>
              <w:spacing w:before="1"/>
              <w:rPr>
                <w:sz w:val="20"/>
              </w:rPr>
            </w:pPr>
          </w:p>
          <w:p>
            <w:pPr>
              <w:pStyle w:val="TableParagraph"/>
              <w:ind w:left="396" w:right="199"/>
              <w:jc w:val="both"/>
              <w:rPr>
                <w:sz w:val="20"/>
              </w:rPr>
            </w:pPr>
            <w:r>
              <w:rPr>
                <w:sz w:val="20"/>
              </w:rPr>
              <w:t>Diane Bouwmeester, LCH General Counsel and Group Head of Compliance, and colleagues Paddy Boyle and Owen Taylor provided an overview of LCH as a central clearing counterparty and its role in the FX markets. This included an explanation of the legal, regulatory and contractual framework under which LCH operates; a description of its FX clearing service, ‘ForexClear’; regulatory drivers towards clearing such as the EU ‘uncleared margin’ rules under the European Market Infrastructure Regulation (‘EMIR’); and recent trends including growth in non-deliverable forwards clearing and the emergence of clearing in deliverable products such as FX swaps and FX options.</w:t>
            </w:r>
          </w:p>
        </w:tc>
      </w:tr>
      <w:tr>
        <w:trPr>
          <w:trHeight w:val="2299" w:hRule="atLeast"/>
        </w:trPr>
        <w:tc>
          <w:tcPr>
            <w:tcW w:w="762" w:type="dxa"/>
          </w:tcPr>
          <w:p>
            <w:pPr>
              <w:pStyle w:val="TableParagraph"/>
              <w:spacing w:before="113"/>
              <w:ind w:left="200"/>
              <w:rPr>
                <w:sz w:val="20"/>
              </w:rPr>
            </w:pPr>
            <w:r>
              <w:rPr>
                <w:sz w:val="20"/>
              </w:rPr>
              <w:t>4.</w:t>
            </w:r>
          </w:p>
        </w:tc>
        <w:tc>
          <w:tcPr>
            <w:tcW w:w="10115" w:type="dxa"/>
          </w:tcPr>
          <w:p>
            <w:pPr>
              <w:pStyle w:val="TableParagraph"/>
              <w:spacing w:before="110"/>
              <w:ind w:left="396"/>
              <w:jc w:val="both"/>
              <w:rPr>
                <w:b/>
                <w:sz w:val="20"/>
              </w:rPr>
            </w:pPr>
            <w:r>
              <w:rPr>
                <w:b/>
                <w:sz w:val="20"/>
              </w:rPr>
              <w:t>FCA Policy Statement 19/22 – Guidance on Crypto-assets</w:t>
            </w:r>
          </w:p>
          <w:p>
            <w:pPr>
              <w:pStyle w:val="TableParagraph"/>
              <w:spacing w:before="3"/>
              <w:rPr>
                <w:sz w:val="20"/>
              </w:rPr>
            </w:pPr>
          </w:p>
          <w:p>
            <w:pPr>
              <w:pStyle w:val="TableParagraph"/>
              <w:spacing w:before="1"/>
              <w:ind w:left="396" w:right="198"/>
              <w:jc w:val="both"/>
              <w:rPr>
                <w:sz w:val="20"/>
              </w:rPr>
            </w:pPr>
            <w:r>
              <w:rPr>
                <w:sz w:val="20"/>
              </w:rPr>
              <w:t>Parma Bains and Laura Navaratnam of the FCA provided an overview of the FCA’s Feedback and Final Guidance on Cryptoassets (Policy Statement 19/22, July 2019). This included the context of the UK Cryptoassets Taskforce’s October 2018 report; the development of the FCA’s Consultation Paper and analysis of market feedback; categorisation of cryptoassets as security tokens, e-money tokens or unregulated tokens; types of cryptoassets which fall within the FCA’s regulatory perimeter; and expected future workstreams to include conducting a ‘consumer survey’, consultation on unregulated tokens, and use of regulatory ‘sandboxes’ as a safe product testing environment for firms interested in this field.</w:t>
            </w:r>
          </w:p>
        </w:tc>
      </w:tr>
      <w:tr>
        <w:trPr>
          <w:trHeight w:val="803" w:hRule="atLeast"/>
        </w:trPr>
        <w:tc>
          <w:tcPr>
            <w:tcW w:w="762" w:type="dxa"/>
          </w:tcPr>
          <w:p>
            <w:pPr>
              <w:pStyle w:val="TableParagraph"/>
              <w:spacing w:before="113"/>
              <w:ind w:left="200"/>
              <w:rPr>
                <w:sz w:val="20"/>
              </w:rPr>
            </w:pPr>
            <w:r>
              <w:rPr>
                <w:sz w:val="20"/>
              </w:rPr>
              <w:t>5.</w:t>
            </w:r>
          </w:p>
        </w:tc>
        <w:tc>
          <w:tcPr>
            <w:tcW w:w="10115" w:type="dxa"/>
          </w:tcPr>
          <w:p>
            <w:pPr>
              <w:pStyle w:val="TableParagraph"/>
              <w:spacing w:before="110"/>
              <w:ind w:left="396"/>
              <w:rPr>
                <w:b/>
                <w:sz w:val="20"/>
              </w:rPr>
            </w:pPr>
            <w:r>
              <w:rPr>
                <w:b/>
                <w:sz w:val="20"/>
              </w:rPr>
              <w:t>Any Other Business</w:t>
            </w:r>
          </w:p>
          <w:p>
            <w:pPr>
              <w:pStyle w:val="TableParagraph"/>
              <w:spacing w:before="3"/>
              <w:rPr>
                <w:sz w:val="20"/>
              </w:rPr>
            </w:pPr>
          </w:p>
          <w:p>
            <w:pPr>
              <w:pStyle w:val="TableParagraph"/>
              <w:spacing w:line="210" w:lineRule="exact" w:before="1"/>
              <w:ind w:left="396"/>
              <w:rPr>
                <w:sz w:val="20"/>
              </w:rPr>
            </w:pPr>
            <w:r>
              <w:rPr>
                <w:sz w:val="20"/>
              </w:rPr>
              <w:t>The next meeting will be on 11th February 2020.</w:t>
            </w:r>
          </w:p>
        </w:tc>
      </w:tr>
    </w:tbl>
    <w:sectPr>
      <w:pgSz w:w="11910" w:h="16840"/>
      <w:pgMar w:top="480" w:bottom="280" w:left="18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globalfxc.org/agenda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London FXJSC Legal Sub-Committee</dc:creator>
  <dc:title>Minutes of the London FXJSC Legal Sub-Committee Meeting - 19 November 2019</dc:title>
  <dcterms:created xsi:type="dcterms:W3CDTF">2020-06-01T02:00:41Z</dcterms:created>
  <dcterms:modified xsi:type="dcterms:W3CDTF">2020-06-01T02:00:41Z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2020-02-20T00:00:00Z</vt:filetime>
  </property>
  <property fmtid="{D5CDD505-2E9C-101B-9397-08002B2CF9AE}" pid="3" name="LastSaved">
    <vt:filetime>2020-06-01T00:00:00Z</vt:filetime>
  </property>
</Properties>
</file>