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21"/>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0"/>
        <w:gridCol w:w="8484"/>
      </w:tblGrid>
      <w:tr>
        <w:trPr>
          <w:trHeight w:val="665" w:hRule="atLeast"/>
        </w:trPr>
        <w:tc>
          <w:tcPr>
            <w:tcW w:w="9784" w:type="dxa"/>
            <w:gridSpan w:val="2"/>
          </w:tcPr>
          <w:p>
            <w:pPr>
              <w:pStyle w:val="TableParagraph"/>
              <w:spacing w:line="491" w:lineRule="exact"/>
              <w:rPr>
                <w:sz w:val="44"/>
              </w:rPr>
            </w:pPr>
            <w:r>
              <w:rPr>
                <w:sz w:val="44"/>
              </w:rPr>
              <w:t>Minutes</w:t>
            </w:r>
          </w:p>
        </w:tc>
      </w:tr>
      <w:tr>
        <w:trPr>
          <w:trHeight w:val="467" w:hRule="atLeast"/>
        </w:trPr>
        <w:tc>
          <w:tcPr>
            <w:tcW w:w="9784" w:type="dxa"/>
            <w:gridSpan w:val="2"/>
          </w:tcPr>
          <w:p>
            <w:pPr>
              <w:pStyle w:val="TableParagraph"/>
              <w:spacing w:before="167"/>
              <w:rPr>
                <w:b/>
                <w:sz w:val="24"/>
              </w:rPr>
            </w:pPr>
            <w:r>
              <w:rPr>
                <w:b/>
                <w:sz w:val="24"/>
              </w:rPr>
              <w:t>Foreign Exchange Joint Standing Committee Legal Sub-Committee</w:t>
            </w:r>
          </w:p>
        </w:tc>
      </w:tr>
      <w:tr>
        <w:trPr>
          <w:trHeight w:val="565" w:hRule="atLeast"/>
        </w:trPr>
        <w:tc>
          <w:tcPr>
            <w:tcW w:w="9784" w:type="dxa"/>
            <w:gridSpan w:val="2"/>
            <w:tcBorders>
              <w:bottom w:val="single" w:sz="4" w:space="0" w:color="000000"/>
            </w:tcBorders>
          </w:tcPr>
          <w:p>
            <w:pPr>
              <w:pStyle w:val="TableParagraph"/>
              <w:spacing w:before="16"/>
              <w:rPr>
                <w:sz w:val="24"/>
              </w:rPr>
            </w:pPr>
            <w:r>
              <w:rPr>
                <w:sz w:val="24"/>
              </w:rPr>
              <w:t>3 December 2018</w:t>
            </w:r>
          </w:p>
        </w:tc>
      </w:tr>
      <w:tr>
        <w:trPr>
          <w:trHeight w:val="579" w:hRule="atLeast"/>
        </w:trPr>
        <w:tc>
          <w:tcPr>
            <w:tcW w:w="1300" w:type="dxa"/>
            <w:tcBorders>
              <w:top w:val="single" w:sz="4" w:space="0" w:color="000000"/>
            </w:tcBorders>
          </w:tcPr>
          <w:p>
            <w:pPr>
              <w:pStyle w:val="TableParagraph"/>
              <w:spacing w:before="8"/>
              <w:rPr>
                <w:rFonts w:ascii="Times New Roman"/>
                <w:sz w:val="18"/>
              </w:rPr>
            </w:pPr>
          </w:p>
          <w:p>
            <w:pPr>
              <w:pStyle w:val="TableParagraph"/>
              <w:rPr>
                <w:sz w:val="20"/>
              </w:rPr>
            </w:pPr>
            <w:r>
              <w:rPr>
                <w:sz w:val="20"/>
              </w:rPr>
              <w:t>Location:</w:t>
            </w:r>
          </w:p>
        </w:tc>
        <w:tc>
          <w:tcPr>
            <w:tcW w:w="8484" w:type="dxa"/>
            <w:tcBorders>
              <w:top w:val="single" w:sz="4" w:space="0" w:color="000000"/>
            </w:tcBorders>
          </w:tcPr>
          <w:p>
            <w:pPr>
              <w:pStyle w:val="TableParagraph"/>
              <w:spacing w:before="8"/>
              <w:rPr>
                <w:rFonts w:ascii="Times New Roman"/>
                <w:sz w:val="18"/>
              </w:rPr>
            </w:pPr>
          </w:p>
          <w:p>
            <w:pPr>
              <w:pStyle w:val="TableParagraph"/>
              <w:ind w:left="190"/>
              <w:rPr>
                <w:sz w:val="20"/>
              </w:rPr>
            </w:pPr>
            <w:r>
              <w:rPr>
                <w:sz w:val="20"/>
              </w:rPr>
              <w:t>XTX Markets, R7 14-18 Handyside Street, London N1C 4DN</w:t>
            </w:r>
          </w:p>
        </w:tc>
      </w:tr>
      <w:tr>
        <w:trPr>
          <w:trHeight w:val="3402" w:hRule="atLeast"/>
        </w:trPr>
        <w:tc>
          <w:tcPr>
            <w:tcW w:w="1300" w:type="dxa"/>
          </w:tcPr>
          <w:p>
            <w:pPr>
              <w:pStyle w:val="TableParagraph"/>
              <w:spacing w:before="130"/>
              <w:rPr>
                <w:sz w:val="20"/>
              </w:rPr>
            </w:pPr>
            <w:r>
              <w:rPr>
                <w:sz w:val="20"/>
              </w:rPr>
              <w:t>Attendees:</w:t>
            </w:r>
          </w:p>
        </w:tc>
        <w:tc>
          <w:tcPr>
            <w:tcW w:w="8484" w:type="dxa"/>
          </w:tcPr>
          <w:p>
            <w:pPr>
              <w:pStyle w:val="TableParagraph"/>
              <w:spacing w:line="276" w:lineRule="auto" w:before="127"/>
              <w:ind w:left="190" w:right="1849"/>
              <w:rPr>
                <w:sz w:val="20"/>
              </w:rPr>
            </w:pPr>
            <w:r>
              <w:rPr>
                <w:b/>
                <w:sz w:val="20"/>
              </w:rPr>
              <w:t>Bank of England</w:t>
            </w:r>
            <w:r>
              <w:rPr>
                <w:sz w:val="20"/>
              </w:rPr>
              <w:t>: Jonathan Grant (Secretary), Charlotte Pope-Williams, </w:t>
            </w:r>
            <w:r>
              <w:rPr>
                <w:b/>
                <w:sz w:val="20"/>
              </w:rPr>
              <w:t>Bank of England: </w:t>
            </w:r>
            <w:r>
              <w:rPr>
                <w:sz w:val="20"/>
              </w:rPr>
              <w:t>Grigoria Christodoulou, Tim Scott (Guest Speakers) </w:t>
            </w:r>
            <w:r>
              <w:rPr>
                <w:b/>
                <w:sz w:val="20"/>
              </w:rPr>
              <w:t>Bank of New York Mellon: </w:t>
            </w:r>
            <w:r>
              <w:rPr>
                <w:sz w:val="20"/>
              </w:rPr>
              <w:t>Mark Compton</w:t>
            </w:r>
          </w:p>
          <w:p>
            <w:pPr>
              <w:pStyle w:val="TableParagraph"/>
              <w:spacing w:before="1"/>
              <w:ind w:left="190"/>
              <w:rPr>
                <w:sz w:val="20"/>
              </w:rPr>
            </w:pPr>
            <w:r>
              <w:rPr>
                <w:b/>
                <w:sz w:val="20"/>
              </w:rPr>
              <w:t>Deutsche Bank</w:t>
            </w:r>
            <w:r>
              <w:rPr>
                <w:sz w:val="20"/>
              </w:rPr>
              <w:t>: Simon Goldsworthy</w:t>
            </w:r>
          </w:p>
          <w:p>
            <w:pPr>
              <w:pStyle w:val="TableParagraph"/>
              <w:spacing w:before="35"/>
              <w:ind w:left="190"/>
              <w:rPr>
                <w:sz w:val="20"/>
              </w:rPr>
            </w:pPr>
            <w:r>
              <w:rPr>
                <w:b/>
                <w:sz w:val="20"/>
              </w:rPr>
              <w:t>Financial Conduct Authority (FCA)</w:t>
            </w:r>
            <w:r>
              <w:rPr>
                <w:sz w:val="20"/>
              </w:rPr>
              <w:t>: David Harris</w:t>
            </w:r>
          </w:p>
          <w:p>
            <w:pPr>
              <w:pStyle w:val="TableParagraph"/>
              <w:spacing w:before="34"/>
              <w:ind w:left="190"/>
              <w:rPr>
                <w:sz w:val="20"/>
              </w:rPr>
            </w:pPr>
            <w:r>
              <w:rPr>
                <w:b/>
                <w:sz w:val="20"/>
              </w:rPr>
              <w:t>Goldman Sachs</w:t>
            </w:r>
            <w:r>
              <w:rPr>
                <w:sz w:val="20"/>
              </w:rPr>
              <w:t>: Dan Parker (Chair)</w:t>
            </w:r>
          </w:p>
          <w:p>
            <w:pPr>
              <w:pStyle w:val="TableParagraph"/>
              <w:spacing w:before="34"/>
              <w:ind w:left="190"/>
              <w:rPr>
                <w:sz w:val="20"/>
              </w:rPr>
            </w:pPr>
            <w:r>
              <w:rPr>
                <w:b/>
                <w:sz w:val="20"/>
              </w:rPr>
              <w:t>JP Morgan</w:t>
            </w:r>
            <w:r>
              <w:rPr>
                <w:sz w:val="20"/>
              </w:rPr>
              <w:t>: Tamsin Rolls</w:t>
            </w:r>
          </w:p>
          <w:p>
            <w:pPr>
              <w:pStyle w:val="TableParagraph"/>
              <w:spacing w:line="276" w:lineRule="auto" w:before="36"/>
              <w:ind w:left="190" w:right="5113"/>
              <w:jc w:val="both"/>
              <w:rPr>
                <w:sz w:val="20"/>
              </w:rPr>
            </w:pPr>
            <w:r>
              <w:rPr>
                <w:b/>
                <w:sz w:val="20"/>
              </w:rPr>
              <w:t>Morgan Stanley</w:t>
            </w:r>
            <w:r>
              <w:rPr>
                <w:sz w:val="20"/>
              </w:rPr>
              <w:t>: Nimisha Kanabar </w:t>
            </w:r>
            <w:r>
              <w:rPr>
                <w:b/>
                <w:sz w:val="20"/>
              </w:rPr>
              <w:t>RBS/Natwest Markets</w:t>
            </w:r>
            <w:r>
              <w:rPr>
                <w:sz w:val="20"/>
              </w:rPr>
              <w:t>: Baljit Saini </w:t>
            </w:r>
            <w:r>
              <w:rPr>
                <w:b/>
                <w:sz w:val="20"/>
              </w:rPr>
              <w:t>Standard Chartered</w:t>
            </w:r>
            <w:r>
              <w:rPr>
                <w:sz w:val="20"/>
              </w:rPr>
              <w:t>: Rakesh Shah </w:t>
            </w:r>
            <w:r>
              <w:rPr>
                <w:b/>
                <w:sz w:val="20"/>
              </w:rPr>
              <w:t>TP ICAP</w:t>
            </w:r>
            <w:r>
              <w:rPr>
                <w:sz w:val="20"/>
              </w:rPr>
              <w:t>: Simon Helm</w:t>
            </w:r>
          </w:p>
          <w:p>
            <w:pPr>
              <w:pStyle w:val="TableParagraph"/>
              <w:spacing w:line="228" w:lineRule="exact"/>
              <w:ind w:left="190"/>
              <w:rPr>
                <w:sz w:val="20"/>
              </w:rPr>
            </w:pPr>
            <w:r>
              <w:rPr>
                <w:b/>
                <w:sz w:val="20"/>
              </w:rPr>
              <w:t>XTX Markets</w:t>
            </w:r>
            <w:r>
              <w:rPr>
                <w:sz w:val="20"/>
              </w:rPr>
              <w:t>: Sunil Samani (Host)</w:t>
            </w:r>
          </w:p>
        </w:tc>
      </w:tr>
      <w:tr>
        <w:trPr>
          <w:trHeight w:val="760" w:hRule="atLeast"/>
        </w:trPr>
        <w:tc>
          <w:tcPr>
            <w:tcW w:w="1300" w:type="dxa"/>
          </w:tcPr>
          <w:p>
            <w:pPr>
              <w:pStyle w:val="TableParagraph"/>
              <w:spacing w:before="131"/>
              <w:rPr>
                <w:sz w:val="20"/>
              </w:rPr>
            </w:pPr>
            <w:r>
              <w:rPr>
                <w:sz w:val="20"/>
              </w:rPr>
              <w:t>Dialled in:</w:t>
            </w:r>
          </w:p>
        </w:tc>
        <w:tc>
          <w:tcPr>
            <w:tcW w:w="8484" w:type="dxa"/>
          </w:tcPr>
          <w:p>
            <w:pPr>
              <w:pStyle w:val="TableParagraph"/>
              <w:spacing w:before="128"/>
              <w:ind w:left="190"/>
              <w:rPr>
                <w:sz w:val="20"/>
              </w:rPr>
            </w:pPr>
            <w:r>
              <w:rPr>
                <w:b/>
                <w:sz w:val="20"/>
              </w:rPr>
              <w:t>Barclays</w:t>
            </w:r>
            <w:r>
              <w:rPr>
                <w:sz w:val="20"/>
              </w:rPr>
              <w:t>: Nasia Pachitipallikaropoulou</w:t>
            </w:r>
          </w:p>
          <w:p>
            <w:pPr>
              <w:pStyle w:val="TableParagraph"/>
              <w:spacing w:before="37"/>
              <w:ind w:left="190"/>
              <w:rPr>
                <w:sz w:val="20"/>
              </w:rPr>
            </w:pPr>
            <w:r>
              <w:rPr>
                <w:b/>
                <w:sz w:val="20"/>
              </w:rPr>
              <w:t>HSBC</w:t>
            </w:r>
            <w:r>
              <w:rPr>
                <w:sz w:val="20"/>
              </w:rPr>
              <w:t>: Harkamal Singh Atwal</w:t>
            </w:r>
          </w:p>
        </w:tc>
      </w:tr>
      <w:tr>
        <w:trPr>
          <w:trHeight w:val="1912" w:hRule="atLeast"/>
        </w:trPr>
        <w:tc>
          <w:tcPr>
            <w:tcW w:w="1300" w:type="dxa"/>
          </w:tcPr>
          <w:p>
            <w:pPr>
              <w:pStyle w:val="TableParagraph"/>
              <w:spacing w:before="128"/>
              <w:rPr>
                <w:sz w:val="20"/>
              </w:rPr>
            </w:pPr>
            <w:r>
              <w:rPr>
                <w:sz w:val="20"/>
              </w:rPr>
              <w:t>Apologies:</w:t>
            </w:r>
          </w:p>
        </w:tc>
        <w:tc>
          <w:tcPr>
            <w:tcW w:w="8484" w:type="dxa"/>
          </w:tcPr>
          <w:p>
            <w:pPr>
              <w:pStyle w:val="TableParagraph"/>
              <w:spacing w:before="128"/>
              <w:ind w:left="190"/>
              <w:rPr>
                <w:sz w:val="20"/>
              </w:rPr>
            </w:pPr>
            <w:r>
              <w:rPr>
                <w:b/>
                <w:sz w:val="20"/>
              </w:rPr>
              <w:t>Bank of America Merrill Lynch</w:t>
            </w:r>
            <w:r>
              <w:rPr>
                <w:sz w:val="20"/>
              </w:rPr>
              <w:t>: Jateen Shah</w:t>
            </w:r>
          </w:p>
          <w:p>
            <w:pPr>
              <w:pStyle w:val="TableParagraph"/>
              <w:spacing w:before="34"/>
              <w:ind w:left="190"/>
              <w:rPr>
                <w:sz w:val="20"/>
              </w:rPr>
            </w:pPr>
            <w:r>
              <w:rPr>
                <w:b/>
                <w:sz w:val="20"/>
              </w:rPr>
              <w:t>Bank of New York Mellon: </w:t>
            </w:r>
            <w:r>
              <w:rPr>
                <w:sz w:val="20"/>
              </w:rPr>
              <w:t>Jacqueline Joyston-Bechal</w:t>
            </w:r>
          </w:p>
          <w:p>
            <w:pPr>
              <w:pStyle w:val="TableParagraph"/>
              <w:spacing w:before="34"/>
              <w:ind w:left="190"/>
              <w:rPr>
                <w:sz w:val="20"/>
              </w:rPr>
            </w:pPr>
            <w:r>
              <w:rPr>
                <w:b/>
                <w:sz w:val="20"/>
              </w:rPr>
              <w:t>Citigroup</w:t>
            </w:r>
            <w:r>
              <w:rPr>
                <w:sz w:val="20"/>
              </w:rPr>
              <w:t>: Sharon Blackman</w:t>
            </w:r>
          </w:p>
          <w:p>
            <w:pPr>
              <w:pStyle w:val="TableParagraph"/>
              <w:spacing w:before="35"/>
              <w:ind w:left="190"/>
              <w:rPr>
                <w:sz w:val="20"/>
              </w:rPr>
            </w:pPr>
            <w:r>
              <w:rPr>
                <w:b/>
                <w:sz w:val="20"/>
              </w:rPr>
              <w:t>CLS</w:t>
            </w:r>
            <w:r>
              <w:rPr>
                <w:sz w:val="20"/>
              </w:rPr>
              <w:t>: Gaynor Wood</w:t>
            </w:r>
          </w:p>
          <w:p>
            <w:pPr>
              <w:pStyle w:val="TableParagraph"/>
              <w:spacing w:before="34"/>
              <w:ind w:left="190"/>
              <w:rPr>
                <w:sz w:val="20"/>
              </w:rPr>
            </w:pPr>
            <w:r>
              <w:rPr>
                <w:b/>
                <w:sz w:val="20"/>
              </w:rPr>
              <w:t>LCH</w:t>
            </w:r>
            <w:r>
              <w:rPr>
                <w:sz w:val="20"/>
              </w:rPr>
              <w:t>: Diane Bouwmeester</w:t>
            </w:r>
          </w:p>
          <w:p>
            <w:pPr>
              <w:pStyle w:val="TableParagraph"/>
              <w:spacing w:before="34"/>
              <w:ind w:left="190"/>
              <w:rPr>
                <w:sz w:val="20"/>
              </w:rPr>
            </w:pPr>
            <w:r>
              <w:rPr>
                <w:b/>
                <w:sz w:val="20"/>
              </w:rPr>
              <w:t>UBS</w:t>
            </w:r>
            <w:r>
              <w:rPr>
                <w:sz w:val="20"/>
              </w:rPr>
              <w:t>: Richard Lamb</w:t>
            </w:r>
          </w:p>
        </w:tc>
      </w:tr>
      <w:tr>
        <w:trPr>
          <w:trHeight w:val="582" w:hRule="atLeast"/>
        </w:trPr>
        <w:tc>
          <w:tcPr>
            <w:tcW w:w="1300" w:type="dxa"/>
          </w:tcPr>
          <w:p>
            <w:pPr>
              <w:pStyle w:val="TableParagraph"/>
              <w:spacing w:before="7"/>
              <w:rPr>
                <w:rFonts w:ascii="Times New Roman"/>
                <w:sz w:val="19"/>
              </w:rPr>
            </w:pPr>
          </w:p>
          <w:p>
            <w:pPr>
              <w:pStyle w:val="TableParagraph"/>
              <w:ind w:left="108"/>
              <w:rPr>
                <w:b/>
                <w:sz w:val="20"/>
              </w:rPr>
            </w:pPr>
            <w:r>
              <w:rPr>
                <w:b/>
                <w:sz w:val="20"/>
              </w:rPr>
              <w:t>Minute no.</w:t>
            </w:r>
          </w:p>
        </w:tc>
        <w:tc>
          <w:tcPr>
            <w:tcW w:w="8484" w:type="dxa"/>
          </w:tcPr>
          <w:p>
            <w:pPr>
              <w:pStyle w:val="TableParagraph"/>
              <w:spacing w:before="7"/>
              <w:rPr>
                <w:rFonts w:ascii="Times New Roman"/>
                <w:sz w:val="19"/>
              </w:rPr>
            </w:pPr>
          </w:p>
          <w:p>
            <w:pPr>
              <w:pStyle w:val="TableParagraph"/>
              <w:ind w:left="298"/>
              <w:rPr>
                <w:b/>
                <w:sz w:val="20"/>
              </w:rPr>
            </w:pPr>
            <w:r>
              <w:rPr>
                <w:b/>
                <w:sz w:val="20"/>
              </w:rPr>
              <w:t>Minute</w:t>
            </w:r>
          </w:p>
        </w:tc>
      </w:tr>
      <w:tr>
        <w:trPr>
          <w:trHeight w:val="934" w:hRule="atLeast"/>
        </w:trPr>
        <w:tc>
          <w:tcPr>
            <w:tcW w:w="1300" w:type="dxa"/>
          </w:tcPr>
          <w:p>
            <w:pPr>
              <w:pStyle w:val="TableParagraph"/>
              <w:spacing w:before="121"/>
              <w:ind w:left="108"/>
              <w:rPr>
                <w:sz w:val="20"/>
              </w:rPr>
            </w:pPr>
            <w:r>
              <w:rPr>
                <w:sz w:val="20"/>
              </w:rPr>
              <w:t>1.</w:t>
            </w:r>
          </w:p>
        </w:tc>
        <w:tc>
          <w:tcPr>
            <w:tcW w:w="8484" w:type="dxa"/>
          </w:tcPr>
          <w:p>
            <w:pPr>
              <w:pStyle w:val="TableParagraph"/>
              <w:spacing w:before="119"/>
              <w:ind w:left="298"/>
              <w:rPr>
                <w:b/>
                <w:sz w:val="20"/>
              </w:rPr>
            </w:pPr>
            <w:r>
              <w:rPr>
                <w:b/>
                <w:sz w:val="20"/>
              </w:rPr>
              <w:t>Introduction and Minutes</w:t>
            </w:r>
          </w:p>
          <w:p>
            <w:pPr>
              <w:pStyle w:val="TableParagraph"/>
              <w:spacing w:before="3"/>
              <w:rPr>
                <w:rFonts w:ascii="Times New Roman"/>
                <w:sz w:val="20"/>
              </w:rPr>
            </w:pPr>
          </w:p>
          <w:p>
            <w:pPr>
              <w:pStyle w:val="TableParagraph"/>
              <w:ind w:left="298"/>
              <w:rPr>
                <w:sz w:val="20"/>
              </w:rPr>
            </w:pPr>
            <w:r>
              <w:rPr>
                <w:sz w:val="20"/>
              </w:rPr>
              <w:t>The minutes of the 4 September 2018 meeting were approved.</w:t>
            </w:r>
          </w:p>
        </w:tc>
      </w:tr>
      <w:tr>
        <w:trPr>
          <w:trHeight w:val="3578" w:hRule="atLeast"/>
        </w:trPr>
        <w:tc>
          <w:tcPr>
            <w:tcW w:w="1300" w:type="dxa"/>
          </w:tcPr>
          <w:p>
            <w:pPr>
              <w:pStyle w:val="TableParagraph"/>
              <w:spacing w:before="118"/>
              <w:ind w:left="108"/>
              <w:rPr>
                <w:sz w:val="20"/>
              </w:rPr>
            </w:pPr>
            <w:r>
              <w:rPr>
                <w:sz w:val="20"/>
              </w:rPr>
              <w:t>2.</w:t>
            </w:r>
          </w:p>
        </w:tc>
        <w:tc>
          <w:tcPr>
            <w:tcW w:w="8484" w:type="dxa"/>
          </w:tcPr>
          <w:p>
            <w:pPr>
              <w:pStyle w:val="TableParagraph"/>
              <w:spacing w:before="115"/>
              <w:ind w:left="298"/>
              <w:jc w:val="both"/>
              <w:rPr>
                <w:b/>
                <w:sz w:val="20"/>
              </w:rPr>
            </w:pPr>
            <w:r>
              <w:rPr>
                <w:b/>
                <w:sz w:val="20"/>
              </w:rPr>
              <w:t>GFXC Meeting Report</w:t>
            </w:r>
          </w:p>
          <w:p>
            <w:pPr>
              <w:pStyle w:val="TableParagraph"/>
              <w:spacing w:before="3"/>
              <w:rPr>
                <w:rFonts w:ascii="Times New Roman"/>
                <w:sz w:val="20"/>
              </w:rPr>
            </w:pPr>
          </w:p>
          <w:p>
            <w:pPr>
              <w:pStyle w:val="TableParagraph"/>
              <w:ind w:left="298" w:right="1663"/>
              <w:jc w:val="both"/>
              <w:rPr>
                <w:sz w:val="20"/>
              </w:rPr>
            </w:pPr>
            <w:r>
              <w:rPr>
                <w:sz w:val="20"/>
              </w:rPr>
              <w:t>Grigoria Christodoulou and Jonathan Grant reported on the recent GFXC Meeting, held on 29 and 30 November in Paris, France. On the first day of the meeting, the GFXC received updates from the 4 working groups that the GFXC had established to consider specific issues regarding: (i) the use of ‘cover and deal’ in the global FX market; (ii) the role that disclosures can play in establishing clarity around trading practices between market participants; (iii) “embedding the Code” in the global FX market; and (iv) “buy-side outreach” to further buy-side adoption of the FX Global</w:t>
            </w:r>
            <w:r>
              <w:rPr>
                <w:spacing w:val="-2"/>
                <w:sz w:val="20"/>
              </w:rPr>
              <w:t> </w:t>
            </w:r>
            <w:r>
              <w:rPr>
                <w:sz w:val="20"/>
              </w:rPr>
              <w:t>Code.</w:t>
            </w:r>
          </w:p>
          <w:p>
            <w:pPr>
              <w:pStyle w:val="TableParagraph"/>
              <w:spacing w:before="10"/>
              <w:rPr>
                <w:rFonts w:ascii="Times New Roman"/>
                <w:sz w:val="20"/>
              </w:rPr>
            </w:pPr>
          </w:p>
          <w:p>
            <w:pPr>
              <w:pStyle w:val="TableParagraph"/>
              <w:spacing w:line="230" w:lineRule="atLeast"/>
              <w:ind w:left="298" w:right="1668"/>
              <w:jc w:val="both"/>
              <w:rPr>
                <w:sz w:val="20"/>
              </w:rPr>
            </w:pPr>
            <w:r>
              <w:rPr>
                <w:sz w:val="20"/>
              </w:rPr>
              <w:t>On the second day, the GFXC Vice-Chairs facilitated a discussion on recent developments and emerging trends in foreign exchange markets. Following this, representatives from each of the GFXC committees</w:t>
            </w:r>
          </w:p>
        </w:tc>
      </w:tr>
    </w:tbl>
    <w:p>
      <w:pPr>
        <w:spacing w:after="0" w:line="230" w:lineRule="atLeast"/>
        <w:jc w:val="both"/>
        <w:rPr>
          <w:sz w:val="20"/>
        </w:rPr>
        <w:sectPr>
          <w:type w:val="continuous"/>
          <w:pgSz w:w="11910" w:h="16840"/>
          <w:pgMar w:top="1580" w:bottom="280" w:left="860" w:right="960"/>
        </w:sectPr>
      </w:pPr>
    </w:p>
    <w:p>
      <w:pPr>
        <w:pStyle w:val="BodyText"/>
        <w:spacing w:before="67"/>
        <w:ind w:right="396"/>
        <w:jc w:val="right"/>
      </w:pPr>
      <w:r>
        <w:rPr>
          <w:w w:val="99"/>
        </w:rPr>
        <w:t>2</w:t>
      </w:r>
    </w:p>
    <w:p>
      <w:pPr>
        <w:pStyle w:val="BodyText"/>
        <w:spacing w:before="10" w:after="1"/>
        <w:rPr>
          <w:sz w:val="2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8"/>
        <w:gridCol w:w="7380"/>
      </w:tblGrid>
      <w:tr>
        <w:trPr>
          <w:trHeight w:val="2186" w:hRule="atLeast"/>
        </w:trPr>
        <w:tc>
          <w:tcPr>
            <w:tcW w:w="1028" w:type="dxa"/>
          </w:tcPr>
          <w:p>
            <w:pPr>
              <w:pStyle w:val="TableParagraph"/>
              <w:rPr>
                <w:rFonts w:ascii="Times New Roman"/>
                <w:sz w:val="18"/>
              </w:rPr>
            </w:pPr>
          </w:p>
        </w:tc>
        <w:tc>
          <w:tcPr>
            <w:tcW w:w="7380" w:type="dxa"/>
          </w:tcPr>
          <w:p>
            <w:pPr>
              <w:pStyle w:val="TableParagraph"/>
              <w:ind w:left="662" w:right="197"/>
              <w:jc w:val="both"/>
              <w:rPr>
                <w:sz w:val="20"/>
              </w:rPr>
            </w:pPr>
            <w:r>
              <w:rPr>
                <w:sz w:val="20"/>
              </w:rPr>
              <w:t>provided an update on recent activities and developments in their jurisdictions. Of particular note was the update from the Tokyo FX Committee, who informed the GFXC that, as a result of the imperial transition planned for April and May 2019, the traditional Golden Week holidays in Japan will be longer in 2019, with 10 consecutive non- business days from 27 April to 6 May. The Tokyo FXC asked local FXCs to ensure their markets were aware of this extended public holiday in Japan, and ensure their participants were aware of any implications for FX settlement.</w:t>
            </w:r>
          </w:p>
        </w:tc>
      </w:tr>
      <w:tr>
        <w:trPr>
          <w:trHeight w:val="2770" w:hRule="atLeast"/>
        </w:trPr>
        <w:tc>
          <w:tcPr>
            <w:tcW w:w="1028" w:type="dxa"/>
          </w:tcPr>
          <w:p>
            <w:pPr>
              <w:pStyle w:val="TableParagraph"/>
              <w:spacing w:before="118"/>
              <w:ind w:left="200"/>
              <w:rPr>
                <w:sz w:val="20"/>
              </w:rPr>
            </w:pPr>
            <w:r>
              <w:rPr>
                <w:sz w:val="20"/>
              </w:rPr>
              <w:t>3.</w:t>
            </w:r>
          </w:p>
        </w:tc>
        <w:tc>
          <w:tcPr>
            <w:tcW w:w="7380" w:type="dxa"/>
          </w:tcPr>
          <w:p>
            <w:pPr>
              <w:pStyle w:val="TableParagraph"/>
              <w:spacing w:before="115"/>
              <w:ind w:left="662"/>
              <w:jc w:val="both"/>
              <w:rPr>
                <w:b/>
                <w:sz w:val="20"/>
              </w:rPr>
            </w:pPr>
            <w:r>
              <w:rPr>
                <w:b/>
                <w:sz w:val="20"/>
              </w:rPr>
              <w:t>EU Withdrawal Update</w:t>
            </w:r>
          </w:p>
          <w:p>
            <w:pPr>
              <w:pStyle w:val="TableParagraph"/>
              <w:spacing w:before="1"/>
              <w:rPr>
                <w:sz w:val="20"/>
              </w:rPr>
            </w:pPr>
          </w:p>
          <w:p>
            <w:pPr>
              <w:pStyle w:val="TableParagraph"/>
              <w:ind w:left="662" w:right="198"/>
              <w:jc w:val="both"/>
              <w:rPr>
                <w:sz w:val="20"/>
              </w:rPr>
            </w:pPr>
            <w:r>
              <w:rPr>
                <w:sz w:val="20"/>
              </w:rPr>
              <w:t>Following the update he provided to the April 2018 FXJSC Legal Sub- Committee meeting, Tim Scott of the EU Withdrawal Division of the Bank’s Legal Directorate returned to provide a further update on recent developments in relation to the UK leaving the EU, including the passing of the European Union (Withdrawal) Act 2018 and the arrangements being made by HM Treasury, working with the Bank of England and the Financial Conduct Authority, to “onshore” existing EU laws so, following the UK’s departure from the EU, such laws continue to operate as part of UK domestic law with any necessary amendments.</w:t>
            </w:r>
          </w:p>
        </w:tc>
      </w:tr>
      <w:tr>
        <w:trPr>
          <w:trHeight w:val="818" w:hRule="atLeast"/>
        </w:trPr>
        <w:tc>
          <w:tcPr>
            <w:tcW w:w="1028" w:type="dxa"/>
          </w:tcPr>
          <w:p>
            <w:pPr>
              <w:pStyle w:val="TableParagraph"/>
              <w:spacing w:before="118"/>
              <w:ind w:left="200"/>
              <w:rPr>
                <w:sz w:val="20"/>
              </w:rPr>
            </w:pPr>
            <w:r>
              <w:rPr>
                <w:sz w:val="20"/>
              </w:rPr>
              <w:t>4.</w:t>
            </w:r>
          </w:p>
        </w:tc>
        <w:tc>
          <w:tcPr>
            <w:tcW w:w="7380" w:type="dxa"/>
          </w:tcPr>
          <w:p>
            <w:pPr>
              <w:pStyle w:val="TableParagraph"/>
              <w:spacing w:before="115"/>
              <w:ind w:left="662"/>
              <w:rPr>
                <w:b/>
                <w:sz w:val="20"/>
              </w:rPr>
            </w:pPr>
            <w:r>
              <w:rPr>
                <w:b/>
                <w:sz w:val="20"/>
              </w:rPr>
              <w:t>Any Other Business</w:t>
            </w:r>
          </w:p>
          <w:p>
            <w:pPr>
              <w:pStyle w:val="TableParagraph"/>
              <w:spacing w:before="1"/>
              <w:rPr>
                <w:sz w:val="21"/>
              </w:rPr>
            </w:pPr>
          </w:p>
          <w:p>
            <w:pPr>
              <w:pStyle w:val="TableParagraph"/>
              <w:spacing w:line="210" w:lineRule="exact" w:before="1"/>
              <w:ind w:left="662"/>
              <w:rPr>
                <w:sz w:val="20"/>
              </w:rPr>
            </w:pPr>
            <w:r>
              <w:rPr>
                <w:sz w:val="20"/>
              </w:rPr>
              <w:t>None</w:t>
            </w:r>
          </w:p>
        </w:tc>
      </w:tr>
    </w:tbl>
    <w:sectPr>
      <w:pgSz w:w="11910" w:h="16840"/>
      <w:pgMar w:top="480" w:bottom="280" w:left="8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2020-06-01T02:00:42Z</dcterms:created>
  <dcterms:modified xsi:type="dcterms:W3CDTF">2020-06-01T02:00:42Z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LastSaved">
    <vt:filetime>2020-06-01T00:00:00Z</vt:filetime>
  </property>
</Properties>
</file>