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16"/>
        <w:ind w:left="116" w:right="0" w:firstLine="0"/>
        <w:jc w:val="left"/>
        <w:rPr>
          <w:sz w:val="41"/>
        </w:rPr>
      </w:pPr>
      <w:r>
        <w:rPr>
          <w:sz w:val="41"/>
        </w:rPr>
        <w:t>Minutes</w:t>
      </w:r>
    </w:p>
    <w:p>
      <w:pPr>
        <w:spacing w:before="326"/>
        <w:ind w:left="116" w:right="0" w:firstLine="0"/>
        <w:jc w:val="left"/>
        <w:rPr>
          <w:b/>
          <w:sz w:val="22"/>
        </w:rPr>
      </w:pPr>
      <w:r>
        <w:rPr>
          <w:b/>
          <w:sz w:val="22"/>
        </w:rPr>
        <w:t>Foreign Exchange Joint Standing Committee Legal Sub-Committee</w:t>
      </w:r>
    </w:p>
    <w:p>
      <w:pPr>
        <w:spacing w:before="44"/>
        <w:ind w:left="116" w:right="0" w:firstLine="0"/>
        <w:jc w:val="left"/>
        <w:rPr>
          <w:sz w:val="22"/>
        </w:rPr>
      </w:pPr>
      <w:r>
        <w:rPr>
          <w:sz w:val="22"/>
        </w:rPr>
        <w:t>4 September 2018</w:t>
      </w:r>
    </w:p>
    <w:p>
      <w:pPr>
        <w:pStyle w:val="BodyText"/>
        <w:rPr>
          <w:sz w:val="20"/>
        </w:rPr>
      </w:pPr>
    </w:p>
    <w:p>
      <w:pPr>
        <w:pStyle w:val="BodyText"/>
        <w:tabs>
          <w:tab w:pos="1514" w:val="left" w:leader="none"/>
        </w:tabs>
        <w:spacing w:line="466" w:lineRule="exact" w:before="40"/>
        <w:ind w:left="116" w:right="1358"/>
      </w:pPr>
      <w:r>
        <w:rPr/>
        <w:pict>
          <v:line style="position:absolute;mso-position-horizontal-relative:page;mso-position-vertical-relative:paragraph;z-index:251658240" from="75.840004pt,1.620018pt" to="535.560028pt,1.620018pt" stroked="true" strokeweight=".359997pt" strokecolor="#000000">
            <v:stroke dashstyle="solid"/>
            <w10:wrap type="none"/>
          </v:line>
        </w:pict>
      </w:r>
      <w:r>
        <w:rPr>
          <w:w w:val="105"/>
        </w:rPr>
        <w:t>Location:</w:t>
        <w:tab/>
        <w:t>Goldman</w:t>
      </w:r>
      <w:r>
        <w:rPr>
          <w:spacing w:val="-6"/>
          <w:w w:val="105"/>
        </w:rPr>
        <w:t> </w:t>
      </w:r>
      <w:r>
        <w:rPr>
          <w:w w:val="105"/>
        </w:rPr>
        <w:t>Sachs,</w:t>
      </w:r>
      <w:r>
        <w:rPr>
          <w:spacing w:val="-7"/>
          <w:w w:val="105"/>
        </w:rPr>
        <w:t> </w:t>
      </w:r>
      <w:r>
        <w:rPr>
          <w:w w:val="105"/>
        </w:rPr>
        <w:t>Peterborough</w:t>
      </w:r>
      <w:r>
        <w:rPr>
          <w:spacing w:val="-6"/>
          <w:w w:val="105"/>
        </w:rPr>
        <w:t> </w:t>
      </w:r>
      <w:r>
        <w:rPr>
          <w:w w:val="105"/>
        </w:rPr>
        <w:t>Court,</w:t>
      </w:r>
      <w:r>
        <w:rPr>
          <w:spacing w:val="-5"/>
          <w:w w:val="105"/>
        </w:rPr>
        <w:t> </w:t>
      </w:r>
      <w:r>
        <w:rPr>
          <w:w w:val="105"/>
        </w:rPr>
        <w:t>133</w:t>
      </w:r>
      <w:r>
        <w:rPr>
          <w:spacing w:val="-6"/>
          <w:w w:val="105"/>
        </w:rPr>
        <w:t> </w:t>
      </w:r>
      <w:r>
        <w:rPr>
          <w:w w:val="105"/>
        </w:rPr>
        <w:t>Fleet</w:t>
      </w:r>
      <w:r>
        <w:rPr>
          <w:spacing w:val="-5"/>
          <w:w w:val="105"/>
        </w:rPr>
        <w:t> </w:t>
      </w:r>
      <w:r>
        <w:rPr>
          <w:w w:val="105"/>
        </w:rPr>
        <w:t>Street,</w:t>
      </w:r>
      <w:r>
        <w:rPr>
          <w:spacing w:val="-9"/>
          <w:w w:val="105"/>
        </w:rPr>
        <w:t> </w:t>
      </w:r>
      <w:r>
        <w:rPr>
          <w:w w:val="105"/>
        </w:rPr>
        <w:t>London,</w:t>
      </w:r>
      <w:r>
        <w:rPr>
          <w:spacing w:val="-7"/>
          <w:w w:val="105"/>
        </w:rPr>
        <w:t> </w:t>
      </w:r>
      <w:r>
        <w:rPr>
          <w:w w:val="105"/>
        </w:rPr>
        <w:t>EC4A</w:t>
      </w:r>
      <w:r>
        <w:rPr>
          <w:spacing w:val="-7"/>
          <w:w w:val="105"/>
        </w:rPr>
        <w:t> </w:t>
      </w:r>
      <w:r>
        <w:rPr>
          <w:w w:val="105"/>
        </w:rPr>
        <w:t>2BB Attendees:</w:t>
        <w:tab/>
      </w:r>
      <w:r>
        <w:rPr>
          <w:b/>
          <w:w w:val="105"/>
        </w:rPr>
        <w:t>Bank of England</w:t>
      </w:r>
      <w:r>
        <w:rPr>
          <w:w w:val="105"/>
        </w:rPr>
        <w:t>: Jonathan Grant (Secretary), Charlotte</w:t>
      </w:r>
      <w:r>
        <w:rPr>
          <w:spacing w:val="-38"/>
          <w:w w:val="105"/>
        </w:rPr>
        <w:t> </w:t>
      </w:r>
      <w:r>
        <w:rPr>
          <w:w w:val="105"/>
        </w:rPr>
        <w:t>Pope-Williams,</w:t>
      </w:r>
    </w:p>
    <w:p>
      <w:pPr>
        <w:spacing w:line="192" w:lineRule="exact" w:before="0"/>
        <w:ind w:left="1515" w:right="0" w:firstLine="0"/>
        <w:jc w:val="left"/>
        <w:rPr>
          <w:sz w:val="18"/>
        </w:rPr>
      </w:pPr>
      <w:r>
        <w:rPr>
          <w:b/>
          <w:w w:val="105"/>
          <w:sz w:val="18"/>
        </w:rPr>
        <w:t>Bank of New York Mellon: </w:t>
      </w:r>
      <w:r>
        <w:rPr>
          <w:w w:val="105"/>
          <w:sz w:val="18"/>
        </w:rPr>
        <w:t>Jacqueline Joyston-Bechal</w:t>
      </w:r>
    </w:p>
    <w:p>
      <w:pPr>
        <w:spacing w:before="45"/>
        <w:ind w:left="1515" w:right="0" w:firstLine="0"/>
        <w:jc w:val="left"/>
        <w:rPr>
          <w:sz w:val="18"/>
        </w:rPr>
      </w:pPr>
      <w:r>
        <w:rPr>
          <w:b/>
          <w:w w:val="105"/>
          <w:sz w:val="18"/>
        </w:rPr>
        <w:t>Brick Court Chambers: </w:t>
      </w:r>
      <w:r>
        <w:rPr>
          <w:w w:val="105"/>
          <w:sz w:val="18"/>
        </w:rPr>
        <w:t>Jasbir Dhillon QC (Guest Speaker)</w:t>
      </w:r>
    </w:p>
    <w:p>
      <w:pPr>
        <w:spacing w:before="40"/>
        <w:ind w:left="1515" w:right="0" w:firstLine="0"/>
        <w:jc w:val="left"/>
        <w:rPr>
          <w:sz w:val="18"/>
        </w:rPr>
      </w:pPr>
      <w:r>
        <w:rPr>
          <w:b/>
          <w:w w:val="105"/>
          <w:sz w:val="18"/>
        </w:rPr>
        <w:t>Deutsche Bank</w:t>
      </w:r>
      <w:r>
        <w:rPr>
          <w:w w:val="105"/>
          <w:sz w:val="18"/>
        </w:rPr>
        <w:t>: Simon Goldsworthy</w:t>
      </w:r>
    </w:p>
    <w:p>
      <w:pPr>
        <w:spacing w:before="42"/>
        <w:ind w:left="1515" w:right="0" w:firstLine="0"/>
        <w:jc w:val="left"/>
        <w:rPr>
          <w:sz w:val="18"/>
        </w:rPr>
      </w:pPr>
      <w:r>
        <w:rPr>
          <w:b/>
          <w:w w:val="105"/>
          <w:sz w:val="18"/>
        </w:rPr>
        <w:t>Financial Conduct Authority (FCA)</w:t>
      </w:r>
      <w:r>
        <w:rPr>
          <w:w w:val="105"/>
          <w:sz w:val="18"/>
        </w:rPr>
        <w:t>: David Harris</w:t>
      </w:r>
    </w:p>
    <w:p>
      <w:pPr>
        <w:spacing w:line="290" w:lineRule="auto" w:before="41"/>
        <w:ind w:left="1515" w:right="2099" w:firstLine="0"/>
        <w:jc w:val="left"/>
        <w:rPr>
          <w:sz w:val="18"/>
        </w:rPr>
      </w:pPr>
      <w:r>
        <w:rPr>
          <w:b/>
          <w:w w:val="105"/>
          <w:sz w:val="18"/>
        </w:rPr>
        <w:t>Goldman Sachs</w:t>
      </w:r>
      <w:r>
        <w:rPr>
          <w:w w:val="105"/>
          <w:sz w:val="18"/>
        </w:rPr>
        <w:t>: Dan Parker (Chair), Rowland Stacey </w:t>
      </w:r>
      <w:r>
        <w:rPr>
          <w:b/>
          <w:w w:val="105"/>
          <w:sz w:val="18"/>
        </w:rPr>
        <w:t>Linklaters: </w:t>
      </w:r>
      <w:r>
        <w:rPr>
          <w:w w:val="105"/>
          <w:sz w:val="18"/>
        </w:rPr>
        <w:t>Paul Lewis, Charitha Shashiraj (Guest Speakers) </w:t>
      </w:r>
      <w:r>
        <w:rPr>
          <w:b/>
          <w:w w:val="105"/>
          <w:sz w:val="18"/>
        </w:rPr>
        <w:t>Morgan Stanley</w:t>
      </w:r>
      <w:r>
        <w:rPr>
          <w:w w:val="105"/>
          <w:sz w:val="18"/>
        </w:rPr>
        <w:t>: Nimisha Kanabar</w:t>
      </w:r>
    </w:p>
    <w:p>
      <w:pPr>
        <w:spacing w:line="288" w:lineRule="auto" w:before="0"/>
        <w:ind w:left="1515" w:right="4399" w:firstLine="0"/>
        <w:jc w:val="left"/>
        <w:rPr>
          <w:sz w:val="18"/>
        </w:rPr>
      </w:pPr>
      <w:r>
        <w:rPr>
          <w:b/>
          <w:w w:val="105"/>
          <w:sz w:val="18"/>
        </w:rPr>
        <w:t>RBS/Natwest Markets</w:t>
      </w:r>
      <w:r>
        <w:rPr>
          <w:w w:val="105"/>
          <w:sz w:val="18"/>
        </w:rPr>
        <w:t>: Baljit Saini </w:t>
      </w:r>
      <w:r>
        <w:rPr>
          <w:b/>
          <w:w w:val="105"/>
          <w:sz w:val="18"/>
        </w:rPr>
        <w:t>Standard Chartered</w:t>
      </w:r>
      <w:r>
        <w:rPr>
          <w:w w:val="105"/>
          <w:sz w:val="18"/>
        </w:rPr>
        <w:t>: Rakesh Shah </w:t>
      </w:r>
      <w:r>
        <w:rPr>
          <w:b/>
          <w:w w:val="105"/>
          <w:sz w:val="18"/>
        </w:rPr>
        <w:t>TP ICAP</w:t>
      </w:r>
      <w:r>
        <w:rPr>
          <w:w w:val="105"/>
          <w:sz w:val="18"/>
        </w:rPr>
        <w:t>: Simon Helm</w:t>
      </w:r>
    </w:p>
    <w:p>
      <w:pPr>
        <w:pStyle w:val="BodyText"/>
        <w:spacing w:before="2"/>
      </w:pPr>
    </w:p>
    <w:p>
      <w:pPr>
        <w:tabs>
          <w:tab w:pos="1515" w:val="left" w:leader="none"/>
        </w:tabs>
        <w:spacing w:before="1"/>
        <w:ind w:left="116" w:right="0" w:firstLine="0"/>
        <w:jc w:val="left"/>
        <w:rPr>
          <w:sz w:val="18"/>
        </w:rPr>
      </w:pPr>
      <w:r>
        <w:rPr>
          <w:w w:val="105"/>
          <w:sz w:val="18"/>
        </w:rPr>
        <w:t>Dialled</w:t>
      </w:r>
      <w:r>
        <w:rPr>
          <w:spacing w:val="-6"/>
          <w:w w:val="105"/>
          <w:sz w:val="18"/>
        </w:rPr>
        <w:t> </w:t>
      </w:r>
      <w:r>
        <w:rPr>
          <w:w w:val="105"/>
          <w:sz w:val="18"/>
        </w:rPr>
        <w:t>in:</w:t>
        <w:tab/>
      </w:r>
      <w:r>
        <w:rPr>
          <w:b/>
          <w:w w:val="105"/>
          <w:sz w:val="18"/>
        </w:rPr>
        <w:t>Bank of America Merrill Lynch</w:t>
      </w:r>
      <w:r>
        <w:rPr>
          <w:w w:val="105"/>
          <w:sz w:val="18"/>
        </w:rPr>
        <w:t>: Jateen</w:t>
      </w:r>
      <w:r>
        <w:rPr>
          <w:spacing w:val="-2"/>
          <w:w w:val="105"/>
          <w:sz w:val="18"/>
        </w:rPr>
        <w:t> </w:t>
      </w:r>
      <w:r>
        <w:rPr>
          <w:w w:val="105"/>
          <w:sz w:val="18"/>
        </w:rPr>
        <w:t>Shah</w:t>
      </w:r>
    </w:p>
    <w:p>
      <w:pPr>
        <w:pStyle w:val="BodyText"/>
        <w:spacing w:before="42"/>
        <w:ind w:left="1515"/>
      </w:pPr>
      <w:r>
        <w:rPr>
          <w:b/>
          <w:w w:val="105"/>
        </w:rPr>
        <w:t>HSBC</w:t>
      </w:r>
      <w:r>
        <w:rPr>
          <w:w w:val="105"/>
        </w:rPr>
        <w:t>: Harkamal Singh Atwal</w:t>
      </w:r>
    </w:p>
    <w:p>
      <w:pPr>
        <w:pStyle w:val="BodyText"/>
        <w:spacing w:before="6"/>
        <w:rPr>
          <w:sz w:val="22"/>
        </w:rPr>
      </w:pPr>
    </w:p>
    <w:p>
      <w:pPr>
        <w:pStyle w:val="BodyText"/>
        <w:tabs>
          <w:tab w:pos="1515" w:val="left" w:leader="none"/>
        </w:tabs>
        <w:ind w:left="116"/>
      </w:pPr>
      <w:r>
        <w:rPr>
          <w:w w:val="105"/>
        </w:rPr>
        <w:t>Apologies:</w:t>
        <w:tab/>
      </w:r>
      <w:r>
        <w:rPr>
          <w:b/>
          <w:w w:val="105"/>
        </w:rPr>
        <w:t>Barclays</w:t>
      </w:r>
      <w:r>
        <w:rPr>
          <w:w w:val="105"/>
        </w:rPr>
        <w:t>: Nasia</w:t>
      </w:r>
      <w:r>
        <w:rPr>
          <w:spacing w:val="-2"/>
          <w:w w:val="105"/>
        </w:rPr>
        <w:t> </w:t>
      </w:r>
      <w:r>
        <w:rPr>
          <w:w w:val="105"/>
        </w:rPr>
        <w:t>Pachitipallikaropoulou</w:t>
      </w:r>
    </w:p>
    <w:p>
      <w:pPr>
        <w:spacing w:before="42"/>
        <w:ind w:left="1515" w:right="0" w:firstLine="0"/>
        <w:jc w:val="left"/>
        <w:rPr>
          <w:sz w:val="18"/>
        </w:rPr>
      </w:pPr>
      <w:r>
        <w:rPr>
          <w:b/>
          <w:w w:val="105"/>
          <w:sz w:val="18"/>
        </w:rPr>
        <w:t>Citigroup</w:t>
      </w:r>
      <w:r>
        <w:rPr>
          <w:w w:val="105"/>
          <w:sz w:val="18"/>
        </w:rPr>
        <w:t>: Sharon Blackman</w:t>
      </w:r>
    </w:p>
    <w:p>
      <w:pPr>
        <w:pStyle w:val="BodyText"/>
        <w:spacing w:before="41"/>
        <w:ind w:left="1515"/>
      </w:pPr>
      <w:r>
        <w:rPr>
          <w:b/>
          <w:w w:val="105"/>
        </w:rPr>
        <w:t>CLS</w:t>
      </w:r>
      <w:r>
        <w:rPr>
          <w:w w:val="105"/>
        </w:rPr>
        <w:t>: Gaynor</w:t>
      </w:r>
      <w:r>
        <w:rPr>
          <w:spacing w:val="-17"/>
          <w:w w:val="105"/>
        </w:rPr>
        <w:t> </w:t>
      </w:r>
      <w:r>
        <w:rPr>
          <w:w w:val="105"/>
        </w:rPr>
        <w:t>Wood</w:t>
      </w:r>
    </w:p>
    <w:p>
      <w:pPr>
        <w:spacing w:line="285" w:lineRule="auto" w:before="42"/>
        <w:ind w:left="1515" w:right="5441" w:firstLine="0"/>
        <w:jc w:val="both"/>
        <w:rPr>
          <w:sz w:val="18"/>
        </w:rPr>
      </w:pPr>
      <w:r>
        <w:rPr>
          <w:b/>
          <w:w w:val="105"/>
          <w:sz w:val="18"/>
        </w:rPr>
        <w:t>JP Morgan</w:t>
      </w:r>
      <w:r>
        <w:rPr>
          <w:w w:val="105"/>
          <w:sz w:val="18"/>
        </w:rPr>
        <w:t>: Tamsin Rolls </w:t>
      </w:r>
      <w:r>
        <w:rPr>
          <w:b/>
          <w:w w:val="105"/>
          <w:sz w:val="18"/>
        </w:rPr>
        <w:t>LCH</w:t>
      </w:r>
      <w:r>
        <w:rPr>
          <w:w w:val="105"/>
          <w:sz w:val="18"/>
        </w:rPr>
        <w:t>: Diane</w:t>
      </w:r>
      <w:r>
        <w:rPr>
          <w:spacing w:val="-21"/>
          <w:w w:val="105"/>
          <w:sz w:val="18"/>
        </w:rPr>
        <w:t> </w:t>
      </w:r>
      <w:r>
        <w:rPr>
          <w:w w:val="105"/>
          <w:sz w:val="18"/>
        </w:rPr>
        <w:t>Bouwmeester </w:t>
      </w:r>
      <w:r>
        <w:rPr>
          <w:b/>
          <w:w w:val="105"/>
          <w:sz w:val="18"/>
        </w:rPr>
        <w:t>UBS</w:t>
      </w:r>
      <w:r>
        <w:rPr>
          <w:w w:val="105"/>
          <w:sz w:val="18"/>
        </w:rPr>
        <w:t>: Richard</w:t>
      </w:r>
      <w:r>
        <w:rPr>
          <w:spacing w:val="-7"/>
          <w:w w:val="105"/>
          <w:sz w:val="18"/>
        </w:rPr>
        <w:t> </w:t>
      </w:r>
      <w:r>
        <w:rPr>
          <w:w w:val="105"/>
          <w:sz w:val="18"/>
        </w:rPr>
        <w:t>Lamb</w:t>
      </w:r>
    </w:p>
    <w:p>
      <w:pPr>
        <w:spacing w:line="181" w:lineRule="exact" w:before="0"/>
        <w:ind w:left="1515" w:right="0" w:firstLine="0"/>
        <w:jc w:val="left"/>
        <w:rPr>
          <w:sz w:val="18"/>
        </w:rPr>
      </w:pPr>
      <w:r>
        <w:rPr>
          <w:b/>
          <w:w w:val="105"/>
          <w:sz w:val="18"/>
        </w:rPr>
        <w:t>XTX Markets</w:t>
      </w:r>
      <w:r>
        <w:rPr>
          <w:w w:val="105"/>
          <w:sz w:val="18"/>
        </w:rPr>
        <w:t>: Sunil Samani</w:t>
      </w:r>
    </w:p>
    <w:p>
      <w:pPr>
        <w:pStyle w:val="BodyText"/>
        <w:rPr>
          <w:sz w:val="20"/>
        </w:rPr>
      </w:pPr>
    </w:p>
    <w:p>
      <w:pPr>
        <w:pStyle w:val="BodyText"/>
        <w:rPr>
          <w:sz w:val="20"/>
        </w:rPr>
      </w:pPr>
    </w:p>
    <w:p>
      <w:pPr>
        <w:pStyle w:val="BodyText"/>
        <w:rPr>
          <w:sz w:val="23"/>
        </w:rPr>
      </w:pPr>
    </w:p>
    <w:p>
      <w:pPr>
        <w:pStyle w:val="Heading1"/>
        <w:tabs>
          <w:tab w:pos="1619" w:val="left" w:leader="none"/>
        </w:tabs>
        <w:ind w:left="217" w:firstLine="0"/>
      </w:pPr>
      <w:r>
        <w:rPr/>
        <w:pict>
          <v:line style="position:absolute;mso-position-horizontal-relative:page;mso-position-vertical-relative:paragraph;z-index:251659264" from="75.840004pt,-11.238106pt" to="535.560028pt,-11.238106pt" stroked="true" strokeweight=".240005pt" strokecolor="#000000">
            <v:stroke dashstyle="solid"/>
            <w10:wrap type="none"/>
          </v:line>
        </w:pict>
      </w:r>
      <w:r>
        <w:rPr>
          <w:w w:val="105"/>
        </w:rPr>
        <w:t>Minute</w:t>
      </w:r>
      <w:r>
        <w:rPr>
          <w:spacing w:val="-3"/>
          <w:w w:val="105"/>
        </w:rPr>
        <w:t> </w:t>
      </w:r>
      <w:r>
        <w:rPr>
          <w:w w:val="105"/>
        </w:rPr>
        <w:t>no.</w:t>
        <w:tab/>
        <w:t>Minute</w:t>
      </w:r>
    </w:p>
    <w:p>
      <w:pPr>
        <w:pStyle w:val="BodyText"/>
        <w:rPr>
          <w:b/>
          <w:sz w:val="21"/>
        </w:rPr>
      </w:pPr>
    </w:p>
    <w:p>
      <w:pPr>
        <w:pStyle w:val="ListParagraph"/>
        <w:numPr>
          <w:ilvl w:val="0"/>
          <w:numId w:val="1"/>
        </w:numPr>
        <w:tabs>
          <w:tab w:pos="1619" w:val="left" w:leader="none"/>
          <w:tab w:pos="1620" w:val="left" w:leader="none"/>
        </w:tabs>
        <w:spacing w:line="240" w:lineRule="auto" w:before="0" w:after="0"/>
        <w:ind w:left="1619" w:right="0" w:hanging="1403"/>
        <w:jc w:val="left"/>
        <w:rPr>
          <w:b/>
          <w:sz w:val="18"/>
        </w:rPr>
      </w:pPr>
      <w:r>
        <w:rPr>
          <w:b/>
          <w:w w:val="105"/>
          <w:sz w:val="18"/>
        </w:rPr>
        <w:t>Introduction and</w:t>
      </w:r>
      <w:r>
        <w:rPr>
          <w:b/>
          <w:spacing w:val="-1"/>
          <w:w w:val="105"/>
          <w:sz w:val="18"/>
        </w:rPr>
        <w:t> </w:t>
      </w:r>
      <w:r>
        <w:rPr>
          <w:b/>
          <w:w w:val="105"/>
          <w:sz w:val="18"/>
        </w:rPr>
        <w:t>Minutes</w:t>
      </w:r>
    </w:p>
    <w:p>
      <w:pPr>
        <w:pStyle w:val="BodyText"/>
        <w:spacing w:before="7"/>
        <w:rPr>
          <w:b/>
          <w:sz w:val="19"/>
        </w:rPr>
      </w:pPr>
    </w:p>
    <w:p>
      <w:pPr>
        <w:pStyle w:val="BodyText"/>
        <w:ind w:left="1619"/>
        <w:jc w:val="both"/>
      </w:pPr>
      <w:r>
        <w:rPr>
          <w:w w:val="105"/>
        </w:rPr>
        <w:t>The minutes of the 24 April 2018 meeting were approved.</w:t>
      </w:r>
    </w:p>
    <w:p>
      <w:pPr>
        <w:pStyle w:val="BodyText"/>
        <w:spacing w:before="4"/>
        <w:rPr>
          <w:sz w:val="20"/>
        </w:rPr>
      </w:pPr>
    </w:p>
    <w:p>
      <w:pPr>
        <w:pStyle w:val="Heading1"/>
        <w:numPr>
          <w:ilvl w:val="0"/>
          <w:numId w:val="1"/>
        </w:numPr>
        <w:tabs>
          <w:tab w:pos="1619" w:val="left" w:leader="none"/>
          <w:tab w:pos="1620" w:val="left" w:leader="none"/>
          <w:tab w:pos="3372" w:val="left" w:leader="none"/>
          <w:tab w:pos="5121" w:val="left" w:leader="none"/>
          <w:tab w:pos="6440" w:val="left" w:leader="none"/>
          <w:tab w:pos="6975" w:val="left" w:leader="none"/>
        </w:tabs>
        <w:spacing w:line="249" w:lineRule="auto" w:before="1" w:after="0"/>
        <w:ind w:left="1619" w:right="1402" w:hanging="1402"/>
        <w:jc w:val="left"/>
      </w:pPr>
      <w:r>
        <w:rPr>
          <w:w w:val="105"/>
        </w:rPr>
        <w:t>Cryptocurrencies</w:t>
        <w:tab/>
        <w:t>presentation  </w:t>
      </w:r>
      <w:r>
        <w:rPr>
          <w:spacing w:val="34"/>
          <w:w w:val="105"/>
        </w:rPr>
        <w:t> </w:t>
      </w:r>
      <w:r>
        <w:rPr>
          <w:w w:val="105"/>
        </w:rPr>
        <w:t>by</w:t>
        <w:tab/>
        <w:t>Paul  </w:t>
      </w:r>
      <w:r>
        <w:rPr>
          <w:spacing w:val="34"/>
          <w:w w:val="105"/>
        </w:rPr>
        <w:t> </w:t>
      </w:r>
      <w:r>
        <w:rPr>
          <w:w w:val="105"/>
        </w:rPr>
        <w:t>Lewis</w:t>
        <w:tab/>
        <w:t>and</w:t>
        <w:tab/>
      </w:r>
      <w:r>
        <w:rPr>
          <w:spacing w:val="-1"/>
        </w:rPr>
        <w:t>Charitha </w:t>
      </w:r>
      <w:r>
        <w:rPr>
          <w:w w:val="105"/>
        </w:rPr>
        <w:t>Shashiraj,</w:t>
      </w:r>
      <w:r>
        <w:rPr>
          <w:spacing w:val="-1"/>
          <w:w w:val="105"/>
        </w:rPr>
        <w:t> </w:t>
      </w:r>
      <w:r>
        <w:rPr>
          <w:w w:val="105"/>
        </w:rPr>
        <w:t>Linklaters</w:t>
      </w:r>
    </w:p>
    <w:p>
      <w:pPr>
        <w:pStyle w:val="BodyText"/>
        <w:spacing w:before="10"/>
        <w:rPr>
          <w:b/>
        </w:rPr>
      </w:pPr>
    </w:p>
    <w:p>
      <w:pPr>
        <w:pStyle w:val="BodyText"/>
        <w:spacing w:line="252" w:lineRule="auto"/>
        <w:ind w:left="1619" w:right="1394"/>
        <w:jc w:val="both"/>
      </w:pPr>
      <w:r>
        <w:rPr>
          <w:w w:val="105"/>
        </w:rPr>
        <w:t>Mr Lewis explained what cryptocurrencies are and how they can be identified. </w:t>
      </w:r>
      <w:r>
        <w:rPr>
          <w:spacing w:val="2"/>
          <w:w w:val="105"/>
        </w:rPr>
        <w:t>He </w:t>
      </w:r>
      <w:r>
        <w:rPr>
          <w:w w:val="105"/>
        </w:rPr>
        <w:t>also explained the distinction between cryptocurrencies and tokens, noting the recent increase of tokens in the market. Ms Shashiraj</w:t>
      </w:r>
      <w:r>
        <w:rPr>
          <w:spacing w:val="-6"/>
          <w:w w:val="105"/>
        </w:rPr>
        <w:t> </w:t>
      </w:r>
      <w:r>
        <w:rPr>
          <w:w w:val="105"/>
        </w:rPr>
        <w:t>considered</w:t>
      </w:r>
      <w:r>
        <w:rPr>
          <w:spacing w:val="-5"/>
          <w:w w:val="105"/>
        </w:rPr>
        <w:t> </w:t>
      </w:r>
      <w:r>
        <w:rPr>
          <w:w w:val="105"/>
        </w:rPr>
        <w:t>the</w:t>
      </w:r>
      <w:r>
        <w:rPr>
          <w:spacing w:val="-3"/>
          <w:w w:val="105"/>
        </w:rPr>
        <w:t> </w:t>
      </w:r>
      <w:r>
        <w:rPr>
          <w:w w:val="105"/>
        </w:rPr>
        <w:t>legal</w:t>
      </w:r>
      <w:r>
        <w:rPr>
          <w:spacing w:val="-2"/>
          <w:w w:val="105"/>
        </w:rPr>
        <w:t> </w:t>
      </w:r>
      <w:r>
        <w:rPr>
          <w:w w:val="105"/>
        </w:rPr>
        <w:t>status</w:t>
      </w:r>
      <w:r>
        <w:rPr>
          <w:spacing w:val="-7"/>
          <w:w w:val="105"/>
        </w:rPr>
        <w:t> </w:t>
      </w:r>
      <w:r>
        <w:rPr>
          <w:w w:val="105"/>
        </w:rPr>
        <w:t>of</w:t>
      </w:r>
      <w:r>
        <w:rPr>
          <w:spacing w:val="-5"/>
          <w:w w:val="105"/>
        </w:rPr>
        <w:t> </w:t>
      </w:r>
      <w:r>
        <w:rPr>
          <w:w w:val="105"/>
        </w:rPr>
        <w:t>cryptocurrencies</w:t>
      </w:r>
      <w:r>
        <w:rPr>
          <w:spacing w:val="-4"/>
          <w:w w:val="105"/>
        </w:rPr>
        <w:t> </w:t>
      </w:r>
      <w:r>
        <w:rPr>
          <w:w w:val="105"/>
        </w:rPr>
        <w:t>and</w:t>
      </w:r>
      <w:r>
        <w:rPr>
          <w:spacing w:val="-3"/>
          <w:w w:val="105"/>
        </w:rPr>
        <w:t> </w:t>
      </w:r>
      <w:r>
        <w:rPr>
          <w:w w:val="105"/>
        </w:rPr>
        <w:t>in</w:t>
      </w:r>
      <w:r>
        <w:rPr>
          <w:spacing w:val="-5"/>
          <w:w w:val="105"/>
        </w:rPr>
        <w:t> </w:t>
      </w:r>
      <w:r>
        <w:rPr>
          <w:w w:val="105"/>
        </w:rPr>
        <w:t>particular their status or lack thereof under property law. Mr Lewis and Ms Shashiraj spoke about case law that was of relevance in the context of cryptocurrencies as well as the potential applications of the technology underlying cryptocurrencies in financial</w:t>
      </w:r>
      <w:r>
        <w:rPr>
          <w:spacing w:val="-11"/>
          <w:w w:val="105"/>
        </w:rPr>
        <w:t> </w:t>
      </w:r>
      <w:r>
        <w:rPr>
          <w:w w:val="105"/>
        </w:rPr>
        <w:t>services.</w:t>
      </w:r>
    </w:p>
    <w:p>
      <w:pPr>
        <w:spacing w:after="0" w:line="252" w:lineRule="auto"/>
        <w:jc w:val="both"/>
        <w:sectPr>
          <w:type w:val="continuous"/>
          <w:pgSz w:w="12240" w:h="15840"/>
          <w:pgMar w:top="1500" w:bottom="280" w:left="1400" w:right="1700"/>
        </w:sectPr>
      </w:pPr>
    </w:p>
    <w:p>
      <w:pPr>
        <w:pStyle w:val="BodyText"/>
        <w:spacing w:before="76"/>
        <w:ind w:right="106"/>
        <w:jc w:val="right"/>
      </w:pPr>
      <w:r>
        <w:rPr>
          <w:w w:val="103"/>
        </w:rPr>
        <w:t>2</w:t>
      </w:r>
    </w:p>
    <w:p>
      <w:pPr>
        <w:pStyle w:val="BodyText"/>
        <w:rPr>
          <w:sz w:val="20"/>
        </w:rPr>
      </w:pPr>
    </w:p>
    <w:p>
      <w:pPr>
        <w:pStyle w:val="BodyText"/>
        <w:rPr>
          <w:sz w:val="20"/>
        </w:rPr>
      </w:pPr>
    </w:p>
    <w:p>
      <w:pPr>
        <w:pStyle w:val="BodyText"/>
        <w:spacing w:before="8"/>
      </w:pPr>
    </w:p>
    <w:p>
      <w:pPr>
        <w:pStyle w:val="ListParagraph"/>
        <w:numPr>
          <w:ilvl w:val="0"/>
          <w:numId w:val="1"/>
        </w:numPr>
        <w:tabs>
          <w:tab w:pos="1619" w:val="left" w:leader="none"/>
          <w:tab w:pos="1620" w:val="left" w:leader="none"/>
        </w:tabs>
        <w:spacing w:line="249" w:lineRule="auto" w:before="103" w:after="0"/>
        <w:ind w:left="1619" w:right="1549" w:hanging="1402"/>
        <w:jc w:val="left"/>
        <w:rPr>
          <w:b/>
          <w:sz w:val="18"/>
        </w:rPr>
      </w:pPr>
      <w:r>
        <w:rPr>
          <w:b/>
          <w:i/>
          <w:w w:val="105"/>
          <w:sz w:val="18"/>
        </w:rPr>
        <w:t>Lehman Brothers Special Finance Inc. v. (1) National Power </w:t>
      </w:r>
      <w:r>
        <w:rPr>
          <w:b/>
          <w:i/>
          <w:w w:val="105"/>
          <w:sz w:val="18"/>
        </w:rPr>
        <w:t>Corporation (2) Power Sector Asset and Liabilities Management Corp.</w:t>
      </w:r>
      <w:r>
        <w:rPr>
          <w:b/>
          <w:i/>
          <w:spacing w:val="-6"/>
          <w:w w:val="105"/>
          <w:sz w:val="18"/>
        </w:rPr>
        <w:t> </w:t>
      </w:r>
      <w:r>
        <w:rPr>
          <w:b/>
          <w:w w:val="105"/>
          <w:sz w:val="18"/>
        </w:rPr>
        <w:t>[2018]</w:t>
      </w:r>
      <w:r>
        <w:rPr>
          <w:b/>
          <w:spacing w:val="-5"/>
          <w:w w:val="105"/>
          <w:sz w:val="18"/>
        </w:rPr>
        <w:t> </w:t>
      </w:r>
      <w:r>
        <w:rPr>
          <w:b/>
          <w:w w:val="105"/>
          <w:sz w:val="18"/>
        </w:rPr>
        <w:t>EWHC</w:t>
      </w:r>
      <w:r>
        <w:rPr>
          <w:b/>
          <w:spacing w:val="-5"/>
          <w:w w:val="105"/>
          <w:sz w:val="18"/>
        </w:rPr>
        <w:t> </w:t>
      </w:r>
      <w:r>
        <w:rPr>
          <w:b/>
          <w:w w:val="105"/>
          <w:sz w:val="18"/>
        </w:rPr>
        <w:t>487</w:t>
      </w:r>
      <w:r>
        <w:rPr>
          <w:b/>
          <w:spacing w:val="-8"/>
          <w:w w:val="105"/>
          <w:sz w:val="18"/>
        </w:rPr>
        <w:t> </w:t>
      </w:r>
      <w:r>
        <w:rPr>
          <w:b/>
          <w:w w:val="105"/>
          <w:sz w:val="18"/>
        </w:rPr>
        <w:t>(Comm)</w:t>
      </w:r>
      <w:r>
        <w:rPr>
          <w:b/>
          <w:spacing w:val="-5"/>
          <w:w w:val="105"/>
          <w:sz w:val="18"/>
        </w:rPr>
        <w:t> </w:t>
      </w:r>
      <w:r>
        <w:rPr>
          <w:b/>
          <w:w w:val="105"/>
          <w:sz w:val="18"/>
        </w:rPr>
        <w:t>presentation</w:t>
      </w:r>
      <w:r>
        <w:rPr>
          <w:b/>
          <w:spacing w:val="-8"/>
          <w:w w:val="105"/>
          <w:sz w:val="18"/>
        </w:rPr>
        <w:t> </w:t>
      </w:r>
      <w:r>
        <w:rPr>
          <w:b/>
          <w:w w:val="105"/>
          <w:sz w:val="18"/>
        </w:rPr>
        <w:t>by</w:t>
      </w:r>
      <w:r>
        <w:rPr>
          <w:b/>
          <w:spacing w:val="-7"/>
          <w:w w:val="105"/>
          <w:sz w:val="18"/>
        </w:rPr>
        <w:t> </w:t>
      </w:r>
      <w:r>
        <w:rPr>
          <w:b/>
          <w:w w:val="105"/>
          <w:sz w:val="18"/>
        </w:rPr>
        <w:t>Jasbir</w:t>
      </w:r>
      <w:r>
        <w:rPr>
          <w:b/>
          <w:spacing w:val="-4"/>
          <w:w w:val="105"/>
          <w:sz w:val="18"/>
        </w:rPr>
        <w:t> </w:t>
      </w:r>
      <w:r>
        <w:rPr>
          <w:b/>
          <w:w w:val="105"/>
          <w:sz w:val="18"/>
        </w:rPr>
        <w:t>Dhillon</w:t>
      </w:r>
      <w:r>
        <w:rPr>
          <w:b/>
          <w:spacing w:val="-5"/>
          <w:w w:val="105"/>
          <w:sz w:val="18"/>
        </w:rPr>
        <w:t> </w:t>
      </w:r>
      <w:r>
        <w:rPr>
          <w:b/>
          <w:w w:val="105"/>
          <w:sz w:val="18"/>
        </w:rPr>
        <w:t>QC, Brick Court</w:t>
      </w:r>
      <w:r>
        <w:rPr>
          <w:b/>
          <w:spacing w:val="1"/>
          <w:w w:val="105"/>
          <w:sz w:val="18"/>
        </w:rPr>
        <w:t> </w:t>
      </w:r>
      <w:r>
        <w:rPr>
          <w:b/>
          <w:w w:val="105"/>
          <w:sz w:val="18"/>
        </w:rPr>
        <w:t>Chambers</w:t>
      </w:r>
    </w:p>
    <w:p>
      <w:pPr>
        <w:pStyle w:val="BodyText"/>
        <w:spacing w:before="9"/>
        <w:rPr>
          <w:b/>
        </w:rPr>
      </w:pPr>
    </w:p>
    <w:p>
      <w:pPr>
        <w:spacing w:line="249" w:lineRule="auto" w:before="0"/>
        <w:ind w:left="1619" w:right="1396" w:firstLine="0"/>
        <w:jc w:val="both"/>
        <w:rPr>
          <w:sz w:val="18"/>
        </w:rPr>
      </w:pPr>
      <w:r>
        <w:rPr>
          <w:w w:val="105"/>
          <w:sz w:val="18"/>
        </w:rPr>
        <w:t>Mr Dhillon QC gave a presentation to members about the recent High Court case of </w:t>
      </w:r>
      <w:r>
        <w:rPr>
          <w:i/>
          <w:w w:val="105"/>
          <w:sz w:val="18"/>
        </w:rPr>
        <w:t>Lehman Brothers Special Finance Inc. v. (1) National </w:t>
      </w:r>
      <w:r>
        <w:rPr>
          <w:i/>
          <w:w w:val="105"/>
          <w:sz w:val="18"/>
        </w:rPr>
        <w:t>Power Corporation (2) Power Sector Asset and Liabilities Management Corp. </w:t>
      </w:r>
      <w:r>
        <w:rPr>
          <w:w w:val="105"/>
          <w:sz w:val="18"/>
        </w:rPr>
        <w:t>[2018] EWHC 487 (Comm) (the “NPC case”). In the NPC case the High Court considered the meaning and operation of the close-out mechanism in the 2002 ISDA Master Agreement. Mr Dhillon QC explained the factual context of the case as well as the legal issues raised in the case which included a consideration of the standard required</w:t>
      </w:r>
      <w:r>
        <w:rPr>
          <w:spacing w:val="-6"/>
          <w:w w:val="105"/>
          <w:sz w:val="18"/>
        </w:rPr>
        <w:t> </w:t>
      </w:r>
      <w:r>
        <w:rPr>
          <w:w w:val="105"/>
          <w:sz w:val="18"/>
        </w:rPr>
        <w:t>by</w:t>
      </w:r>
      <w:r>
        <w:rPr>
          <w:spacing w:val="-6"/>
          <w:w w:val="105"/>
          <w:sz w:val="18"/>
        </w:rPr>
        <w:t> </w:t>
      </w:r>
      <w:r>
        <w:rPr>
          <w:w w:val="105"/>
          <w:sz w:val="18"/>
        </w:rPr>
        <w:t>a</w:t>
      </w:r>
      <w:r>
        <w:rPr>
          <w:spacing w:val="-4"/>
          <w:w w:val="105"/>
          <w:sz w:val="18"/>
        </w:rPr>
        <w:t> </w:t>
      </w:r>
      <w:r>
        <w:rPr>
          <w:w w:val="105"/>
          <w:sz w:val="18"/>
        </w:rPr>
        <w:t>determination</w:t>
      </w:r>
      <w:r>
        <w:rPr>
          <w:spacing w:val="-3"/>
          <w:w w:val="105"/>
          <w:sz w:val="18"/>
        </w:rPr>
        <w:t> </w:t>
      </w:r>
      <w:r>
        <w:rPr>
          <w:w w:val="105"/>
          <w:sz w:val="18"/>
        </w:rPr>
        <w:t>under</w:t>
      </w:r>
      <w:r>
        <w:rPr>
          <w:spacing w:val="-3"/>
          <w:w w:val="105"/>
          <w:sz w:val="18"/>
        </w:rPr>
        <w:t> </w:t>
      </w:r>
      <w:r>
        <w:rPr>
          <w:w w:val="105"/>
          <w:sz w:val="18"/>
        </w:rPr>
        <w:t>a</w:t>
      </w:r>
      <w:r>
        <w:rPr>
          <w:spacing w:val="-4"/>
          <w:w w:val="105"/>
          <w:sz w:val="18"/>
        </w:rPr>
        <w:t> </w:t>
      </w:r>
      <w:r>
        <w:rPr>
          <w:w w:val="105"/>
          <w:sz w:val="18"/>
        </w:rPr>
        <w:t>2002</w:t>
      </w:r>
      <w:r>
        <w:rPr>
          <w:spacing w:val="-5"/>
          <w:w w:val="105"/>
          <w:sz w:val="18"/>
        </w:rPr>
        <w:t> </w:t>
      </w:r>
      <w:r>
        <w:rPr>
          <w:w w:val="105"/>
          <w:sz w:val="18"/>
        </w:rPr>
        <w:t>ISDA</w:t>
      </w:r>
      <w:r>
        <w:rPr>
          <w:spacing w:val="-6"/>
          <w:w w:val="105"/>
          <w:sz w:val="18"/>
        </w:rPr>
        <w:t> </w:t>
      </w:r>
      <w:r>
        <w:rPr>
          <w:w w:val="105"/>
          <w:sz w:val="18"/>
        </w:rPr>
        <w:t>which</w:t>
      </w:r>
      <w:r>
        <w:rPr>
          <w:spacing w:val="-2"/>
          <w:w w:val="105"/>
          <w:sz w:val="18"/>
        </w:rPr>
        <w:t> </w:t>
      </w:r>
      <w:r>
        <w:rPr>
          <w:w w:val="105"/>
          <w:sz w:val="18"/>
        </w:rPr>
        <w:t>uses</w:t>
      </w:r>
      <w:r>
        <w:rPr>
          <w:spacing w:val="-4"/>
          <w:w w:val="105"/>
          <w:sz w:val="18"/>
        </w:rPr>
        <w:t> </w:t>
      </w:r>
      <w:r>
        <w:rPr>
          <w:w w:val="105"/>
          <w:sz w:val="18"/>
        </w:rPr>
        <w:t>‘</w:t>
      </w:r>
      <w:r>
        <w:rPr>
          <w:i/>
          <w:w w:val="105"/>
          <w:sz w:val="18"/>
        </w:rPr>
        <w:t>commercially </w:t>
      </w:r>
      <w:r>
        <w:rPr>
          <w:i/>
          <w:w w:val="105"/>
          <w:sz w:val="18"/>
        </w:rPr>
        <w:t>reasonable procedures in order to produce a commercially reasonable result’</w:t>
      </w:r>
      <w:r>
        <w:rPr>
          <w:w w:val="105"/>
          <w:sz w:val="18"/>
        </w:rPr>
        <w:t>. Mr Dhillon QC also explained the relevance of the case of derivatives</w:t>
      </w:r>
      <w:r>
        <w:rPr>
          <w:spacing w:val="-1"/>
          <w:w w:val="105"/>
          <w:sz w:val="18"/>
        </w:rPr>
        <w:t> </w:t>
      </w:r>
      <w:r>
        <w:rPr>
          <w:w w:val="105"/>
          <w:sz w:val="18"/>
        </w:rPr>
        <w:t>lawyers.</w:t>
      </w:r>
    </w:p>
    <w:p>
      <w:pPr>
        <w:pStyle w:val="BodyText"/>
        <w:spacing w:before="7"/>
        <w:rPr>
          <w:sz w:val="20"/>
        </w:rPr>
      </w:pPr>
    </w:p>
    <w:p>
      <w:pPr>
        <w:pStyle w:val="Heading1"/>
        <w:numPr>
          <w:ilvl w:val="0"/>
          <w:numId w:val="1"/>
        </w:numPr>
        <w:tabs>
          <w:tab w:pos="1619" w:val="left" w:leader="none"/>
          <w:tab w:pos="1620" w:val="left" w:leader="none"/>
        </w:tabs>
        <w:spacing w:line="240" w:lineRule="auto" w:before="0" w:after="0"/>
        <w:ind w:left="1619" w:right="0" w:hanging="1403"/>
        <w:jc w:val="left"/>
      </w:pPr>
      <w:r>
        <w:rPr>
          <w:w w:val="105"/>
        </w:rPr>
        <w:t>Any Other</w:t>
      </w:r>
      <w:r>
        <w:rPr>
          <w:spacing w:val="1"/>
          <w:w w:val="105"/>
        </w:rPr>
        <w:t> </w:t>
      </w:r>
      <w:r>
        <w:rPr>
          <w:w w:val="105"/>
        </w:rPr>
        <w:t>Business</w:t>
      </w:r>
    </w:p>
    <w:p>
      <w:pPr>
        <w:pStyle w:val="BodyText"/>
        <w:spacing w:before="7"/>
        <w:rPr>
          <w:b/>
          <w:sz w:val="20"/>
        </w:rPr>
      </w:pPr>
    </w:p>
    <w:p>
      <w:pPr>
        <w:pStyle w:val="BodyText"/>
        <w:ind w:left="1619"/>
      </w:pPr>
      <w:r>
        <w:rPr>
          <w:w w:val="105"/>
        </w:rPr>
        <w:t>None</w:t>
      </w:r>
    </w:p>
    <w:p>
      <w:pPr>
        <w:pStyle w:val="BodyText"/>
        <w:spacing w:before="4"/>
        <w:rPr>
          <w:sz w:val="20"/>
        </w:rPr>
      </w:pPr>
    </w:p>
    <w:p>
      <w:pPr>
        <w:pStyle w:val="Heading1"/>
        <w:numPr>
          <w:ilvl w:val="0"/>
          <w:numId w:val="1"/>
        </w:numPr>
        <w:tabs>
          <w:tab w:pos="1619" w:val="left" w:leader="none"/>
          <w:tab w:pos="1620" w:val="left" w:leader="none"/>
        </w:tabs>
        <w:spacing w:line="240" w:lineRule="auto" w:before="1" w:after="0"/>
        <w:ind w:left="1619" w:right="0" w:hanging="1403"/>
        <w:jc w:val="left"/>
      </w:pPr>
      <w:r>
        <w:rPr>
          <w:w w:val="105"/>
        </w:rPr>
        <w:t>Next Meeting</w:t>
      </w:r>
    </w:p>
    <w:p>
      <w:pPr>
        <w:pStyle w:val="BodyText"/>
        <w:spacing w:before="4"/>
        <w:rPr>
          <w:b/>
          <w:sz w:val="19"/>
        </w:rPr>
      </w:pPr>
    </w:p>
    <w:p>
      <w:pPr>
        <w:pStyle w:val="BodyText"/>
        <w:spacing w:line="254" w:lineRule="auto"/>
        <w:ind w:left="1619" w:right="1358"/>
      </w:pPr>
      <w:r>
        <w:rPr>
          <w:w w:val="105"/>
        </w:rPr>
        <w:t>The Secretary stated that the next meeting of the FXJSC Legal Sub- Committee would be held on Tuesday 27 November 2018.</w:t>
      </w:r>
    </w:p>
    <w:sectPr>
      <w:pgSz w:w="12240" w:h="15840"/>
      <w:pgMar w:top="460" w:bottom="280" w:left="14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619" w:hanging="1402"/>
        <w:jc w:val="left"/>
      </w:pPr>
      <w:rPr>
        <w:rFonts w:hint="default" w:ascii="Arial" w:hAnsi="Arial" w:eastAsia="Arial" w:cs="Arial"/>
        <w:spacing w:val="-2"/>
        <w:w w:val="103"/>
        <w:sz w:val="18"/>
        <w:szCs w:val="18"/>
      </w:rPr>
    </w:lvl>
    <w:lvl w:ilvl="1">
      <w:start w:val="0"/>
      <w:numFmt w:val="bullet"/>
      <w:lvlText w:val="•"/>
      <w:lvlJc w:val="left"/>
      <w:pPr>
        <w:ind w:left="2372" w:hanging="1402"/>
      </w:pPr>
      <w:rPr>
        <w:rFonts w:hint="default"/>
      </w:rPr>
    </w:lvl>
    <w:lvl w:ilvl="2">
      <w:start w:val="0"/>
      <w:numFmt w:val="bullet"/>
      <w:lvlText w:val="•"/>
      <w:lvlJc w:val="left"/>
      <w:pPr>
        <w:ind w:left="3124" w:hanging="1402"/>
      </w:pPr>
      <w:rPr>
        <w:rFonts w:hint="default"/>
      </w:rPr>
    </w:lvl>
    <w:lvl w:ilvl="3">
      <w:start w:val="0"/>
      <w:numFmt w:val="bullet"/>
      <w:lvlText w:val="•"/>
      <w:lvlJc w:val="left"/>
      <w:pPr>
        <w:ind w:left="3876" w:hanging="1402"/>
      </w:pPr>
      <w:rPr>
        <w:rFonts w:hint="default"/>
      </w:rPr>
    </w:lvl>
    <w:lvl w:ilvl="4">
      <w:start w:val="0"/>
      <w:numFmt w:val="bullet"/>
      <w:lvlText w:val="•"/>
      <w:lvlJc w:val="left"/>
      <w:pPr>
        <w:ind w:left="4628" w:hanging="1402"/>
      </w:pPr>
      <w:rPr>
        <w:rFonts w:hint="default"/>
      </w:rPr>
    </w:lvl>
    <w:lvl w:ilvl="5">
      <w:start w:val="0"/>
      <w:numFmt w:val="bullet"/>
      <w:lvlText w:val="•"/>
      <w:lvlJc w:val="left"/>
      <w:pPr>
        <w:ind w:left="5380" w:hanging="1402"/>
      </w:pPr>
      <w:rPr>
        <w:rFonts w:hint="default"/>
      </w:rPr>
    </w:lvl>
    <w:lvl w:ilvl="6">
      <w:start w:val="0"/>
      <w:numFmt w:val="bullet"/>
      <w:lvlText w:val="•"/>
      <w:lvlJc w:val="left"/>
      <w:pPr>
        <w:ind w:left="6132" w:hanging="1402"/>
      </w:pPr>
      <w:rPr>
        <w:rFonts w:hint="default"/>
      </w:rPr>
    </w:lvl>
    <w:lvl w:ilvl="7">
      <w:start w:val="0"/>
      <w:numFmt w:val="bullet"/>
      <w:lvlText w:val="•"/>
      <w:lvlJc w:val="left"/>
      <w:pPr>
        <w:ind w:left="6884" w:hanging="1402"/>
      </w:pPr>
      <w:rPr>
        <w:rFonts w:hint="default"/>
      </w:rPr>
    </w:lvl>
    <w:lvl w:ilvl="8">
      <w:start w:val="0"/>
      <w:numFmt w:val="bullet"/>
      <w:lvlText w:val="•"/>
      <w:lvlJc w:val="left"/>
      <w:pPr>
        <w:ind w:left="7636" w:hanging="14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619" w:hanging="1403"/>
      <w:outlineLvl w:val="1"/>
    </w:pPr>
    <w:rPr>
      <w:rFonts w:ascii="Arial" w:hAnsi="Arial" w:eastAsia="Arial" w:cs="Arial"/>
      <w:b/>
      <w:bCs/>
      <w:sz w:val="18"/>
      <w:szCs w:val="18"/>
    </w:rPr>
  </w:style>
  <w:style w:styleId="ListParagraph" w:type="paragraph">
    <w:name w:val="List Paragraph"/>
    <w:basedOn w:val="Normal"/>
    <w:uiPriority w:val="1"/>
    <w:qFormat/>
    <w:pPr>
      <w:ind w:left="1619" w:hanging="140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324951</dc:creator>
  <dc:title>Microsoft Word - (Services)_(BCV)_13600397_v_1_Minutes of FXJSC Legal Sub Committee Meeti.._</dc:title>
  <dcterms:created xsi:type="dcterms:W3CDTF">2020-06-01T02:00:43Z</dcterms:created>
  <dcterms:modified xsi:type="dcterms:W3CDTF">2020-06-01T02:00:43Z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LastSaved">
    <vt:filetime>2020-06-01T00:00:00Z</vt:filetime>
  </property>
</Properties>
</file>