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1"/>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8739"/>
      </w:tblGrid>
      <w:tr>
        <w:trPr>
          <w:trHeight w:val="665" w:hRule="atLeast"/>
        </w:trPr>
        <w:tc>
          <w:tcPr>
            <w:tcW w:w="9786" w:type="dxa"/>
            <w:gridSpan w:val="2"/>
          </w:tcPr>
          <w:p>
            <w:pPr>
              <w:pStyle w:val="TableParagraph"/>
              <w:spacing w:line="491" w:lineRule="exact"/>
              <w:rPr>
                <w:sz w:val="44"/>
              </w:rPr>
            </w:pPr>
            <w:r>
              <w:rPr>
                <w:sz w:val="44"/>
              </w:rPr>
              <w:t>Minutes</w:t>
            </w:r>
          </w:p>
        </w:tc>
      </w:tr>
      <w:tr>
        <w:trPr>
          <w:trHeight w:val="468" w:hRule="atLeast"/>
        </w:trPr>
        <w:tc>
          <w:tcPr>
            <w:tcW w:w="9786" w:type="dxa"/>
            <w:gridSpan w:val="2"/>
          </w:tcPr>
          <w:p>
            <w:pPr>
              <w:pStyle w:val="TableParagraph"/>
              <w:spacing w:before="167"/>
              <w:rPr>
                <w:b/>
                <w:sz w:val="24"/>
              </w:rPr>
            </w:pPr>
            <w:r>
              <w:rPr>
                <w:b/>
                <w:sz w:val="24"/>
              </w:rPr>
              <w:t>Foreign Exchange Joint Standing Committee Legal Sub-Committee</w:t>
            </w:r>
          </w:p>
        </w:tc>
      </w:tr>
      <w:tr>
        <w:trPr>
          <w:trHeight w:val="564" w:hRule="atLeast"/>
        </w:trPr>
        <w:tc>
          <w:tcPr>
            <w:tcW w:w="9786" w:type="dxa"/>
            <w:gridSpan w:val="2"/>
            <w:tcBorders>
              <w:bottom w:val="single" w:sz="4" w:space="0" w:color="000000"/>
            </w:tcBorders>
          </w:tcPr>
          <w:p>
            <w:pPr>
              <w:pStyle w:val="TableParagraph"/>
              <w:spacing w:before="17"/>
              <w:rPr>
                <w:sz w:val="24"/>
              </w:rPr>
            </w:pPr>
            <w:r>
              <w:rPr>
                <w:sz w:val="24"/>
              </w:rPr>
              <w:t>25 January 2018</w:t>
            </w:r>
          </w:p>
        </w:tc>
      </w:tr>
      <w:tr>
        <w:trPr>
          <w:trHeight w:val="579" w:hRule="atLeast"/>
        </w:trPr>
        <w:tc>
          <w:tcPr>
            <w:tcW w:w="1047" w:type="dxa"/>
            <w:tcBorders>
              <w:top w:val="single" w:sz="4" w:space="0" w:color="000000"/>
            </w:tcBorders>
          </w:tcPr>
          <w:p>
            <w:pPr>
              <w:pStyle w:val="TableParagraph"/>
              <w:spacing w:before="8"/>
              <w:rPr>
                <w:rFonts w:ascii="Times New Roman"/>
                <w:sz w:val="18"/>
              </w:rPr>
            </w:pPr>
          </w:p>
          <w:p>
            <w:pPr>
              <w:pStyle w:val="TableParagraph"/>
              <w:rPr>
                <w:sz w:val="20"/>
              </w:rPr>
            </w:pPr>
            <w:r>
              <w:rPr>
                <w:sz w:val="20"/>
              </w:rPr>
              <w:t>Location:</w:t>
            </w:r>
          </w:p>
        </w:tc>
        <w:tc>
          <w:tcPr>
            <w:tcW w:w="8739" w:type="dxa"/>
            <w:tcBorders>
              <w:top w:val="single" w:sz="4" w:space="0" w:color="000000"/>
            </w:tcBorders>
          </w:tcPr>
          <w:p>
            <w:pPr>
              <w:pStyle w:val="TableParagraph"/>
              <w:spacing w:before="8"/>
              <w:rPr>
                <w:rFonts w:ascii="Times New Roman"/>
                <w:sz w:val="18"/>
              </w:rPr>
            </w:pPr>
          </w:p>
          <w:p>
            <w:pPr>
              <w:pStyle w:val="TableParagraph"/>
              <w:ind w:left="90"/>
              <w:rPr>
                <w:sz w:val="20"/>
              </w:rPr>
            </w:pPr>
            <w:r>
              <w:rPr>
                <w:sz w:val="20"/>
              </w:rPr>
              <w:t>XTX Markets, 14–18 Handyside Street, London N1C 4DN</w:t>
            </w:r>
          </w:p>
        </w:tc>
      </w:tr>
      <w:tr>
        <w:trPr>
          <w:trHeight w:val="3949" w:hRule="atLeast"/>
        </w:trPr>
        <w:tc>
          <w:tcPr>
            <w:tcW w:w="1047" w:type="dxa"/>
          </w:tcPr>
          <w:p>
            <w:pPr>
              <w:pStyle w:val="TableParagraph"/>
              <w:spacing w:before="130"/>
              <w:rPr>
                <w:sz w:val="20"/>
              </w:rPr>
            </w:pPr>
            <w:r>
              <w:rPr>
                <w:sz w:val="20"/>
              </w:rPr>
              <w:t>Attendees:</w:t>
            </w:r>
          </w:p>
        </w:tc>
        <w:tc>
          <w:tcPr>
            <w:tcW w:w="8739" w:type="dxa"/>
          </w:tcPr>
          <w:p>
            <w:pPr>
              <w:pStyle w:val="TableParagraph"/>
              <w:spacing w:before="127"/>
              <w:ind w:left="90"/>
              <w:rPr>
                <w:sz w:val="20"/>
              </w:rPr>
            </w:pPr>
            <w:r>
              <w:rPr>
                <w:b/>
                <w:sz w:val="20"/>
              </w:rPr>
              <w:t>Bank of England</w:t>
            </w:r>
            <w:r>
              <w:rPr>
                <w:sz w:val="20"/>
              </w:rPr>
              <w:t>: Jonathan Grant (Secretary), Charlotte Pope-Williams, Edward Kent</w:t>
            </w:r>
          </w:p>
          <w:p>
            <w:pPr>
              <w:pStyle w:val="TableParagraph"/>
              <w:spacing w:before="34"/>
              <w:ind w:left="90"/>
              <w:rPr>
                <w:sz w:val="20"/>
              </w:rPr>
            </w:pPr>
            <w:r>
              <w:rPr>
                <w:b/>
                <w:sz w:val="20"/>
              </w:rPr>
              <w:t>Bank of New York Mellon</w:t>
            </w:r>
            <w:r>
              <w:rPr>
                <w:sz w:val="20"/>
              </w:rPr>
              <w:t>: Mark Compton</w:t>
            </w:r>
          </w:p>
          <w:p>
            <w:pPr>
              <w:pStyle w:val="TableParagraph"/>
              <w:spacing w:before="37"/>
              <w:ind w:left="90"/>
              <w:rPr>
                <w:sz w:val="20"/>
              </w:rPr>
            </w:pPr>
            <w:r>
              <w:rPr>
                <w:b/>
                <w:sz w:val="20"/>
              </w:rPr>
              <w:t>Barclays</w:t>
            </w:r>
            <w:r>
              <w:rPr>
                <w:sz w:val="20"/>
              </w:rPr>
              <w:t>: Nasia Pachitipallikaropoulou, James Sinclair</w:t>
            </w:r>
          </w:p>
          <w:p>
            <w:pPr>
              <w:pStyle w:val="TableParagraph"/>
              <w:spacing w:before="34"/>
              <w:ind w:left="90"/>
              <w:rPr>
                <w:sz w:val="20"/>
              </w:rPr>
            </w:pPr>
            <w:r>
              <w:rPr>
                <w:b/>
                <w:sz w:val="20"/>
              </w:rPr>
              <w:t>Citigroup</w:t>
            </w:r>
            <w:r>
              <w:rPr>
                <w:sz w:val="20"/>
              </w:rPr>
              <w:t>: Sharon Blackman</w:t>
            </w:r>
          </w:p>
          <w:p>
            <w:pPr>
              <w:pStyle w:val="TableParagraph"/>
              <w:spacing w:before="34"/>
              <w:ind w:left="90"/>
              <w:rPr>
                <w:sz w:val="20"/>
              </w:rPr>
            </w:pPr>
            <w:r>
              <w:rPr>
                <w:b/>
                <w:sz w:val="20"/>
              </w:rPr>
              <w:t>Clifford Chance: </w:t>
            </w:r>
            <w:r>
              <w:rPr>
                <w:sz w:val="20"/>
              </w:rPr>
              <w:t>Simon Crown (Guest Speaker)</w:t>
            </w:r>
          </w:p>
          <w:p>
            <w:pPr>
              <w:pStyle w:val="TableParagraph"/>
              <w:spacing w:before="34"/>
              <w:ind w:left="90"/>
              <w:rPr>
                <w:sz w:val="20"/>
              </w:rPr>
            </w:pPr>
            <w:r>
              <w:rPr>
                <w:b/>
                <w:sz w:val="20"/>
              </w:rPr>
              <w:t>CLS</w:t>
            </w:r>
            <w:r>
              <w:rPr>
                <w:sz w:val="20"/>
              </w:rPr>
              <w:t>: Gaynor Wood</w:t>
            </w:r>
          </w:p>
          <w:p>
            <w:pPr>
              <w:pStyle w:val="TableParagraph"/>
              <w:spacing w:line="276" w:lineRule="auto" w:before="34"/>
              <w:ind w:left="90"/>
              <w:rPr>
                <w:sz w:val="20"/>
              </w:rPr>
            </w:pPr>
            <w:r>
              <w:rPr>
                <w:b/>
                <w:sz w:val="20"/>
              </w:rPr>
              <w:t>Financial Conduct Authority (FCA)</w:t>
            </w:r>
            <w:r>
              <w:rPr>
                <w:sz w:val="20"/>
              </w:rPr>
              <w:t>: David Harris, Nick Bertram (Guest Speaker), Mhairi Jackson (Guest Speaker), Samuel Duffett (Guest Speaker), Daniel Measor (Guest Speaker) </w:t>
            </w:r>
            <w:r>
              <w:rPr>
                <w:b/>
                <w:sz w:val="20"/>
              </w:rPr>
              <w:t>Goldman Sachs</w:t>
            </w:r>
            <w:r>
              <w:rPr>
                <w:sz w:val="20"/>
              </w:rPr>
              <w:t>: Dan Parker (Chair)</w:t>
            </w:r>
          </w:p>
          <w:p>
            <w:pPr>
              <w:pStyle w:val="TableParagraph"/>
              <w:spacing w:before="1"/>
              <w:ind w:left="90"/>
              <w:rPr>
                <w:sz w:val="20"/>
              </w:rPr>
            </w:pPr>
            <w:r>
              <w:rPr>
                <w:b/>
                <w:sz w:val="20"/>
              </w:rPr>
              <w:t>HSBC</w:t>
            </w:r>
            <w:r>
              <w:rPr>
                <w:sz w:val="20"/>
              </w:rPr>
              <w:t>: Harkamal Singh Atwal</w:t>
            </w:r>
          </w:p>
          <w:p>
            <w:pPr>
              <w:pStyle w:val="TableParagraph"/>
              <w:spacing w:before="34"/>
              <w:ind w:left="90"/>
              <w:rPr>
                <w:sz w:val="20"/>
              </w:rPr>
            </w:pPr>
            <w:r>
              <w:rPr>
                <w:b/>
                <w:sz w:val="20"/>
              </w:rPr>
              <w:t>JP Morgan</w:t>
            </w:r>
            <w:r>
              <w:rPr>
                <w:sz w:val="20"/>
              </w:rPr>
              <w:t>: Tamsin Rolls</w:t>
            </w:r>
          </w:p>
          <w:p>
            <w:pPr>
              <w:pStyle w:val="TableParagraph"/>
              <w:spacing w:before="37"/>
              <w:ind w:left="90"/>
              <w:rPr>
                <w:sz w:val="20"/>
              </w:rPr>
            </w:pPr>
            <w:r>
              <w:rPr>
                <w:b/>
                <w:sz w:val="20"/>
              </w:rPr>
              <w:t>Morgan Stanley</w:t>
            </w:r>
            <w:r>
              <w:rPr>
                <w:sz w:val="20"/>
              </w:rPr>
              <w:t>: Barra Little, Nimisha Kanabar</w:t>
            </w:r>
          </w:p>
          <w:p>
            <w:pPr>
              <w:pStyle w:val="TableParagraph"/>
              <w:spacing w:before="34"/>
              <w:ind w:left="90"/>
              <w:rPr>
                <w:sz w:val="20"/>
              </w:rPr>
            </w:pPr>
            <w:r>
              <w:rPr>
                <w:b/>
                <w:sz w:val="20"/>
              </w:rPr>
              <w:t>Standard Chartered</w:t>
            </w:r>
            <w:r>
              <w:rPr>
                <w:sz w:val="20"/>
              </w:rPr>
              <w:t>: Rakesh Shah</w:t>
            </w:r>
          </w:p>
          <w:p>
            <w:pPr>
              <w:pStyle w:val="TableParagraph"/>
              <w:spacing w:before="34"/>
              <w:ind w:left="374"/>
              <w:rPr>
                <w:sz w:val="20"/>
              </w:rPr>
            </w:pPr>
            <w:r>
              <w:rPr>
                <w:b/>
                <w:sz w:val="20"/>
              </w:rPr>
              <w:t>XTX Markets</w:t>
            </w:r>
            <w:r>
              <w:rPr>
                <w:sz w:val="20"/>
              </w:rPr>
              <w:t>: Sunil Samani</w:t>
            </w:r>
          </w:p>
        </w:tc>
      </w:tr>
      <w:tr>
        <w:trPr>
          <w:trHeight w:val="758" w:hRule="atLeast"/>
        </w:trPr>
        <w:tc>
          <w:tcPr>
            <w:tcW w:w="1047" w:type="dxa"/>
          </w:tcPr>
          <w:p>
            <w:pPr>
              <w:pStyle w:val="TableParagraph"/>
              <w:spacing w:before="145"/>
              <w:rPr>
                <w:sz w:val="20"/>
              </w:rPr>
            </w:pPr>
            <w:r>
              <w:rPr>
                <w:sz w:val="20"/>
              </w:rPr>
              <w:t>Dialled in:</w:t>
            </w:r>
          </w:p>
        </w:tc>
        <w:tc>
          <w:tcPr>
            <w:tcW w:w="8739" w:type="dxa"/>
          </w:tcPr>
          <w:p>
            <w:pPr>
              <w:pStyle w:val="TableParagraph"/>
              <w:spacing w:before="145"/>
              <w:ind w:left="90"/>
              <w:rPr>
                <w:sz w:val="20"/>
              </w:rPr>
            </w:pPr>
            <w:r>
              <w:rPr>
                <w:b/>
                <w:sz w:val="20"/>
              </w:rPr>
              <w:t>Bank of America Merrill Lynch</w:t>
            </w:r>
            <w:r>
              <w:rPr>
                <w:sz w:val="20"/>
              </w:rPr>
              <w:t>: Jateen Shah</w:t>
            </w:r>
          </w:p>
          <w:p>
            <w:pPr>
              <w:pStyle w:val="TableParagraph"/>
              <w:spacing w:before="34"/>
              <w:ind w:left="90"/>
              <w:rPr>
                <w:sz w:val="20"/>
              </w:rPr>
            </w:pPr>
            <w:r>
              <w:rPr>
                <w:b/>
                <w:sz w:val="20"/>
              </w:rPr>
              <w:t>UBS</w:t>
            </w:r>
            <w:r>
              <w:rPr>
                <w:sz w:val="20"/>
              </w:rPr>
              <w:t>: Richard Lamb</w:t>
            </w:r>
          </w:p>
        </w:tc>
      </w:tr>
      <w:tr>
        <w:trPr>
          <w:trHeight w:val="1595" w:hRule="atLeast"/>
        </w:trPr>
        <w:tc>
          <w:tcPr>
            <w:tcW w:w="1047" w:type="dxa"/>
            <w:tcBorders>
              <w:bottom w:val="single" w:sz="2" w:space="0" w:color="000000"/>
            </w:tcBorders>
          </w:tcPr>
          <w:p>
            <w:pPr>
              <w:pStyle w:val="TableParagraph"/>
              <w:spacing w:before="112"/>
              <w:rPr>
                <w:sz w:val="20"/>
              </w:rPr>
            </w:pPr>
            <w:r>
              <w:rPr>
                <w:sz w:val="20"/>
              </w:rPr>
              <w:t>Apologies:</w:t>
            </w:r>
          </w:p>
        </w:tc>
        <w:tc>
          <w:tcPr>
            <w:tcW w:w="8739" w:type="dxa"/>
            <w:tcBorders>
              <w:bottom w:val="single" w:sz="2" w:space="0" w:color="000000"/>
            </w:tcBorders>
          </w:tcPr>
          <w:p>
            <w:pPr>
              <w:pStyle w:val="TableParagraph"/>
              <w:spacing w:before="112"/>
              <w:ind w:left="90"/>
              <w:rPr>
                <w:sz w:val="20"/>
              </w:rPr>
            </w:pPr>
            <w:r>
              <w:rPr>
                <w:b/>
                <w:sz w:val="20"/>
              </w:rPr>
              <w:t>Bank of New York Mellon: </w:t>
            </w:r>
            <w:r>
              <w:rPr>
                <w:sz w:val="20"/>
              </w:rPr>
              <w:t>Jacqueline Joyston-Bechal</w:t>
            </w:r>
          </w:p>
          <w:p>
            <w:pPr>
              <w:pStyle w:val="TableParagraph"/>
              <w:spacing w:before="34"/>
              <w:ind w:left="90"/>
              <w:rPr>
                <w:sz w:val="20"/>
              </w:rPr>
            </w:pPr>
            <w:r>
              <w:rPr>
                <w:b/>
                <w:sz w:val="20"/>
              </w:rPr>
              <w:t>Deutsche Bank</w:t>
            </w:r>
            <w:r>
              <w:rPr>
                <w:sz w:val="20"/>
              </w:rPr>
              <w:t>: Simon Goldsworthy</w:t>
            </w:r>
          </w:p>
          <w:p>
            <w:pPr>
              <w:pStyle w:val="TableParagraph"/>
              <w:spacing w:before="34"/>
              <w:ind w:left="90"/>
              <w:rPr>
                <w:sz w:val="20"/>
              </w:rPr>
            </w:pPr>
            <w:r>
              <w:rPr>
                <w:b/>
                <w:sz w:val="20"/>
              </w:rPr>
              <w:t>NatWest Markets</w:t>
            </w:r>
            <w:r>
              <w:rPr>
                <w:sz w:val="20"/>
              </w:rPr>
              <w:t>: David Cole</w:t>
            </w:r>
          </w:p>
          <w:p>
            <w:pPr>
              <w:pStyle w:val="TableParagraph"/>
              <w:ind w:left="90"/>
              <w:rPr>
                <w:sz w:val="20"/>
              </w:rPr>
            </w:pPr>
            <w:r>
              <w:rPr>
                <w:b/>
                <w:sz w:val="20"/>
              </w:rPr>
              <w:t>TP ICAP</w:t>
            </w:r>
            <w:r>
              <w:rPr>
                <w:sz w:val="20"/>
              </w:rPr>
              <w:t>: Simon Helm</w:t>
            </w:r>
          </w:p>
        </w:tc>
      </w:tr>
      <w:tr>
        <w:trPr>
          <w:trHeight w:val="804" w:hRule="atLeast"/>
        </w:trPr>
        <w:tc>
          <w:tcPr>
            <w:tcW w:w="1047" w:type="dxa"/>
            <w:tcBorders>
              <w:top w:val="single" w:sz="2" w:space="0" w:color="000000"/>
            </w:tcBorders>
          </w:tcPr>
          <w:p>
            <w:pPr>
              <w:pStyle w:val="TableParagraph"/>
              <w:spacing w:before="6"/>
              <w:rPr>
                <w:rFonts w:ascii="Times New Roman"/>
                <w:sz w:val="19"/>
              </w:rPr>
            </w:pPr>
          </w:p>
          <w:p>
            <w:pPr>
              <w:pStyle w:val="TableParagraph"/>
              <w:ind w:left="108" w:right="274"/>
              <w:rPr>
                <w:b/>
                <w:sz w:val="20"/>
              </w:rPr>
            </w:pPr>
            <w:r>
              <w:rPr>
                <w:b/>
                <w:sz w:val="20"/>
              </w:rPr>
              <w:t>Minute no.</w:t>
            </w:r>
          </w:p>
        </w:tc>
        <w:tc>
          <w:tcPr>
            <w:tcW w:w="8739" w:type="dxa"/>
            <w:tcBorders>
              <w:top w:val="single" w:sz="2" w:space="0" w:color="000000"/>
            </w:tcBorders>
          </w:tcPr>
          <w:p>
            <w:pPr>
              <w:pStyle w:val="TableParagraph"/>
              <w:spacing w:before="6"/>
              <w:rPr>
                <w:rFonts w:ascii="Times New Roman"/>
                <w:sz w:val="19"/>
              </w:rPr>
            </w:pPr>
          </w:p>
          <w:p>
            <w:pPr>
              <w:pStyle w:val="TableParagraph"/>
              <w:ind w:left="199"/>
              <w:rPr>
                <w:b/>
                <w:sz w:val="20"/>
              </w:rPr>
            </w:pPr>
            <w:r>
              <w:rPr>
                <w:b/>
                <w:sz w:val="20"/>
              </w:rPr>
              <w:t>Minute</w:t>
            </w:r>
          </w:p>
        </w:tc>
      </w:tr>
      <w:tr>
        <w:trPr>
          <w:trHeight w:val="925" w:hRule="atLeast"/>
        </w:trPr>
        <w:tc>
          <w:tcPr>
            <w:tcW w:w="1047" w:type="dxa"/>
          </w:tcPr>
          <w:p>
            <w:pPr>
              <w:pStyle w:val="TableParagraph"/>
              <w:spacing w:before="114"/>
              <w:ind w:left="108"/>
              <w:rPr>
                <w:sz w:val="20"/>
              </w:rPr>
            </w:pPr>
            <w:r>
              <w:rPr>
                <w:sz w:val="20"/>
              </w:rPr>
              <w:t>1.</w:t>
            </w:r>
          </w:p>
        </w:tc>
        <w:tc>
          <w:tcPr>
            <w:tcW w:w="8739" w:type="dxa"/>
          </w:tcPr>
          <w:p>
            <w:pPr>
              <w:pStyle w:val="TableParagraph"/>
              <w:spacing w:before="112"/>
              <w:ind w:left="199"/>
              <w:rPr>
                <w:b/>
                <w:sz w:val="20"/>
              </w:rPr>
            </w:pPr>
            <w:r>
              <w:rPr>
                <w:b/>
                <w:sz w:val="20"/>
              </w:rPr>
              <w:t>Minutes</w:t>
            </w:r>
          </w:p>
          <w:p>
            <w:pPr>
              <w:pStyle w:val="TableParagraph"/>
              <w:rPr>
                <w:rFonts w:ascii="Times New Roman"/>
                <w:sz w:val="20"/>
              </w:rPr>
            </w:pPr>
          </w:p>
          <w:p>
            <w:pPr>
              <w:pStyle w:val="TableParagraph"/>
              <w:ind w:left="199"/>
              <w:rPr>
                <w:sz w:val="20"/>
              </w:rPr>
            </w:pPr>
            <w:r>
              <w:rPr>
                <w:sz w:val="20"/>
              </w:rPr>
              <w:t>The minutes of the 2 November 2017 meeting were approved.</w:t>
            </w:r>
          </w:p>
        </w:tc>
      </w:tr>
      <w:tr>
        <w:trPr>
          <w:trHeight w:val="1390" w:hRule="atLeast"/>
        </w:trPr>
        <w:tc>
          <w:tcPr>
            <w:tcW w:w="1047" w:type="dxa"/>
          </w:tcPr>
          <w:p>
            <w:pPr>
              <w:pStyle w:val="TableParagraph"/>
              <w:spacing w:before="118"/>
              <w:ind w:left="108"/>
              <w:rPr>
                <w:sz w:val="20"/>
              </w:rPr>
            </w:pPr>
            <w:r>
              <w:rPr>
                <w:sz w:val="20"/>
              </w:rPr>
              <w:t>2.</w:t>
            </w:r>
          </w:p>
        </w:tc>
        <w:tc>
          <w:tcPr>
            <w:tcW w:w="8739" w:type="dxa"/>
          </w:tcPr>
          <w:p>
            <w:pPr>
              <w:pStyle w:val="TableParagraph"/>
              <w:spacing w:before="115"/>
              <w:ind w:left="199"/>
              <w:jc w:val="both"/>
              <w:rPr>
                <w:b/>
                <w:sz w:val="20"/>
              </w:rPr>
            </w:pPr>
            <w:r>
              <w:rPr>
                <w:b/>
                <w:sz w:val="20"/>
              </w:rPr>
              <w:t>Competition Guidelines</w:t>
            </w:r>
          </w:p>
          <w:p>
            <w:pPr>
              <w:pStyle w:val="TableParagraph"/>
              <w:spacing w:before="3"/>
              <w:rPr>
                <w:rFonts w:ascii="Times New Roman"/>
                <w:sz w:val="20"/>
              </w:rPr>
            </w:pPr>
          </w:p>
          <w:p>
            <w:pPr>
              <w:pStyle w:val="TableParagraph"/>
              <w:ind w:left="199" w:right="1671"/>
              <w:jc w:val="both"/>
              <w:rPr>
                <w:sz w:val="20"/>
              </w:rPr>
            </w:pPr>
            <w:r>
              <w:rPr>
                <w:sz w:val="20"/>
              </w:rPr>
              <w:t>Subject to two small changes, the Competition Guidelines were approved</w:t>
            </w:r>
            <w:r>
              <w:rPr>
                <w:spacing w:val="-24"/>
                <w:sz w:val="20"/>
              </w:rPr>
              <w:t> </w:t>
            </w:r>
            <w:r>
              <w:rPr>
                <w:sz w:val="20"/>
              </w:rPr>
              <w:t>and will be tabled on the agenda at the FXJSC Main Committee Meeting on 6 February 2017 for approval, before being published on the</w:t>
            </w:r>
            <w:r>
              <w:rPr>
                <w:spacing w:val="-11"/>
                <w:sz w:val="20"/>
              </w:rPr>
              <w:t> </w:t>
            </w:r>
            <w:r>
              <w:rPr>
                <w:sz w:val="20"/>
              </w:rPr>
              <w:t>website.</w:t>
            </w:r>
          </w:p>
        </w:tc>
      </w:tr>
      <w:tr>
        <w:trPr>
          <w:trHeight w:val="1497" w:hRule="atLeast"/>
        </w:trPr>
        <w:tc>
          <w:tcPr>
            <w:tcW w:w="1047" w:type="dxa"/>
          </w:tcPr>
          <w:p>
            <w:pPr>
              <w:pStyle w:val="TableParagraph"/>
              <w:spacing w:before="118"/>
              <w:ind w:left="108"/>
              <w:rPr>
                <w:sz w:val="20"/>
              </w:rPr>
            </w:pPr>
            <w:r>
              <w:rPr>
                <w:sz w:val="20"/>
              </w:rPr>
              <w:t>3.</w:t>
            </w:r>
          </w:p>
        </w:tc>
        <w:tc>
          <w:tcPr>
            <w:tcW w:w="8739" w:type="dxa"/>
          </w:tcPr>
          <w:p>
            <w:pPr>
              <w:pStyle w:val="TableParagraph"/>
              <w:spacing w:before="115"/>
              <w:ind w:left="199" w:right="2074"/>
              <w:rPr>
                <w:b/>
                <w:sz w:val="20"/>
              </w:rPr>
            </w:pPr>
            <w:r>
              <w:rPr>
                <w:b/>
                <w:sz w:val="20"/>
              </w:rPr>
              <w:t>FX Global Code (Edward Kent and Charlotte Pope-Williams, Bank of England)</w:t>
            </w:r>
          </w:p>
          <w:p>
            <w:pPr>
              <w:pStyle w:val="TableParagraph"/>
              <w:spacing w:before="6"/>
              <w:rPr>
                <w:rFonts w:ascii="Times New Roman"/>
                <w:sz w:val="20"/>
              </w:rPr>
            </w:pPr>
          </w:p>
          <w:p>
            <w:pPr>
              <w:pStyle w:val="TableParagraph"/>
              <w:spacing w:line="237" w:lineRule="auto"/>
              <w:ind w:left="199" w:right="1666"/>
              <w:rPr>
                <w:sz w:val="20"/>
              </w:rPr>
            </w:pPr>
            <w:r>
              <w:rPr>
                <w:sz w:val="20"/>
              </w:rPr>
              <w:t>Ms Pope-Williams provided an update on the main Global Foreign Exchange Committee (</w:t>
            </w:r>
            <w:r>
              <w:rPr>
                <w:b/>
                <w:sz w:val="20"/>
              </w:rPr>
              <w:t>GFXC</w:t>
            </w:r>
            <w:r>
              <w:rPr>
                <w:sz w:val="20"/>
              </w:rPr>
              <w:t>) meeting  which  took  place  on  14  November 2017.</w:t>
            </w:r>
            <w:r>
              <w:rPr>
                <w:spacing w:val="6"/>
                <w:sz w:val="20"/>
              </w:rPr>
              <w:t> </w:t>
            </w:r>
            <w:r>
              <w:rPr>
                <w:sz w:val="20"/>
              </w:rPr>
              <w:t>She</w:t>
            </w:r>
          </w:p>
          <w:p>
            <w:pPr>
              <w:pStyle w:val="TableParagraph"/>
              <w:spacing w:line="210" w:lineRule="exact" w:before="1"/>
              <w:ind w:left="199"/>
              <w:rPr>
                <w:sz w:val="20"/>
              </w:rPr>
            </w:pPr>
            <w:r>
              <w:rPr>
                <w:sz w:val="20"/>
              </w:rPr>
              <w:t>discussed  the  main  topics  that  where  addressed  at  the  GFXC </w:t>
            </w:r>
            <w:r>
              <w:rPr>
                <w:spacing w:val="34"/>
                <w:sz w:val="20"/>
              </w:rPr>
              <w:t> </w:t>
            </w:r>
            <w:r>
              <w:rPr>
                <w:sz w:val="20"/>
              </w:rPr>
              <w:t>meeting,</w:t>
            </w:r>
          </w:p>
        </w:tc>
      </w:tr>
    </w:tbl>
    <w:p>
      <w:pPr>
        <w:spacing w:after="0" w:line="210" w:lineRule="exact"/>
        <w:rPr>
          <w:sz w:val="20"/>
        </w:rPr>
        <w:sectPr>
          <w:type w:val="continuous"/>
          <w:pgSz w:w="11910" w:h="16840"/>
          <w:pgMar w:top="1580" w:bottom="280" w:left="860" w:right="960"/>
        </w:sectPr>
      </w:pPr>
    </w:p>
    <w:p>
      <w:pPr>
        <w:pStyle w:val="BodyText"/>
        <w:spacing w:before="65"/>
        <w:ind w:right="396"/>
        <w:jc w:val="right"/>
      </w:pPr>
      <w:r>
        <w:rPr>
          <w:w w:val="99"/>
        </w:rPr>
        <w:t>2</w:t>
      </w:r>
    </w:p>
    <w:p>
      <w:pPr>
        <w:pStyle w:val="BodyText"/>
        <w:spacing w:before="10"/>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7558"/>
      </w:tblGrid>
      <w:tr>
        <w:trPr>
          <w:trHeight w:val="2647" w:hRule="atLeast"/>
        </w:trPr>
        <w:tc>
          <w:tcPr>
            <w:tcW w:w="851" w:type="dxa"/>
          </w:tcPr>
          <w:p>
            <w:pPr>
              <w:pStyle w:val="TableParagraph"/>
              <w:rPr>
                <w:rFonts w:ascii="Times New Roman"/>
                <w:sz w:val="18"/>
              </w:rPr>
            </w:pPr>
          </w:p>
        </w:tc>
        <w:tc>
          <w:tcPr>
            <w:tcW w:w="7558" w:type="dxa"/>
          </w:tcPr>
          <w:p>
            <w:pPr>
              <w:pStyle w:val="TableParagraph"/>
              <w:ind w:left="486" w:right="201"/>
              <w:jc w:val="both"/>
              <w:rPr>
                <w:sz w:val="20"/>
              </w:rPr>
            </w:pPr>
            <w:r>
              <w:rPr>
                <w:sz w:val="20"/>
              </w:rPr>
              <w:t>namely: Last Look, GFXC decision-making, associate GFXC membership, public registers and general updates from local Foreign Exchange Committees. She noted that the topic of Last Look gave rise to some of the most engaged discussion during the GFXC meeting. Mr Kent gave  an update and explanation as to how the GFXC arrived at the publication of Last Look guidance on 19 December 2017. He provided a brief chronology of the evolution of principle 17 of the Global FX Code. The remainder of his presentation focussed on the discussions around the wording of principle 17. He concluded by summarising the GFXC’s workstreams for 2018 which include, amongst other matters, further consideration of ‘cover and deal’, disclosures and negative pre-hedging</w:t>
            </w:r>
            <w:r>
              <w:rPr>
                <w:spacing w:val="-2"/>
                <w:sz w:val="20"/>
              </w:rPr>
              <w:t> </w:t>
            </w:r>
            <w:r>
              <w:rPr>
                <w:sz w:val="20"/>
              </w:rPr>
              <w:t>examples.</w:t>
            </w:r>
          </w:p>
        </w:tc>
      </w:tr>
      <w:tr>
        <w:trPr>
          <w:trHeight w:val="3000" w:hRule="atLeast"/>
        </w:trPr>
        <w:tc>
          <w:tcPr>
            <w:tcW w:w="851" w:type="dxa"/>
          </w:tcPr>
          <w:p>
            <w:pPr>
              <w:pStyle w:val="TableParagraph"/>
              <w:spacing w:before="118"/>
              <w:ind w:left="200"/>
              <w:rPr>
                <w:sz w:val="20"/>
              </w:rPr>
            </w:pPr>
            <w:r>
              <w:rPr>
                <w:sz w:val="20"/>
              </w:rPr>
              <w:t>4.</w:t>
            </w:r>
          </w:p>
        </w:tc>
        <w:tc>
          <w:tcPr>
            <w:tcW w:w="7558" w:type="dxa"/>
          </w:tcPr>
          <w:p>
            <w:pPr>
              <w:pStyle w:val="TableParagraph"/>
              <w:spacing w:before="115"/>
              <w:ind w:left="486" w:right="203"/>
              <w:jc w:val="both"/>
              <w:rPr>
                <w:b/>
                <w:sz w:val="20"/>
              </w:rPr>
            </w:pPr>
            <w:r>
              <w:rPr>
                <w:b/>
                <w:sz w:val="20"/>
              </w:rPr>
              <w:t>FCA Consultation CP17/37 on Industry Codes of Conduct (Daniel Measor, Mhairi Jackson, Nick Bertram and Sam Duffett, Financial Conduct Authority)</w:t>
            </w:r>
          </w:p>
          <w:p>
            <w:pPr>
              <w:pStyle w:val="TableParagraph"/>
              <w:spacing w:before="2"/>
              <w:rPr>
                <w:sz w:val="20"/>
              </w:rPr>
            </w:pPr>
          </w:p>
          <w:p>
            <w:pPr>
              <w:pStyle w:val="TableParagraph"/>
              <w:ind w:left="486" w:right="198"/>
              <w:jc w:val="both"/>
              <w:rPr>
                <w:sz w:val="20"/>
              </w:rPr>
            </w:pPr>
            <w:r>
              <w:rPr>
                <w:sz w:val="20"/>
              </w:rPr>
              <w:t>Ms Jackson explained the FCA’s aims underlying its consultation paper. She highlighted that the consultation made proposals about the FCA’s general approach to supervising and enforcing their Senior Managers &amp; Certification Regime rules for authorised firms’ unregulated activities, including those covered by industry codes of conduct. The FCA guest speakers highlighted that this was not an enforcement-led initiative but an initiative undertaken with the aim of driving up standards. Ms Jackson encouraged attendees to provide feedback on the FCA’s proposals through the consultation</w:t>
            </w:r>
            <w:r>
              <w:rPr>
                <w:spacing w:val="-23"/>
                <w:sz w:val="20"/>
              </w:rPr>
              <w:t> </w:t>
            </w:r>
            <w:r>
              <w:rPr>
                <w:sz w:val="20"/>
              </w:rPr>
              <w:t>process.</w:t>
            </w:r>
          </w:p>
        </w:tc>
      </w:tr>
      <w:tr>
        <w:trPr>
          <w:trHeight w:val="2779" w:hRule="atLeast"/>
        </w:trPr>
        <w:tc>
          <w:tcPr>
            <w:tcW w:w="851" w:type="dxa"/>
          </w:tcPr>
          <w:p>
            <w:pPr>
              <w:pStyle w:val="TableParagraph"/>
              <w:spacing w:before="118"/>
              <w:ind w:left="200"/>
              <w:rPr>
                <w:sz w:val="20"/>
              </w:rPr>
            </w:pPr>
            <w:r>
              <w:rPr>
                <w:sz w:val="20"/>
              </w:rPr>
              <w:t>5.</w:t>
            </w:r>
          </w:p>
        </w:tc>
        <w:tc>
          <w:tcPr>
            <w:tcW w:w="7558" w:type="dxa"/>
          </w:tcPr>
          <w:p>
            <w:pPr>
              <w:pStyle w:val="TableParagraph"/>
              <w:spacing w:before="115"/>
              <w:ind w:left="486"/>
              <w:jc w:val="both"/>
              <w:rPr>
                <w:b/>
                <w:sz w:val="20"/>
              </w:rPr>
            </w:pPr>
            <w:r>
              <w:rPr>
                <w:b/>
                <w:sz w:val="20"/>
              </w:rPr>
              <w:t>MIFID 2 Update (Simon Crown, Clifford Chance)</w:t>
            </w:r>
          </w:p>
          <w:p>
            <w:pPr>
              <w:pStyle w:val="TableParagraph"/>
              <w:spacing w:before="10"/>
              <w:rPr>
                <w:sz w:val="20"/>
              </w:rPr>
            </w:pPr>
          </w:p>
          <w:p>
            <w:pPr>
              <w:pStyle w:val="TableParagraph"/>
              <w:spacing w:before="1"/>
              <w:ind w:left="486" w:right="196"/>
              <w:jc w:val="both"/>
              <w:rPr>
                <w:sz w:val="20"/>
              </w:rPr>
            </w:pPr>
            <w:r>
              <w:rPr>
                <w:sz w:val="20"/>
              </w:rPr>
              <w:t>Mr Crown observed that MiFID 2 implementation has been relatively smooth. Mr Crown noted that there had been low take up of LEIs in third countries and that on occasion ISIN creation had been an issue and flagged, in particular, the issue of duplicate ISINs. There had also been some queries about research unbundling. Mr Crown highlighted that there had been </w:t>
            </w:r>
            <w:r>
              <w:rPr>
                <w:spacing w:val="3"/>
                <w:sz w:val="20"/>
              </w:rPr>
              <w:t>some </w:t>
            </w:r>
            <w:r>
              <w:rPr>
                <w:sz w:val="20"/>
              </w:rPr>
              <w:t>voluntary take up of MIFID 2 principles in third countries. Mr Crown also noted that PRIIPs</w:t>
            </w:r>
            <w:r>
              <w:rPr>
                <w:sz w:val="20"/>
                <w:vertAlign w:val="superscript"/>
              </w:rPr>
              <w:t>1</w:t>
            </w:r>
            <w:r>
              <w:rPr>
                <w:sz w:val="20"/>
                <w:vertAlign w:val="baseline"/>
              </w:rPr>
              <w:t> had come into application around the same time as MIFID 2 and that there is currently some uncertainty about the identification of the manufacturers and distributors of financial products under PRIIPs.</w:t>
            </w:r>
          </w:p>
        </w:tc>
      </w:tr>
      <w:tr>
        <w:trPr>
          <w:trHeight w:val="925" w:hRule="atLeast"/>
        </w:trPr>
        <w:tc>
          <w:tcPr>
            <w:tcW w:w="851" w:type="dxa"/>
          </w:tcPr>
          <w:p>
            <w:pPr>
              <w:pStyle w:val="TableParagraph"/>
              <w:spacing w:before="118"/>
              <w:ind w:left="200"/>
              <w:rPr>
                <w:sz w:val="20"/>
              </w:rPr>
            </w:pPr>
            <w:r>
              <w:rPr>
                <w:sz w:val="20"/>
              </w:rPr>
              <w:t>6.</w:t>
            </w:r>
          </w:p>
        </w:tc>
        <w:tc>
          <w:tcPr>
            <w:tcW w:w="7558" w:type="dxa"/>
          </w:tcPr>
          <w:p>
            <w:pPr>
              <w:pStyle w:val="TableParagraph"/>
              <w:spacing w:before="115"/>
              <w:ind w:left="486"/>
              <w:rPr>
                <w:b/>
                <w:sz w:val="20"/>
              </w:rPr>
            </w:pPr>
            <w:r>
              <w:rPr>
                <w:b/>
                <w:sz w:val="20"/>
              </w:rPr>
              <w:t>Any Other Business</w:t>
            </w:r>
          </w:p>
          <w:p>
            <w:pPr>
              <w:pStyle w:val="TableParagraph"/>
              <w:spacing w:before="3"/>
              <w:rPr>
                <w:sz w:val="20"/>
              </w:rPr>
            </w:pPr>
          </w:p>
          <w:p>
            <w:pPr>
              <w:pStyle w:val="TableParagraph"/>
              <w:spacing w:before="1"/>
              <w:ind w:left="486"/>
              <w:rPr>
                <w:sz w:val="20"/>
              </w:rPr>
            </w:pPr>
            <w:r>
              <w:rPr>
                <w:sz w:val="20"/>
              </w:rPr>
              <w:t>None</w:t>
            </w:r>
          </w:p>
        </w:tc>
      </w:tr>
      <w:tr>
        <w:trPr>
          <w:trHeight w:val="1032" w:hRule="atLeast"/>
        </w:trPr>
        <w:tc>
          <w:tcPr>
            <w:tcW w:w="851" w:type="dxa"/>
          </w:tcPr>
          <w:p>
            <w:pPr>
              <w:pStyle w:val="TableParagraph"/>
              <w:spacing w:before="112"/>
              <w:ind w:left="200"/>
              <w:rPr>
                <w:sz w:val="20"/>
              </w:rPr>
            </w:pPr>
            <w:r>
              <w:rPr>
                <w:sz w:val="20"/>
              </w:rPr>
              <w:t>7.</w:t>
            </w:r>
          </w:p>
        </w:tc>
        <w:tc>
          <w:tcPr>
            <w:tcW w:w="7558" w:type="dxa"/>
          </w:tcPr>
          <w:p>
            <w:pPr>
              <w:pStyle w:val="TableParagraph"/>
              <w:spacing w:before="109"/>
              <w:ind w:left="486"/>
              <w:rPr>
                <w:b/>
                <w:sz w:val="20"/>
              </w:rPr>
            </w:pPr>
            <w:r>
              <w:rPr>
                <w:b/>
                <w:sz w:val="20"/>
              </w:rPr>
              <w:t>Next Meeting</w:t>
            </w:r>
          </w:p>
          <w:p>
            <w:pPr>
              <w:pStyle w:val="TableParagraph"/>
              <w:spacing w:before="3"/>
              <w:rPr>
                <w:sz w:val="20"/>
              </w:rPr>
            </w:pPr>
          </w:p>
          <w:p>
            <w:pPr>
              <w:pStyle w:val="TableParagraph"/>
              <w:spacing w:line="230" w:lineRule="atLeast"/>
              <w:ind w:left="486" w:right="77"/>
              <w:rPr>
                <w:sz w:val="20"/>
              </w:rPr>
            </w:pPr>
            <w:r>
              <w:rPr>
                <w:sz w:val="20"/>
              </w:rPr>
              <w:t>The Secretary stated that the next meeting of the FXJSC Legal Sub- Committee would be held on Tuesday 24 April 2018.</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2"/>
        </w:rPr>
      </w:pPr>
      <w:r>
        <w:rPr/>
        <w:pict>
          <v:shape style="position:absolute;margin-left:56.664001pt;margin-top:9.170971pt;width:144.050pt;height:.1pt;mso-position-horizontal-relative:page;mso-position-vertical-relative:paragraph;z-index:-251658240;mso-wrap-distance-left:0;mso-wrap-distance-right:0" coordorigin="1133,183" coordsize="2881,0" path="m1133,183l4014,183e" filled="false" stroked="true" strokeweight=".47998pt" strokecolor="#000000">
            <v:path arrowok="t"/>
            <v:stroke dashstyle="solid"/>
            <w10:wrap type="topAndBottom"/>
          </v:shape>
        </w:pict>
      </w:r>
    </w:p>
    <w:p>
      <w:pPr>
        <w:pStyle w:val="BodyText"/>
        <w:spacing w:before="17"/>
        <w:ind w:right="479"/>
        <w:jc w:val="right"/>
      </w:pPr>
      <w:r>
        <w:rPr>
          <w:position w:val="10"/>
          <w:sz w:val="13"/>
        </w:rPr>
        <w:t>1 </w:t>
      </w:r>
      <w:r>
        <w:rPr/>
        <w:t>Packaged Retail and Insurance-based Investment Products Regulation (Regulation (EU) No 1286/2014)</w:t>
      </w:r>
    </w:p>
    <w:sectPr>
      <w:pgSz w:w="11910" w:h="16840"/>
      <w:pgMar w:top="480" w:bottom="280" w:left="8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Londond FXJSC Legal Sub-Committee - 25 January 2018</dc:title>
  <dcterms:created xsi:type="dcterms:W3CDTF">2020-06-01T02:00:45Z</dcterms:created>
  <dcterms:modified xsi:type="dcterms:W3CDTF">2020-06-01T02:00:45Z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LastSaved">
    <vt:filetime>2020-06-01T00:00:00Z</vt:filetime>
  </property>
</Properties>
</file>