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spacing w:before="6" w:after="1"/>
        <w:rPr>
          <w:rFonts w:ascii="Times New Roman"/>
          <w:sz w:val="21"/>
        </w:rPr>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7"/>
        <w:gridCol w:w="8664"/>
      </w:tblGrid>
      <w:tr>
        <w:trPr>
          <w:trHeight w:val="665" w:hRule="atLeast"/>
        </w:trPr>
        <w:tc>
          <w:tcPr>
            <w:tcW w:w="9641" w:type="dxa"/>
            <w:gridSpan w:val="2"/>
          </w:tcPr>
          <w:p>
            <w:pPr>
              <w:pStyle w:val="TableParagraph"/>
              <w:spacing w:line="491" w:lineRule="exact"/>
              <w:ind w:left="2"/>
              <w:rPr>
                <w:sz w:val="44"/>
              </w:rPr>
            </w:pPr>
            <w:r>
              <w:rPr>
                <w:sz w:val="44"/>
              </w:rPr>
              <w:t>Minutes</w:t>
            </w:r>
          </w:p>
        </w:tc>
      </w:tr>
      <w:tr>
        <w:trPr>
          <w:trHeight w:val="467" w:hRule="atLeast"/>
        </w:trPr>
        <w:tc>
          <w:tcPr>
            <w:tcW w:w="9641" w:type="dxa"/>
            <w:gridSpan w:val="2"/>
          </w:tcPr>
          <w:p>
            <w:pPr>
              <w:pStyle w:val="TableParagraph"/>
              <w:spacing w:before="167"/>
              <w:ind w:left="2"/>
              <w:rPr>
                <w:b/>
                <w:sz w:val="24"/>
              </w:rPr>
            </w:pPr>
            <w:r>
              <w:rPr>
                <w:b/>
                <w:sz w:val="24"/>
              </w:rPr>
              <w:t>Foreign Exchange Joint Standing Committee Legal Sub-Committee</w:t>
            </w:r>
          </w:p>
        </w:tc>
      </w:tr>
      <w:tr>
        <w:trPr>
          <w:trHeight w:val="567" w:hRule="atLeast"/>
        </w:trPr>
        <w:tc>
          <w:tcPr>
            <w:tcW w:w="9641" w:type="dxa"/>
            <w:gridSpan w:val="2"/>
            <w:tcBorders>
              <w:bottom w:val="single" w:sz="4" w:space="0" w:color="000000"/>
            </w:tcBorders>
          </w:tcPr>
          <w:p>
            <w:pPr>
              <w:pStyle w:val="TableParagraph"/>
              <w:spacing w:before="16"/>
              <w:ind w:left="2"/>
              <w:rPr>
                <w:sz w:val="24"/>
              </w:rPr>
            </w:pPr>
            <w:r>
              <w:rPr>
                <w:sz w:val="24"/>
              </w:rPr>
              <w:t>2 November 2017</w:t>
            </w:r>
          </w:p>
        </w:tc>
      </w:tr>
      <w:tr>
        <w:trPr>
          <w:trHeight w:val="579" w:hRule="atLeast"/>
        </w:trPr>
        <w:tc>
          <w:tcPr>
            <w:tcW w:w="977" w:type="dxa"/>
            <w:tcBorders>
              <w:top w:val="single" w:sz="4" w:space="0" w:color="000000"/>
            </w:tcBorders>
          </w:tcPr>
          <w:p>
            <w:pPr>
              <w:pStyle w:val="TableParagraph"/>
              <w:spacing w:before="8"/>
              <w:ind w:left="0"/>
              <w:rPr>
                <w:rFonts w:ascii="Times New Roman"/>
                <w:sz w:val="18"/>
              </w:rPr>
            </w:pPr>
          </w:p>
          <w:p>
            <w:pPr>
              <w:pStyle w:val="TableParagraph"/>
              <w:ind w:left="2"/>
              <w:rPr>
                <w:sz w:val="20"/>
              </w:rPr>
            </w:pPr>
            <w:r>
              <w:rPr>
                <w:sz w:val="20"/>
              </w:rPr>
              <w:t>Location:</w:t>
            </w:r>
          </w:p>
        </w:tc>
        <w:tc>
          <w:tcPr>
            <w:tcW w:w="8664" w:type="dxa"/>
            <w:tcBorders>
              <w:top w:val="single" w:sz="4" w:space="0" w:color="000000"/>
            </w:tcBorders>
          </w:tcPr>
          <w:p>
            <w:pPr>
              <w:pStyle w:val="TableParagraph"/>
              <w:spacing w:before="8"/>
              <w:ind w:left="0"/>
              <w:rPr>
                <w:rFonts w:ascii="Times New Roman"/>
                <w:sz w:val="18"/>
              </w:rPr>
            </w:pPr>
          </w:p>
          <w:p>
            <w:pPr>
              <w:pStyle w:val="TableParagraph"/>
              <w:rPr>
                <w:sz w:val="20"/>
              </w:rPr>
            </w:pPr>
            <w:r>
              <w:rPr>
                <w:sz w:val="20"/>
              </w:rPr>
              <w:t>BNY Mellon, 160 Queen Victoria Street, London EC4V 4LA</w:t>
            </w:r>
          </w:p>
        </w:tc>
      </w:tr>
      <w:tr>
        <w:trPr>
          <w:trHeight w:val="4990" w:hRule="atLeast"/>
        </w:trPr>
        <w:tc>
          <w:tcPr>
            <w:tcW w:w="977" w:type="dxa"/>
          </w:tcPr>
          <w:p>
            <w:pPr>
              <w:pStyle w:val="TableParagraph"/>
              <w:spacing w:before="130"/>
              <w:ind w:left="2"/>
              <w:rPr>
                <w:sz w:val="20"/>
              </w:rPr>
            </w:pPr>
            <w:r>
              <w:rPr>
                <w:sz w:val="20"/>
              </w:rPr>
              <w:t>Attendees:</w:t>
            </w:r>
          </w:p>
        </w:tc>
        <w:tc>
          <w:tcPr>
            <w:tcW w:w="8664" w:type="dxa"/>
          </w:tcPr>
          <w:p>
            <w:pPr>
              <w:pStyle w:val="TableParagraph"/>
              <w:spacing w:before="127"/>
              <w:jc w:val="both"/>
              <w:rPr>
                <w:sz w:val="20"/>
              </w:rPr>
            </w:pPr>
            <w:r>
              <w:rPr>
                <w:b/>
                <w:sz w:val="20"/>
              </w:rPr>
              <w:t>Bank of England</w:t>
            </w:r>
            <w:r>
              <w:rPr>
                <w:sz w:val="20"/>
              </w:rPr>
              <w:t>: Jonathan Grant (Secretary), Charlotte Pope-Williams</w:t>
            </w:r>
          </w:p>
          <w:p>
            <w:pPr>
              <w:pStyle w:val="TableParagraph"/>
              <w:spacing w:line="276" w:lineRule="auto" w:before="34"/>
              <w:ind w:right="3764"/>
              <w:jc w:val="both"/>
              <w:rPr>
                <w:sz w:val="20"/>
              </w:rPr>
            </w:pPr>
            <w:r>
              <w:rPr>
                <w:b/>
                <w:sz w:val="20"/>
              </w:rPr>
              <w:t>Bank of New York Mellon</w:t>
            </w:r>
            <w:r>
              <w:rPr>
                <w:sz w:val="20"/>
              </w:rPr>
              <w:t>: Jacqueline Joyston-Bechal </w:t>
            </w:r>
            <w:r>
              <w:rPr>
                <w:b/>
                <w:sz w:val="20"/>
              </w:rPr>
              <w:t>Barclays</w:t>
            </w:r>
            <w:r>
              <w:rPr>
                <w:sz w:val="20"/>
              </w:rPr>
              <w:t>: Nasia Pachitipallikaropoulou, James Sinclair </w:t>
            </w:r>
            <w:r>
              <w:rPr>
                <w:b/>
                <w:sz w:val="20"/>
              </w:rPr>
              <w:t>Citigroup</w:t>
            </w:r>
            <w:r>
              <w:rPr>
                <w:sz w:val="20"/>
              </w:rPr>
              <w:t>: Sharon Blackman</w:t>
            </w:r>
          </w:p>
          <w:p>
            <w:pPr>
              <w:pStyle w:val="TableParagraph"/>
              <w:spacing w:before="1"/>
              <w:rPr>
                <w:sz w:val="20"/>
              </w:rPr>
            </w:pPr>
            <w:r>
              <w:rPr>
                <w:b/>
                <w:sz w:val="20"/>
              </w:rPr>
              <w:t>CLS</w:t>
            </w:r>
            <w:r>
              <w:rPr>
                <w:sz w:val="20"/>
              </w:rPr>
              <w:t>: Gaynor Wood</w:t>
            </w:r>
          </w:p>
          <w:p>
            <w:pPr>
              <w:pStyle w:val="TableParagraph"/>
              <w:spacing w:before="34"/>
              <w:rPr>
                <w:sz w:val="20"/>
              </w:rPr>
            </w:pPr>
            <w:r>
              <w:rPr>
                <w:b/>
                <w:sz w:val="20"/>
              </w:rPr>
              <w:t>Deutsche Bank</w:t>
            </w:r>
            <w:r>
              <w:rPr>
                <w:sz w:val="20"/>
              </w:rPr>
              <w:t>: Simon Goldsworthy</w:t>
            </w:r>
          </w:p>
          <w:p>
            <w:pPr>
              <w:pStyle w:val="TableParagraph"/>
              <w:spacing w:line="280" w:lineRule="auto" w:before="34"/>
              <w:rPr>
                <w:sz w:val="20"/>
              </w:rPr>
            </w:pPr>
            <w:r>
              <w:rPr>
                <w:b/>
                <w:sz w:val="20"/>
              </w:rPr>
              <w:t>Financial Conduct Authority</w:t>
            </w:r>
            <w:r>
              <w:rPr>
                <w:sz w:val="20"/>
              </w:rPr>
              <w:t>: David Harris, Heather Pilley (Guest Speaker), David Edmunds (Guest Speaker), Samuel Duffett (Guest Speaker)</w:t>
            </w:r>
          </w:p>
          <w:p>
            <w:pPr>
              <w:pStyle w:val="TableParagraph"/>
              <w:spacing w:line="278" w:lineRule="auto"/>
              <w:ind w:right="-15"/>
              <w:rPr>
                <w:sz w:val="20"/>
              </w:rPr>
            </w:pPr>
            <w:r>
              <w:rPr>
                <w:b/>
                <w:sz w:val="20"/>
              </w:rPr>
              <w:t>Freshfields Bruckhaus Deringer</w:t>
            </w:r>
            <w:r>
              <w:rPr>
                <w:sz w:val="20"/>
              </w:rPr>
              <w:t>: Michael Raffan (Guest Speaker), Emma Rachmaninov (Guest Speaker), Hannah McAslan (Guest</w:t>
            </w:r>
            <w:r>
              <w:rPr>
                <w:spacing w:val="-1"/>
                <w:sz w:val="20"/>
              </w:rPr>
              <w:t> </w:t>
            </w:r>
            <w:r>
              <w:rPr>
                <w:sz w:val="20"/>
              </w:rPr>
              <w:t>Speaker)</w:t>
            </w:r>
          </w:p>
          <w:p>
            <w:pPr>
              <w:pStyle w:val="TableParagraph"/>
              <w:spacing w:line="224" w:lineRule="exact"/>
              <w:rPr>
                <w:sz w:val="20"/>
              </w:rPr>
            </w:pPr>
            <w:r>
              <w:rPr>
                <w:b/>
                <w:sz w:val="20"/>
              </w:rPr>
              <w:t>Goldman Sachs</w:t>
            </w:r>
            <w:r>
              <w:rPr>
                <w:sz w:val="20"/>
              </w:rPr>
              <w:t>: Dan Parker (Chair)</w:t>
            </w:r>
          </w:p>
          <w:p>
            <w:pPr>
              <w:pStyle w:val="TableParagraph"/>
              <w:spacing w:line="276" w:lineRule="auto" w:before="26"/>
              <w:ind w:right="5980"/>
              <w:rPr>
                <w:sz w:val="20"/>
              </w:rPr>
            </w:pPr>
            <w:r>
              <w:rPr>
                <w:b/>
                <w:sz w:val="20"/>
              </w:rPr>
              <w:t>HSBC</w:t>
            </w:r>
            <w:r>
              <w:rPr>
                <w:sz w:val="20"/>
              </w:rPr>
              <w:t>: Harkamal Singh Atwal </w:t>
            </w:r>
            <w:r>
              <w:rPr>
                <w:b/>
                <w:sz w:val="20"/>
              </w:rPr>
              <w:t>JP Morgan</w:t>
            </w:r>
            <w:r>
              <w:rPr>
                <w:sz w:val="20"/>
              </w:rPr>
              <w:t>: Tamsin Rolls </w:t>
            </w:r>
            <w:r>
              <w:rPr>
                <w:b/>
                <w:sz w:val="20"/>
              </w:rPr>
              <w:t>Morgan Stanley</w:t>
            </w:r>
            <w:r>
              <w:rPr>
                <w:sz w:val="20"/>
              </w:rPr>
              <w:t>: Barra Little</w:t>
            </w:r>
          </w:p>
          <w:p>
            <w:pPr>
              <w:pStyle w:val="TableParagraph"/>
              <w:spacing w:line="276" w:lineRule="auto" w:before="1"/>
              <w:ind w:right="5368"/>
              <w:rPr>
                <w:sz w:val="20"/>
              </w:rPr>
            </w:pPr>
            <w:r>
              <w:rPr>
                <w:b/>
                <w:sz w:val="20"/>
              </w:rPr>
              <w:t>Natwest Markets</w:t>
            </w:r>
            <w:r>
              <w:rPr>
                <w:sz w:val="20"/>
              </w:rPr>
              <w:t>: Lorraine Newbold </w:t>
            </w:r>
            <w:r>
              <w:rPr>
                <w:b/>
                <w:sz w:val="20"/>
              </w:rPr>
              <w:t>Standard Chartered</w:t>
            </w:r>
            <w:r>
              <w:rPr>
                <w:sz w:val="20"/>
              </w:rPr>
              <w:t>: Rakesh Shah </w:t>
            </w:r>
            <w:r>
              <w:rPr>
                <w:b/>
                <w:sz w:val="20"/>
              </w:rPr>
              <w:t>TP ICAP</w:t>
            </w:r>
            <w:r>
              <w:rPr>
                <w:sz w:val="20"/>
              </w:rPr>
              <w:t>: Simon Helm</w:t>
            </w:r>
          </w:p>
          <w:p>
            <w:pPr>
              <w:pStyle w:val="TableParagraph"/>
              <w:spacing w:before="1"/>
              <w:rPr>
                <w:sz w:val="20"/>
              </w:rPr>
            </w:pPr>
            <w:r>
              <w:rPr>
                <w:b/>
                <w:sz w:val="20"/>
              </w:rPr>
              <w:t>XTX Markets</w:t>
            </w:r>
            <w:r>
              <w:rPr>
                <w:sz w:val="20"/>
              </w:rPr>
              <w:t>: Sunil Samani</w:t>
            </w:r>
          </w:p>
        </w:tc>
      </w:tr>
      <w:tr>
        <w:trPr>
          <w:trHeight w:val="1312" w:hRule="atLeast"/>
        </w:trPr>
        <w:tc>
          <w:tcPr>
            <w:tcW w:w="977" w:type="dxa"/>
            <w:tcBorders>
              <w:bottom w:val="single" w:sz="2" w:space="0" w:color="000000"/>
            </w:tcBorders>
          </w:tcPr>
          <w:p>
            <w:pPr>
              <w:pStyle w:val="TableParagraph"/>
              <w:spacing w:before="128"/>
              <w:ind w:left="2"/>
              <w:rPr>
                <w:sz w:val="20"/>
              </w:rPr>
            </w:pPr>
            <w:r>
              <w:rPr>
                <w:sz w:val="20"/>
              </w:rPr>
              <w:t>Apologies:</w:t>
            </w:r>
          </w:p>
        </w:tc>
        <w:tc>
          <w:tcPr>
            <w:tcW w:w="8664" w:type="dxa"/>
            <w:tcBorders>
              <w:bottom w:val="single" w:sz="2" w:space="0" w:color="000000"/>
            </w:tcBorders>
          </w:tcPr>
          <w:p>
            <w:pPr>
              <w:pStyle w:val="TableParagraph"/>
              <w:spacing w:before="128"/>
              <w:rPr>
                <w:sz w:val="20"/>
              </w:rPr>
            </w:pPr>
            <w:r>
              <w:rPr>
                <w:b/>
                <w:sz w:val="20"/>
              </w:rPr>
              <w:t>Bank of America Merrill Lynch</w:t>
            </w:r>
            <w:r>
              <w:rPr>
                <w:sz w:val="20"/>
              </w:rPr>
              <w:t>: Jateen Shah</w:t>
            </w:r>
          </w:p>
          <w:p>
            <w:pPr>
              <w:pStyle w:val="TableParagraph"/>
              <w:spacing w:before="32"/>
              <w:rPr>
                <w:sz w:val="20"/>
              </w:rPr>
            </w:pPr>
            <w:r>
              <w:rPr>
                <w:b/>
                <w:sz w:val="20"/>
              </w:rPr>
              <w:t>Natwest Markets</w:t>
            </w:r>
            <w:r>
              <w:rPr>
                <w:sz w:val="20"/>
              </w:rPr>
              <w:t>: David Cole</w:t>
            </w:r>
          </w:p>
          <w:p>
            <w:pPr>
              <w:pStyle w:val="TableParagraph"/>
              <w:rPr>
                <w:sz w:val="20"/>
              </w:rPr>
            </w:pPr>
            <w:r>
              <w:rPr>
                <w:b/>
                <w:sz w:val="20"/>
              </w:rPr>
              <w:t>UBS</w:t>
            </w:r>
            <w:r>
              <w:rPr>
                <w:sz w:val="20"/>
              </w:rPr>
              <w:t>: Richard Lamb</w:t>
            </w:r>
          </w:p>
        </w:tc>
      </w:tr>
      <w:tr>
        <w:trPr>
          <w:trHeight w:val="803" w:hRule="atLeast"/>
        </w:trPr>
        <w:tc>
          <w:tcPr>
            <w:tcW w:w="977" w:type="dxa"/>
            <w:tcBorders>
              <w:top w:val="single" w:sz="2" w:space="0" w:color="000000"/>
            </w:tcBorders>
          </w:tcPr>
          <w:p>
            <w:pPr>
              <w:pStyle w:val="TableParagraph"/>
              <w:spacing w:before="6"/>
              <w:ind w:left="0"/>
              <w:rPr>
                <w:rFonts w:ascii="Times New Roman"/>
                <w:sz w:val="19"/>
              </w:rPr>
            </w:pPr>
          </w:p>
          <w:p>
            <w:pPr>
              <w:pStyle w:val="TableParagraph"/>
              <w:ind w:left="110" w:right="202"/>
              <w:rPr>
                <w:b/>
                <w:sz w:val="20"/>
              </w:rPr>
            </w:pPr>
            <w:r>
              <w:rPr>
                <w:b/>
                <w:sz w:val="20"/>
              </w:rPr>
              <w:t>Minute no.</w:t>
            </w:r>
          </w:p>
        </w:tc>
        <w:tc>
          <w:tcPr>
            <w:tcW w:w="8664" w:type="dxa"/>
            <w:tcBorders>
              <w:top w:val="single" w:sz="2" w:space="0" w:color="000000"/>
            </w:tcBorders>
          </w:tcPr>
          <w:p>
            <w:pPr>
              <w:pStyle w:val="TableParagraph"/>
              <w:spacing w:before="6"/>
              <w:ind w:left="0"/>
              <w:rPr>
                <w:rFonts w:ascii="Times New Roman"/>
                <w:sz w:val="19"/>
              </w:rPr>
            </w:pPr>
          </w:p>
          <w:p>
            <w:pPr>
              <w:pStyle w:val="TableParagraph"/>
              <w:ind w:left="126"/>
              <w:rPr>
                <w:b/>
                <w:sz w:val="20"/>
              </w:rPr>
            </w:pPr>
            <w:r>
              <w:rPr>
                <w:b/>
                <w:sz w:val="20"/>
              </w:rPr>
              <w:t>Minute</w:t>
            </w:r>
          </w:p>
        </w:tc>
      </w:tr>
      <w:tr>
        <w:trPr>
          <w:trHeight w:val="696" w:hRule="atLeast"/>
        </w:trPr>
        <w:tc>
          <w:tcPr>
            <w:tcW w:w="977" w:type="dxa"/>
          </w:tcPr>
          <w:p>
            <w:pPr>
              <w:pStyle w:val="TableParagraph"/>
              <w:spacing w:before="113"/>
              <w:ind w:left="110"/>
              <w:rPr>
                <w:sz w:val="20"/>
              </w:rPr>
            </w:pPr>
            <w:r>
              <w:rPr>
                <w:sz w:val="20"/>
              </w:rPr>
              <w:t>1.</w:t>
            </w:r>
          </w:p>
        </w:tc>
        <w:tc>
          <w:tcPr>
            <w:tcW w:w="8664" w:type="dxa"/>
          </w:tcPr>
          <w:p>
            <w:pPr>
              <w:pStyle w:val="TableParagraph"/>
              <w:spacing w:before="110"/>
              <w:ind w:left="126"/>
              <w:rPr>
                <w:b/>
                <w:sz w:val="20"/>
              </w:rPr>
            </w:pPr>
            <w:r>
              <w:rPr>
                <w:b/>
                <w:sz w:val="20"/>
              </w:rPr>
              <w:t>Minutes</w:t>
            </w:r>
          </w:p>
          <w:p>
            <w:pPr>
              <w:pStyle w:val="TableParagraph"/>
              <w:spacing w:before="3"/>
              <w:ind w:left="126"/>
              <w:rPr>
                <w:sz w:val="20"/>
              </w:rPr>
            </w:pPr>
            <w:r>
              <w:rPr>
                <w:sz w:val="20"/>
              </w:rPr>
              <w:t>The minutes of the 18 September 2017 meeting were approved.</w:t>
            </w:r>
          </w:p>
        </w:tc>
      </w:tr>
      <w:tr>
        <w:trPr>
          <w:trHeight w:val="2597" w:hRule="atLeast"/>
        </w:trPr>
        <w:tc>
          <w:tcPr>
            <w:tcW w:w="977" w:type="dxa"/>
          </w:tcPr>
          <w:p>
            <w:pPr>
              <w:pStyle w:val="TableParagraph"/>
              <w:spacing w:before="118"/>
              <w:ind w:left="110"/>
              <w:rPr>
                <w:sz w:val="20"/>
              </w:rPr>
            </w:pPr>
            <w:r>
              <w:rPr>
                <w:sz w:val="20"/>
              </w:rPr>
              <w:t>2.</w:t>
            </w:r>
          </w:p>
        </w:tc>
        <w:tc>
          <w:tcPr>
            <w:tcW w:w="8664" w:type="dxa"/>
          </w:tcPr>
          <w:p>
            <w:pPr>
              <w:pStyle w:val="TableParagraph"/>
              <w:spacing w:before="115"/>
              <w:ind w:left="126" w:right="2733"/>
              <w:jc w:val="both"/>
              <w:rPr>
                <w:b/>
                <w:sz w:val="20"/>
              </w:rPr>
            </w:pPr>
            <w:r>
              <w:rPr>
                <w:b/>
                <w:sz w:val="20"/>
              </w:rPr>
              <w:t>Regulatory Update (Michael Raffan and Emma Rachmaninov, Freshfields Bruckhaus Deringer)</w:t>
            </w:r>
          </w:p>
          <w:p>
            <w:pPr>
              <w:pStyle w:val="TableParagraph"/>
              <w:spacing w:before="1"/>
              <w:ind w:left="126" w:right="1664"/>
              <w:jc w:val="both"/>
              <w:rPr>
                <w:sz w:val="20"/>
              </w:rPr>
            </w:pPr>
            <w:r>
              <w:rPr>
                <w:sz w:val="20"/>
              </w:rPr>
              <w:t>Mr Raffan and Ms Rachmaninov gave members a briefing on recent legal developments relevant to FX trading. The first half of their presentation concerned the implications of MiFID 2</w:t>
            </w:r>
            <w:hyperlink w:history="true" w:anchor="_bookmark0">
              <w:r>
                <w:rPr>
                  <w:sz w:val="20"/>
                  <w:vertAlign w:val="superscript"/>
                </w:rPr>
                <w:t>1</w:t>
              </w:r>
              <w:r>
                <w:rPr>
                  <w:sz w:val="20"/>
                  <w:vertAlign w:val="baseline"/>
                </w:rPr>
                <w:t> </w:t>
              </w:r>
            </w:hyperlink>
            <w:r>
              <w:rPr>
                <w:sz w:val="20"/>
                <w:vertAlign w:val="baseline"/>
              </w:rPr>
              <w:t>and MiFIR</w:t>
            </w:r>
            <w:hyperlink w:history="true" w:anchor="_bookmark1">
              <w:r>
                <w:rPr>
                  <w:sz w:val="20"/>
                  <w:vertAlign w:val="superscript"/>
                </w:rPr>
                <w:t>2</w:t>
              </w:r>
              <w:r>
                <w:rPr>
                  <w:sz w:val="20"/>
                  <w:vertAlign w:val="baseline"/>
                </w:rPr>
                <w:t> </w:t>
              </w:r>
            </w:hyperlink>
            <w:r>
              <w:rPr>
                <w:sz w:val="20"/>
                <w:vertAlign w:val="baseline"/>
              </w:rPr>
              <w:t>for FX activities, including the scope of MiFID 2/MiFIR and the application of MiFID 2/MiFIR to FX Instruments and FX spot and forward transactions. The second half of the presentation concerned other legal development relevant to FX trading, including whether definitional changes under MiFID 2 could impact the application of EMIR requirements and the possible implications of the FX</w:t>
            </w:r>
          </w:p>
        </w:tc>
      </w:tr>
    </w:tbl>
    <w:p>
      <w:pPr>
        <w:pStyle w:val="BodyText"/>
        <w:spacing w:line="20" w:lineRule="exact"/>
        <w:ind w:left="192"/>
        <w:rPr>
          <w:rFonts w:ascii="Times New Roman"/>
          <w:sz w:val="2"/>
        </w:rPr>
      </w:pPr>
      <w:r>
        <w:rPr>
          <w:rFonts w:ascii="Times New Roman"/>
          <w:sz w:val="2"/>
        </w:rPr>
        <w:pict>
          <v:group style="width:144pt;height:.5pt;mso-position-horizontal-relative:char;mso-position-vertical-relative:line" coordorigin="0,0" coordsize="2880,10">
            <v:rect style="position:absolute;left:0;top:0;width:2880;height:10" filled="true" fillcolor="#000000" stroked="false">
              <v:fill type="solid"/>
            </v:rect>
          </v:group>
        </w:pict>
      </w:r>
      <w:r>
        <w:rPr>
          <w:rFonts w:ascii="Times New Roman"/>
          <w:sz w:val="2"/>
        </w:rPr>
      </w:r>
    </w:p>
    <w:p>
      <w:pPr>
        <w:pStyle w:val="BodyText"/>
        <w:spacing w:before="63"/>
        <w:ind w:left="192"/>
      </w:pPr>
      <w:bookmarkStart w:name="_bookmark0" w:id="1"/>
      <w:bookmarkEnd w:id="1"/>
      <w:r>
        <w:rPr/>
      </w:r>
      <w:r>
        <w:rPr>
          <w:vertAlign w:val="superscript"/>
        </w:rPr>
        <w:t>1</w:t>
      </w:r>
      <w:r>
        <w:rPr>
          <w:vertAlign w:val="baseline"/>
        </w:rPr>
        <w:t> Directive 2014/65/EU on markets in financial instruments</w:t>
      </w:r>
    </w:p>
    <w:p>
      <w:pPr>
        <w:pStyle w:val="BodyText"/>
        <w:spacing w:before="1"/>
        <w:ind w:left="192"/>
      </w:pPr>
      <w:bookmarkStart w:name="_bookmark1" w:id="2"/>
      <w:bookmarkEnd w:id="2"/>
      <w:r>
        <w:rPr/>
      </w:r>
      <w:r>
        <w:rPr>
          <w:vertAlign w:val="superscript"/>
        </w:rPr>
        <w:t>2</w:t>
      </w:r>
      <w:r>
        <w:rPr>
          <w:vertAlign w:val="baseline"/>
        </w:rPr>
        <w:t> Regulation 600/2014/EU on markets in financial instruments</w:t>
      </w:r>
    </w:p>
    <w:p>
      <w:pPr>
        <w:spacing w:after="0"/>
        <w:sectPr>
          <w:type w:val="continuous"/>
          <w:pgSz w:w="11910" w:h="16840"/>
          <w:pgMar w:top="1580" w:bottom="280" w:left="940" w:right="1020"/>
        </w:sectPr>
      </w:pPr>
    </w:p>
    <w:p>
      <w:pPr>
        <w:pStyle w:val="BodyText"/>
        <w:spacing w:before="65"/>
        <w:ind w:right="338"/>
        <w:jc w:val="right"/>
      </w:pPr>
      <w:r>
        <w:rPr>
          <w:w w:val="99"/>
        </w:rPr>
        <w:t>2</w:t>
      </w:r>
    </w:p>
    <w:p>
      <w:pPr>
        <w:pStyle w:val="BodyText"/>
        <w:spacing w:before="10"/>
        <w:rPr>
          <w:sz w:val="2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9"/>
        <w:gridCol w:w="7485"/>
      </w:tblGrid>
      <w:tr>
        <w:trPr>
          <w:trHeight w:val="348" w:hRule="atLeast"/>
        </w:trPr>
        <w:tc>
          <w:tcPr>
            <w:tcW w:w="779" w:type="dxa"/>
          </w:tcPr>
          <w:p>
            <w:pPr>
              <w:pStyle w:val="TableParagraph"/>
              <w:ind w:left="0"/>
              <w:rPr>
                <w:rFonts w:ascii="Times New Roman"/>
                <w:sz w:val="18"/>
              </w:rPr>
            </w:pPr>
          </w:p>
        </w:tc>
        <w:tc>
          <w:tcPr>
            <w:tcW w:w="7485" w:type="dxa"/>
          </w:tcPr>
          <w:p>
            <w:pPr>
              <w:pStyle w:val="TableParagraph"/>
              <w:spacing w:line="223" w:lineRule="exact"/>
              <w:ind w:left="414"/>
              <w:rPr>
                <w:sz w:val="20"/>
              </w:rPr>
            </w:pPr>
            <w:r>
              <w:rPr>
                <w:sz w:val="20"/>
              </w:rPr>
              <w:t>Global Code for the UK Senior Managers Regime.</w:t>
            </w:r>
          </w:p>
        </w:tc>
      </w:tr>
      <w:tr>
        <w:trPr>
          <w:trHeight w:val="2774" w:hRule="atLeast"/>
        </w:trPr>
        <w:tc>
          <w:tcPr>
            <w:tcW w:w="779" w:type="dxa"/>
          </w:tcPr>
          <w:p>
            <w:pPr>
              <w:pStyle w:val="TableParagraph"/>
              <w:spacing w:before="121"/>
              <w:ind w:left="200"/>
              <w:rPr>
                <w:sz w:val="20"/>
              </w:rPr>
            </w:pPr>
            <w:r>
              <w:rPr>
                <w:sz w:val="20"/>
              </w:rPr>
              <w:t>3.</w:t>
            </w:r>
          </w:p>
        </w:tc>
        <w:tc>
          <w:tcPr>
            <w:tcW w:w="7485" w:type="dxa"/>
          </w:tcPr>
          <w:p>
            <w:pPr>
              <w:pStyle w:val="TableParagraph"/>
              <w:spacing w:before="119"/>
              <w:ind w:left="414" w:right="560"/>
              <w:rPr>
                <w:b/>
                <w:sz w:val="20"/>
              </w:rPr>
            </w:pPr>
            <w:r>
              <w:rPr>
                <w:b/>
                <w:sz w:val="20"/>
              </w:rPr>
              <w:t>EU Benchmark Regulation (Heather Pilley, Samuel Duffett and David Edmunds, FCA)</w:t>
            </w:r>
          </w:p>
          <w:p>
            <w:pPr>
              <w:pStyle w:val="TableParagraph"/>
              <w:spacing w:before="3"/>
              <w:ind w:left="414" w:right="197"/>
              <w:jc w:val="both"/>
              <w:rPr>
                <w:sz w:val="20"/>
              </w:rPr>
            </w:pPr>
            <w:r>
              <w:rPr>
                <w:sz w:val="20"/>
              </w:rPr>
              <w:t>Ms Pilley and Mr Duffett gave a presentation to the committee about the EU Benchmarks Regulation</w:t>
            </w:r>
            <w:hyperlink w:history="true" w:anchor="_bookmark2">
              <w:r>
                <w:rPr>
                  <w:sz w:val="20"/>
                  <w:vertAlign w:val="superscript"/>
                </w:rPr>
                <w:t>3</w:t>
              </w:r>
            </w:hyperlink>
            <w:r>
              <w:rPr>
                <w:sz w:val="20"/>
                <w:vertAlign w:val="baseline"/>
              </w:rPr>
              <w:t>. They spoke about how the Regulation builds on  the international work of the International Organization of Securities Commissions (IOSCO) to develop Principles for Financial Benchmarks, and the implications of the Regulation for benchmark administrators, contributors and users. They then summarised the FCA’s two recent consultation papers concerning benchmarks: CP17/15 which consulted on how the FCA could use their compulsion powers in respect of LIBOR; and CP17/17, which consulted on handbook changes to reflect the application of the</w:t>
            </w:r>
            <w:r>
              <w:rPr>
                <w:spacing w:val="-25"/>
                <w:sz w:val="20"/>
                <w:vertAlign w:val="baseline"/>
              </w:rPr>
              <w:t> </w:t>
            </w:r>
            <w:r>
              <w:rPr>
                <w:sz w:val="20"/>
                <w:vertAlign w:val="baseline"/>
              </w:rPr>
              <w:t>Regulation.</w:t>
            </w:r>
          </w:p>
        </w:tc>
      </w:tr>
      <w:tr>
        <w:trPr>
          <w:trHeight w:val="1389" w:hRule="atLeast"/>
        </w:trPr>
        <w:tc>
          <w:tcPr>
            <w:tcW w:w="779" w:type="dxa"/>
          </w:tcPr>
          <w:p>
            <w:pPr>
              <w:pStyle w:val="TableParagraph"/>
              <w:spacing w:before="116"/>
              <w:ind w:left="200"/>
              <w:rPr>
                <w:sz w:val="20"/>
              </w:rPr>
            </w:pPr>
            <w:r>
              <w:rPr>
                <w:sz w:val="20"/>
              </w:rPr>
              <w:t>4.</w:t>
            </w:r>
          </w:p>
        </w:tc>
        <w:tc>
          <w:tcPr>
            <w:tcW w:w="7485" w:type="dxa"/>
          </w:tcPr>
          <w:p>
            <w:pPr>
              <w:pStyle w:val="TableParagraph"/>
              <w:spacing w:before="114"/>
              <w:ind w:left="414"/>
              <w:jc w:val="both"/>
              <w:rPr>
                <w:b/>
                <w:sz w:val="20"/>
              </w:rPr>
            </w:pPr>
            <w:r>
              <w:rPr>
                <w:b/>
                <w:sz w:val="20"/>
              </w:rPr>
              <w:t>Review of Competition Guidelines</w:t>
            </w:r>
          </w:p>
          <w:p>
            <w:pPr>
              <w:pStyle w:val="TableParagraph"/>
              <w:spacing w:before="3"/>
              <w:ind w:left="414" w:right="201"/>
              <w:jc w:val="both"/>
              <w:rPr>
                <w:sz w:val="20"/>
              </w:rPr>
            </w:pPr>
            <w:r>
              <w:rPr>
                <w:sz w:val="20"/>
              </w:rPr>
              <w:t>The Chair referred to the revised draft competition guidelines, which had been reviewed by external competition counsel and circulated prior to the meeting. Members were invited to submit any comments to the Secretary so the revised guidelines could be approved at the next</w:t>
            </w:r>
            <w:r>
              <w:rPr>
                <w:spacing w:val="-9"/>
                <w:sz w:val="20"/>
              </w:rPr>
              <w:t> </w:t>
            </w:r>
            <w:r>
              <w:rPr>
                <w:sz w:val="20"/>
              </w:rPr>
              <w:t>meeting.</w:t>
            </w:r>
          </w:p>
        </w:tc>
      </w:tr>
      <w:tr>
        <w:trPr>
          <w:trHeight w:val="699" w:hRule="atLeast"/>
        </w:trPr>
        <w:tc>
          <w:tcPr>
            <w:tcW w:w="779" w:type="dxa"/>
          </w:tcPr>
          <w:p>
            <w:pPr>
              <w:pStyle w:val="TableParagraph"/>
              <w:spacing w:before="116"/>
              <w:ind w:left="200"/>
              <w:rPr>
                <w:sz w:val="20"/>
              </w:rPr>
            </w:pPr>
            <w:r>
              <w:rPr>
                <w:sz w:val="20"/>
              </w:rPr>
              <w:t>5.</w:t>
            </w:r>
          </w:p>
        </w:tc>
        <w:tc>
          <w:tcPr>
            <w:tcW w:w="7485" w:type="dxa"/>
          </w:tcPr>
          <w:p>
            <w:pPr>
              <w:pStyle w:val="TableParagraph"/>
              <w:spacing w:before="114"/>
              <w:ind w:left="414"/>
              <w:rPr>
                <w:b/>
                <w:sz w:val="20"/>
              </w:rPr>
            </w:pPr>
            <w:r>
              <w:rPr>
                <w:b/>
                <w:sz w:val="20"/>
              </w:rPr>
              <w:t>Any Other Business</w:t>
            </w:r>
          </w:p>
          <w:p>
            <w:pPr>
              <w:pStyle w:val="TableParagraph"/>
              <w:spacing w:before="3"/>
              <w:ind w:left="414"/>
              <w:rPr>
                <w:sz w:val="20"/>
              </w:rPr>
            </w:pPr>
            <w:r>
              <w:rPr>
                <w:sz w:val="20"/>
              </w:rPr>
              <w:t>None.</w:t>
            </w:r>
          </w:p>
        </w:tc>
      </w:tr>
      <w:tr>
        <w:trPr>
          <w:trHeight w:val="808" w:hRule="atLeast"/>
        </w:trPr>
        <w:tc>
          <w:tcPr>
            <w:tcW w:w="779" w:type="dxa"/>
          </w:tcPr>
          <w:p>
            <w:pPr>
              <w:pStyle w:val="TableParagraph"/>
              <w:spacing w:before="118"/>
              <w:ind w:left="200"/>
              <w:rPr>
                <w:sz w:val="20"/>
              </w:rPr>
            </w:pPr>
            <w:r>
              <w:rPr>
                <w:sz w:val="20"/>
              </w:rPr>
              <w:t>6.</w:t>
            </w:r>
          </w:p>
        </w:tc>
        <w:tc>
          <w:tcPr>
            <w:tcW w:w="7485" w:type="dxa"/>
          </w:tcPr>
          <w:p>
            <w:pPr>
              <w:pStyle w:val="TableParagraph"/>
              <w:spacing w:before="115"/>
              <w:ind w:left="414"/>
              <w:rPr>
                <w:b/>
                <w:sz w:val="20"/>
              </w:rPr>
            </w:pPr>
            <w:r>
              <w:rPr>
                <w:b/>
                <w:sz w:val="20"/>
              </w:rPr>
              <w:t>Next Meeting</w:t>
            </w:r>
          </w:p>
          <w:p>
            <w:pPr>
              <w:pStyle w:val="TableParagraph"/>
              <w:spacing w:line="230" w:lineRule="atLeast" w:before="3"/>
              <w:ind w:left="414" w:right="291"/>
              <w:rPr>
                <w:sz w:val="20"/>
              </w:rPr>
            </w:pPr>
            <w:r>
              <w:rPr>
                <w:sz w:val="20"/>
              </w:rPr>
              <w:t>The Secretary stated that the next meeting of the FXJSC Legal Sub- Committee would be held on 25 January 2018 at the offices of XTX Markets.</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11"/>
        </w:rPr>
      </w:pPr>
      <w:r>
        <w:rPr/>
        <w:pict>
          <v:rect style="position:absolute;margin-left:56.639999pt;margin-top:8.578795pt;width:144pt;height:.481pt;mso-position-horizontal-relative:page;mso-position-vertical-relative:paragraph;z-index:-15728128;mso-wrap-distance-left:0;mso-wrap-distance-right:0" filled="true" fillcolor="#000000" stroked="false">
            <v:fill type="solid"/>
            <w10:wrap type="topAndBottom"/>
          </v:rect>
        </w:pict>
      </w:r>
    </w:p>
    <w:p>
      <w:pPr>
        <w:pStyle w:val="BodyText"/>
        <w:spacing w:before="54"/>
        <w:ind w:right="342"/>
        <w:jc w:val="right"/>
      </w:pPr>
      <w:bookmarkStart w:name="_bookmark2" w:id="3"/>
      <w:bookmarkEnd w:id="3"/>
      <w:r>
        <w:rPr/>
      </w:r>
      <w:r>
        <w:rPr>
          <w:vertAlign w:val="superscript"/>
        </w:rPr>
        <w:t>3</w:t>
      </w:r>
      <w:r>
        <w:rPr>
          <w:vertAlign w:val="baseline"/>
        </w:rPr>
        <w:t> Regulation 2016/1011/EU on indices used as benchmarks in financial instruments and financial contracts</w:t>
      </w:r>
    </w:p>
    <w:sectPr>
      <w:pgSz w:w="11910" w:h="16840"/>
      <w:pgMar w:top="480" w:bottom="280" w:left="94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ind w:left="18"/>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FXJSC Legal Sub-committee Minutes - 2 November 2017</dc:subject>
  <dc:title>FXJSC Legal Sub-committee Minutes - 2 November 2017</dc:title>
  <dcterms:created xsi:type="dcterms:W3CDTF">2020-06-02T14:23:27Z</dcterms:created>
  <dcterms:modified xsi:type="dcterms:W3CDTF">2020-06-02T14:23:27Z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2018-01-26T00:00:00Z</vt:filetime>
  </property>
  <property fmtid="{D5CDD505-2E9C-101B-9397-08002B2CF9AE}" pid="3" name="Creator">
    <vt:lpwstr>Acrobat PDFMaker 10.1 for Word</vt:lpwstr>
  </property>
  <property fmtid="{D5CDD505-2E9C-101B-9397-08002B2CF9AE}" pid="4" name="LastSaved">
    <vt:filetime>2020-06-02T00:00:00Z</vt:filetime>
  </property>
</Properties>
</file>