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
        <w:rPr>
          <w:rFonts w:ascii="Times New Roman"/>
          <w:b w:val="0"/>
          <w:sz w:val="23"/>
        </w:rPr>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7"/>
        <w:gridCol w:w="8664"/>
      </w:tblGrid>
      <w:tr>
        <w:trPr>
          <w:trHeight w:val="665" w:hRule="atLeast"/>
        </w:trPr>
        <w:tc>
          <w:tcPr>
            <w:tcW w:w="9641" w:type="dxa"/>
            <w:gridSpan w:val="2"/>
          </w:tcPr>
          <w:p>
            <w:pPr>
              <w:pStyle w:val="TableParagraph"/>
              <w:spacing w:line="491" w:lineRule="exact"/>
              <w:ind w:left="2"/>
              <w:rPr>
                <w:sz w:val="44"/>
              </w:rPr>
            </w:pPr>
            <w:r>
              <w:rPr>
                <w:sz w:val="44"/>
              </w:rPr>
              <w:t>Minutes</w:t>
            </w:r>
          </w:p>
        </w:tc>
      </w:tr>
      <w:tr>
        <w:trPr>
          <w:trHeight w:val="467" w:hRule="atLeast"/>
        </w:trPr>
        <w:tc>
          <w:tcPr>
            <w:tcW w:w="9641" w:type="dxa"/>
            <w:gridSpan w:val="2"/>
          </w:tcPr>
          <w:p>
            <w:pPr>
              <w:pStyle w:val="TableParagraph"/>
              <w:spacing w:before="167"/>
              <w:ind w:left="2"/>
              <w:rPr>
                <w:b/>
                <w:sz w:val="24"/>
              </w:rPr>
            </w:pPr>
            <w:r>
              <w:rPr>
                <w:b/>
                <w:sz w:val="24"/>
              </w:rPr>
              <w:t>Foreign Exchange Joint Standing Committee Legal Sub-Committee</w:t>
            </w:r>
          </w:p>
        </w:tc>
      </w:tr>
      <w:tr>
        <w:trPr>
          <w:trHeight w:val="565" w:hRule="atLeast"/>
        </w:trPr>
        <w:tc>
          <w:tcPr>
            <w:tcW w:w="9641" w:type="dxa"/>
            <w:gridSpan w:val="2"/>
            <w:tcBorders>
              <w:bottom w:val="single" w:sz="4" w:space="0" w:color="000000"/>
            </w:tcBorders>
          </w:tcPr>
          <w:p>
            <w:pPr>
              <w:pStyle w:val="TableParagraph"/>
              <w:spacing w:before="16"/>
              <w:ind w:left="2"/>
              <w:rPr>
                <w:sz w:val="24"/>
              </w:rPr>
            </w:pPr>
            <w:r>
              <w:rPr>
                <w:sz w:val="24"/>
              </w:rPr>
              <w:t>18 September 2017</w:t>
            </w:r>
          </w:p>
        </w:tc>
      </w:tr>
      <w:tr>
        <w:trPr>
          <w:trHeight w:val="581" w:hRule="atLeast"/>
        </w:trPr>
        <w:tc>
          <w:tcPr>
            <w:tcW w:w="977" w:type="dxa"/>
            <w:tcBorders>
              <w:top w:val="single" w:sz="4" w:space="0" w:color="000000"/>
            </w:tcBorders>
          </w:tcPr>
          <w:p>
            <w:pPr>
              <w:pStyle w:val="TableParagraph"/>
              <w:spacing w:before="10"/>
              <w:rPr>
                <w:rFonts w:ascii="Times New Roman"/>
                <w:sz w:val="18"/>
              </w:rPr>
            </w:pPr>
          </w:p>
          <w:p>
            <w:pPr>
              <w:pStyle w:val="TableParagraph"/>
              <w:spacing w:before="1"/>
              <w:ind w:left="2"/>
              <w:rPr>
                <w:sz w:val="20"/>
              </w:rPr>
            </w:pPr>
            <w:r>
              <w:rPr>
                <w:sz w:val="20"/>
              </w:rPr>
              <w:t>Location:</w:t>
            </w:r>
          </w:p>
        </w:tc>
        <w:tc>
          <w:tcPr>
            <w:tcW w:w="8664" w:type="dxa"/>
            <w:tcBorders>
              <w:top w:val="single" w:sz="4" w:space="0" w:color="000000"/>
            </w:tcBorders>
          </w:tcPr>
          <w:p>
            <w:pPr>
              <w:pStyle w:val="TableParagraph"/>
              <w:spacing w:before="10"/>
              <w:rPr>
                <w:rFonts w:ascii="Times New Roman"/>
                <w:sz w:val="18"/>
              </w:rPr>
            </w:pPr>
          </w:p>
          <w:p>
            <w:pPr>
              <w:pStyle w:val="TableParagraph"/>
              <w:spacing w:before="1"/>
              <w:ind w:left="18"/>
              <w:rPr>
                <w:sz w:val="20"/>
              </w:rPr>
            </w:pPr>
            <w:r>
              <w:rPr>
                <w:sz w:val="20"/>
              </w:rPr>
              <w:t>CLS Services Ltd, One Harbour Exchange Square, London E14 9GE</w:t>
            </w:r>
          </w:p>
        </w:tc>
      </w:tr>
      <w:tr>
        <w:trPr>
          <w:trHeight w:val="3483" w:hRule="atLeast"/>
        </w:trPr>
        <w:tc>
          <w:tcPr>
            <w:tcW w:w="977" w:type="dxa"/>
          </w:tcPr>
          <w:p>
            <w:pPr>
              <w:pStyle w:val="TableParagraph"/>
              <w:spacing w:before="131"/>
              <w:ind w:left="2"/>
              <w:rPr>
                <w:sz w:val="20"/>
              </w:rPr>
            </w:pPr>
            <w:r>
              <w:rPr>
                <w:sz w:val="20"/>
              </w:rPr>
              <w:t>Attendees:</w:t>
            </w:r>
          </w:p>
        </w:tc>
        <w:tc>
          <w:tcPr>
            <w:tcW w:w="8664" w:type="dxa"/>
          </w:tcPr>
          <w:p>
            <w:pPr>
              <w:pStyle w:val="TableParagraph"/>
              <w:spacing w:before="126"/>
              <w:ind w:left="18" w:right="4413"/>
              <w:rPr>
                <w:sz w:val="20"/>
              </w:rPr>
            </w:pPr>
            <w:r>
              <w:rPr>
                <w:b/>
                <w:sz w:val="20"/>
              </w:rPr>
              <w:t>Bank of America Merrill Lynch: </w:t>
            </w:r>
            <w:r>
              <w:rPr>
                <w:sz w:val="20"/>
              </w:rPr>
              <w:t>Mayank Patel </w:t>
            </w:r>
            <w:r>
              <w:rPr>
                <w:b/>
                <w:sz w:val="20"/>
              </w:rPr>
              <w:t>Barclays: </w:t>
            </w:r>
            <w:r>
              <w:rPr>
                <w:sz w:val="20"/>
              </w:rPr>
              <w:t>Nasia Pachitipallikaropolou </w:t>
            </w:r>
            <w:r>
              <w:rPr>
                <w:b/>
                <w:sz w:val="20"/>
              </w:rPr>
              <w:t>Citigroup: </w:t>
            </w:r>
            <w:r>
              <w:rPr>
                <w:sz w:val="20"/>
              </w:rPr>
              <w:t>Sharon Blackman</w:t>
            </w:r>
          </w:p>
          <w:p>
            <w:pPr>
              <w:pStyle w:val="TableParagraph"/>
              <w:spacing w:line="229" w:lineRule="exact"/>
              <w:ind w:left="18"/>
              <w:rPr>
                <w:sz w:val="20"/>
              </w:rPr>
            </w:pPr>
            <w:r>
              <w:rPr>
                <w:b/>
                <w:sz w:val="20"/>
              </w:rPr>
              <w:t>CLS: </w:t>
            </w:r>
            <w:r>
              <w:rPr>
                <w:sz w:val="20"/>
              </w:rPr>
              <w:t>Gaynor Wood</w:t>
            </w:r>
          </w:p>
          <w:p>
            <w:pPr>
              <w:pStyle w:val="TableParagraph"/>
              <w:ind w:left="18"/>
              <w:rPr>
                <w:sz w:val="20"/>
              </w:rPr>
            </w:pPr>
            <w:r>
              <w:rPr>
                <w:b/>
                <w:sz w:val="20"/>
              </w:rPr>
              <w:t>Deutsche Bank: </w:t>
            </w:r>
            <w:r>
              <w:rPr>
                <w:sz w:val="20"/>
              </w:rPr>
              <w:t>Simon Goldsworthy</w:t>
            </w:r>
          </w:p>
          <w:p>
            <w:pPr>
              <w:pStyle w:val="TableParagraph"/>
              <w:spacing w:before="1"/>
              <w:ind w:left="18"/>
              <w:rPr>
                <w:sz w:val="20"/>
              </w:rPr>
            </w:pPr>
            <w:r>
              <w:rPr>
                <w:b/>
                <w:sz w:val="20"/>
              </w:rPr>
              <w:t>Financial Conduct Authority: </w:t>
            </w:r>
            <w:r>
              <w:rPr>
                <w:sz w:val="20"/>
              </w:rPr>
              <w:t>David Harris, Edwin Schooling-Latter (Guest Speaker)</w:t>
            </w:r>
          </w:p>
          <w:p>
            <w:pPr>
              <w:pStyle w:val="TableParagraph"/>
              <w:ind w:left="18"/>
              <w:rPr>
                <w:sz w:val="20"/>
              </w:rPr>
            </w:pPr>
            <w:r>
              <w:rPr>
                <w:b/>
                <w:sz w:val="20"/>
              </w:rPr>
              <w:t>HSBC: </w:t>
            </w:r>
            <w:r>
              <w:rPr>
                <w:sz w:val="20"/>
              </w:rPr>
              <w:t>Ben Rossan</w:t>
            </w:r>
          </w:p>
          <w:p>
            <w:pPr>
              <w:pStyle w:val="TableParagraph"/>
              <w:spacing w:before="1"/>
              <w:ind w:left="18"/>
              <w:rPr>
                <w:sz w:val="20"/>
              </w:rPr>
            </w:pPr>
            <w:r>
              <w:rPr>
                <w:b/>
                <w:sz w:val="20"/>
              </w:rPr>
              <w:t>JP Morgan: </w:t>
            </w:r>
            <w:r>
              <w:rPr>
                <w:sz w:val="20"/>
              </w:rPr>
              <w:t>Tamsin Rolls</w:t>
            </w:r>
          </w:p>
          <w:p>
            <w:pPr>
              <w:pStyle w:val="TableParagraph"/>
              <w:spacing w:line="229" w:lineRule="exact"/>
              <w:ind w:left="18"/>
              <w:rPr>
                <w:sz w:val="20"/>
              </w:rPr>
            </w:pPr>
            <w:r>
              <w:rPr>
                <w:b/>
                <w:sz w:val="20"/>
              </w:rPr>
              <w:t>RBS: </w:t>
            </w:r>
            <w:r>
              <w:rPr>
                <w:sz w:val="20"/>
              </w:rPr>
              <w:t>David Cole</w:t>
            </w:r>
          </w:p>
          <w:p>
            <w:pPr>
              <w:pStyle w:val="TableParagraph"/>
              <w:spacing w:line="229" w:lineRule="exact"/>
              <w:ind w:left="18"/>
              <w:rPr>
                <w:sz w:val="20"/>
              </w:rPr>
            </w:pPr>
            <w:r>
              <w:rPr>
                <w:b/>
                <w:sz w:val="20"/>
              </w:rPr>
              <w:t>Standard Chartered: </w:t>
            </w:r>
            <w:r>
              <w:rPr>
                <w:sz w:val="20"/>
              </w:rPr>
              <w:t>Rakesh Shah</w:t>
            </w:r>
          </w:p>
          <w:p>
            <w:pPr>
              <w:pStyle w:val="TableParagraph"/>
              <w:ind w:left="18"/>
              <w:rPr>
                <w:sz w:val="20"/>
              </w:rPr>
            </w:pPr>
            <w:r>
              <w:rPr>
                <w:b/>
                <w:sz w:val="20"/>
              </w:rPr>
              <w:t>TP ICAP: </w:t>
            </w:r>
            <w:r>
              <w:rPr>
                <w:sz w:val="20"/>
              </w:rPr>
              <w:t>Simon Helm</w:t>
            </w:r>
          </w:p>
          <w:p>
            <w:pPr>
              <w:pStyle w:val="TableParagraph"/>
              <w:spacing w:before="1"/>
              <w:ind w:left="18"/>
              <w:rPr>
                <w:sz w:val="20"/>
              </w:rPr>
            </w:pPr>
            <w:r>
              <w:rPr>
                <w:b/>
                <w:sz w:val="20"/>
              </w:rPr>
              <w:t>XTX Markets: </w:t>
            </w:r>
            <w:r>
              <w:rPr>
                <w:sz w:val="20"/>
              </w:rPr>
              <w:t>Sunil Sumani</w:t>
            </w:r>
          </w:p>
          <w:p>
            <w:pPr>
              <w:pStyle w:val="TableParagraph"/>
              <w:ind w:left="18"/>
              <w:rPr>
                <w:sz w:val="20"/>
              </w:rPr>
            </w:pPr>
            <w:r>
              <w:rPr>
                <w:b/>
                <w:sz w:val="20"/>
              </w:rPr>
              <w:t>Goldman Sachs</w:t>
            </w:r>
            <w:r>
              <w:rPr>
                <w:sz w:val="20"/>
              </w:rPr>
              <w:t>: Dan Parker (Chair)</w:t>
            </w:r>
          </w:p>
          <w:p>
            <w:pPr>
              <w:pStyle w:val="TableParagraph"/>
              <w:spacing w:before="3"/>
              <w:ind w:left="18"/>
              <w:rPr>
                <w:sz w:val="20"/>
              </w:rPr>
            </w:pPr>
            <w:r>
              <w:rPr>
                <w:b/>
                <w:sz w:val="20"/>
              </w:rPr>
              <w:t>Bank of England: </w:t>
            </w:r>
            <w:r>
              <w:rPr>
                <w:sz w:val="20"/>
              </w:rPr>
              <w:t>Jonathan Grant (Secretary), Jonathan Keane, Chris Cox (Guest Speaker)</w:t>
            </w:r>
          </w:p>
        </w:tc>
      </w:tr>
      <w:tr>
        <w:trPr>
          <w:trHeight w:val="2195" w:hRule="atLeast"/>
        </w:trPr>
        <w:tc>
          <w:tcPr>
            <w:tcW w:w="977" w:type="dxa"/>
          </w:tcPr>
          <w:p>
            <w:pPr>
              <w:pStyle w:val="TableParagraph"/>
              <w:spacing w:before="130"/>
              <w:ind w:left="2"/>
              <w:rPr>
                <w:sz w:val="20"/>
              </w:rPr>
            </w:pPr>
            <w:r>
              <w:rPr>
                <w:sz w:val="20"/>
              </w:rPr>
              <w:t>Apologies:</w:t>
            </w:r>
          </w:p>
        </w:tc>
        <w:tc>
          <w:tcPr>
            <w:tcW w:w="8664" w:type="dxa"/>
          </w:tcPr>
          <w:p>
            <w:pPr>
              <w:pStyle w:val="TableParagraph"/>
              <w:spacing w:before="127"/>
              <w:ind w:left="18"/>
              <w:rPr>
                <w:sz w:val="20"/>
              </w:rPr>
            </w:pPr>
            <w:r>
              <w:rPr>
                <w:b/>
                <w:sz w:val="20"/>
              </w:rPr>
              <w:t>Bank of America Merrill Lynch: </w:t>
            </w:r>
            <w:r>
              <w:rPr>
                <w:sz w:val="20"/>
              </w:rPr>
              <w:t>Jateen Shah</w:t>
            </w:r>
          </w:p>
          <w:p>
            <w:pPr>
              <w:pStyle w:val="TableParagraph"/>
              <w:spacing w:line="229" w:lineRule="exact" w:before="1"/>
              <w:ind w:left="18"/>
              <w:rPr>
                <w:sz w:val="20"/>
              </w:rPr>
            </w:pPr>
            <w:r>
              <w:rPr>
                <w:b/>
                <w:sz w:val="20"/>
              </w:rPr>
              <w:t>Bank of New York Mellon: </w:t>
            </w:r>
            <w:r>
              <w:rPr>
                <w:sz w:val="20"/>
              </w:rPr>
              <w:t>Jacqueline Joyston-Bechal</w:t>
            </w:r>
          </w:p>
          <w:p>
            <w:pPr>
              <w:pStyle w:val="TableParagraph"/>
              <w:ind w:left="18" w:right="5969"/>
              <w:rPr>
                <w:sz w:val="20"/>
              </w:rPr>
            </w:pPr>
            <w:r>
              <w:rPr>
                <w:b/>
                <w:sz w:val="20"/>
              </w:rPr>
              <w:t>Barclays: </w:t>
            </w:r>
            <w:r>
              <w:rPr>
                <w:sz w:val="20"/>
              </w:rPr>
              <w:t>James Sinclair </w:t>
            </w:r>
            <w:r>
              <w:rPr>
                <w:b/>
                <w:sz w:val="20"/>
              </w:rPr>
              <w:t>HSBC: </w:t>
            </w:r>
            <w:r>
              <w:rPr>
                <w:sz w:val="20"/>
              </w:rPr>
              <w:t>Christian Bettley </w:t>
            </w:r>
            <w:r>
              <w:rPr>
                <w:b/>
                <w:sz w:val="20"/>
              </w:rPr>
              <w:t>HSBC: </w:t>
            </w:r>
            <w:r>
              <w:rPr>
                <w:sz w:val="20"/>
              </w:rPr>
              <w:t>Harkamal Singh Atwal </w:t>
            </w:r>
            <w:r>
              <w:rPr>
                <w:b/>
                <w:sz w:val="20"/>
              </w:rPr>
              <w:t>JP Morgan: </w:t>
            </w:r>
            <w:r>
              <w:rPr>
                <w:sz w:val="20"/>
              </w:rPr>
              <w:t>Syed Riaz Ali </w:t>
            </w:r>
            <w:r>
              <w:rPr>
                <w:b/>
                <w:sz w:val="20"/>
              </w:rPr>
              <w:t>Morgan Stanley: </w:t>
            </w:r>
            <w:r>
              <w:rPr>
                <w:sz w:val="20"/>
              </w:rPr>
              <w:t>Barra Little </w:t>
            </w:r>
            <w:r>
              <w:rPr>
                <w:b/>
                <w:sz w:val="20"/>
              </w:rPr>
              <w:t>RBS: </w:t>
            </w:r>
            <w:r>
              <w:rPr>
                <w:sz w:val="20"/>
              </w:rPr>
              <w:t>Baljit Saini</w:t>
            </w:r>
          </w:p>
          <w:p>
            <w:pPr>
              <w:pStyle w:val="TableParagraph"/>
              <w:spacing w:line="210" w:lineRule="exact"/>
              <w:ind w:left="18"/>
              <w:rPr>
                <w:sz w:val="20"/>
              </w:rPr>
            </w:pPr>
            <w:r>
              <w:rPr>
                <w:b/>
                <w:sz w:val="20"/>
              </w:rPr>
              <w:t>UBS: </w:t>
            </w:r>
            <w:r>
              <w:rPr>
                <w:sz w:val="20"/>
              </w:rPr>
              <w:t>Richard Lamb</w:t>
            </w:r>
          </w:p>
        </w:tc>
      </w:tr>
    </w:tbl>
    <w:p>
      <w:pPr>
        <w:spacing w:after="0" w:line="210" w:lineRule="exact"/>
        <w:rPr>
          <w:sz w:val="20"/>
        </w:rPr>
        <w:sectPr>
          <w:type w:val="continuous"/>
          <w:pgSz w:w="11910" w:h="16840"/>
          <w:pgMar w:top="1580" w:bottom="280" w:left="940" w:right="1020"/>
        </w:sectPr>
      </w:pPr>
    </w:p>
    <w:p>
      <w:pPr>
        <w:pStyle w:val="BodyText"/>
        <w:spacing w:before="3"/>
        <w:rPr>
          <w:rFonts w:ascii="Times New Roman"/>
          <w:b w:val="0"/>
        </w:rPr>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0"/>
        <w:gridCol w:w="4040"/>
        <w:gridCol w:w="4669"/>
      </w:tblGrid>
      <w:tr>
        <w:trPr>
          <w:trHeight w:val="808" w:hRule="atLeast"/>
        </w:trPr>
        <w:tc>
          <w:tcPr>
            <w:tcW w:w="930" w:type="dxa"/>
            <w:tcBorders>
              <w:top w:val="single" w:sz="2" w:space="0" w:color="000000"/>
            </w:tcBorders>
          </w:tcPr>
          <w:p>
            <w:pPr>
              <w:pStyle w:val="TableParagraph"/>
              <w:spacing w:before="6"/>
              <w:rPr>
                <w:rFonts w:ascii="Times New Roman"/>
                <w:sz w:val="19"/>
              </w:rPr>
            </w:pPr>
          </w:p>
          <w:p>
            <w:pPr>
              <w:pStyle w:val="TableParagraph"/>
              <w:ind w:left="110" w:right="155"/>
              <w:rPr>
                <w:b/>
                <w:sz w:val="20"/>
              </w:rPr>
            </w:pPr>
            <w:r>
              <w:rPr>
                <w:b/>
                <w:sz w:val="20"/>
              </w:rPr>
              <w:t>Minute no.</w:t>
            </w:r>
          </w:p>
        </w:tc>
        <w:tc>
          <w:tcPr>
            <w:tcW w:w="4040" w:type="dxa"/>
            <w:tcBorders>
              <w:top w:val="single" w:sz="2" w:space="0" w:color="000000"/>
            </w:tcBorders>
          </w:tcPr>
          <w:p>
            <w:pPr>
              <w:pStyle w:val="TableParagraph"/>
              <w:spacing w:before="6"/>
              <w:rPr>
                <w:rFonts w:ascii="Times New Roman"/>
                <w:sz w:val="19"/>
              </w:rPr>
            </w:pPr>
          </w:p>
          <w:p>
            <w:pPr>
              <w:pStyle w:val="TableParagraph"/>
              <w:ind w:left="173"/>
              <w:rPr>
                <w:b/>
                <w:sz w:val="20"/>
              </w:rPr>
            </w:pPr>
            <w:r>
              <w:rPr>
                <w:b/>
                <w:sz w:val="20"/>
              </w:rPr>
              <w:t>Minute</w:t>
            </w:r>
          </w:p>
        </w:tc>
        <w:tc>
          <w:tcPr>
            <w:tcW w:w="4669" w:type="dxa"/>
            <w:tcBorders>
              <w:top w:val="single" w:sz="2" w:space="0" w:color="000000"/>
            </w:tcBorders>
          </w:tcPr>
          <w:p>
            <w:pPr>
              <w:pStyle w:val="TableParagraph"/>
              <w:spacing w:before="6"/>
              <w:rPr>
                <w:rFonts w:ascii="Times New Roman"/>
                <w:sz w:val="19"/>
              </w:rPr>
            </w:pPr>
          </w:p>
          <w:p>
            <w:pPr>
              <w:pStyle w:val="TableParagraph"/>
              <w:ind w:left="2886" w:right="180"/>
              <w:jc w:val="right"/>
              <w:rPr>
                <w:b/>
                <w:sz w:val="20"/>
              </w:rPr>
            </w:pPr>
            <w:r>
              <w:rPr>
                <w:b/>
                <w:sz w:val="20"/>
              </w:rPr>
              <w:t>Action owner</w:t>
            </w:r>
            <w:r>
              <w:rPr>
                <w:b/>
                <w:w w:val="99"/>
                <w:sz w:val="20"/>
              </w:rPr>
              <w:t> </w:t>
            </w:r>
            <w:r>
              <w:rPr>
                <w:b/>
                <w:sz w:val="20"/>
              </w:rPr>
              <w:t>and due date</w:t>
            </w:r>
          </w:p>
        </w:tc>
      </w:tr>
      <w:tr>
        <w:trPr>
          <w:trHeight w:val="926" w:hRule="atLeast"/>
        </w:trPr>
        <w:tc>
          <w:tcPr>
            <w:tcW w:w="930" w:type="dxa"/>
          </w:tcPr>
          <w:p>
            <w:pPr>
              <w:pStyle w:val="TableParagraph"/>
              <w:spacing w:before="118"/>
              <w:ind w:left="110"/>
              <w:rPr>
                <w:sz w:val="20"/>
              </w:rPr>
            </w:pPr>
            <w:r>
              <w:rPr>
                <w:sz w:val="20"/>
              </w:rPr>
              <w:t>1.</w:t>
            </w:r>
          </w:p>
        </w:tc>
        <w:tc>
          <w:tcPr>
            <w:tcW w:w="8709" w:type="dxa"/>
            <w:gridSpan w:val="2"/>
          </w:tcPr>
          <w:p>
            <w:pPr>
              <w:pStyle w:val="TableParagraph"/>
              <w:spacing w:before="115"/>
              <w:ind w:left="173"/>
              <w:rPr>
                <w:b/>
                <w:sz w:val="20"/>
              </w:rPr>
            </w:pPr>
            <w:r>
              <w:rPr>
                <w:b/>
                <w:sz w:val="20"/>
              </w:rPr>
              <w:t>Approval of 20th April 2017 minutes</w:t>
            </w:r>
          </w:p>
          <w:p>
            <w:pPr>
              <w:pStyle w:val="TableParagraph"/>
              <w:spacing w:before="3"/>
              <w:ind w:left="173" w:right="1385"/>
              <w:rPr>
                <w:sz w:val="20"/>
              </w:rPr>
            </w:pPr>
            <w:r>
              <w:rPr>
                <w:sz w:val="20"/>
              </w:rPr>
              <w:t>The minutes of the 20th April 2017 meeting were approved by the sub- committee members with one minor correction.</w:t>
            </w:r>
          </w:p>
        </w:tc>
      </w:tr>
      <w:tr>
        <w:trPr>
          <w:trHeight w:val="6094" w:hRule="atLeast"/>
        </w:trPr>
        <w:tc>
          <w:tcPr>
            <w:tcW w:w="930" w:type="dxa"/>
          </w:tcPr>
          <w:p>
            <w:pPr>
              <w:pStyle w:val="TableParagraph"/>
              <w:spacing w:before="113"/>
              <w:ind w:left="110"/>
              <w:rPr>
                <w:sz w:val="20"/>
              </w:rPr>
            </w:pPr>
            <w:r>
              <w:rPr>
                <w:sz w:val="20"/>
              </w:rPr>
              <w:t>2.</w:t>
            </w:r>
          </w:p>
        </w:tc>
        <w:tc>
          <w:tcPr>
            <w:tcW w:w="8709" w:type="dxa"/>
            <w:gridSpan w:val="2"/>
          </w:tcPr>
          <w:p>
            <w:pPr>
              <w:pStyle w:val="TableParagraph"/>
              <w:spacing w:before="110"/>
              <w:ind w:left="173" w:right="1664"/>
              <w:jc w:val="both"/>
              <w:rPr>
                <w:b/>
                <w:sz w:val="20"/>
              </w:rPr>
            </w:pPr>
            <w:r>
              <w:rPr>
                <w:b/>
                <w:sz w:val="20"/>
              </w:rPr>
              <w:t>FXJSC Legal Sub-committee Terms of Reference Review and Legal Sub-committee transparency</w:t>
            </w:r>
          </w:p>
          <w:p>
            <w:pPr>
              <w:pStyle w:val="TableParagraph"/>
              <w:spacing w:before="1"/>
              <w:ind w:left="173" w:right="1662"/>
              <w:jc w:val="both"/>
              <w:rPr>
                <w:sz w:val="20"/>
              </w:rPr>
            </w:pPr>
            <w:r>
              <w:rPr>
                <w:sz w:val="20"/>
              </w:rPr>
              <w:t>The Chair referred members to the revised draft Terms of Reference (ToR) circulated ahead of the meeting for members’ consideration. Two key changes had been made to the ToR: (i) an explicit link had been drawn between membership of the Legal Sub-Committee and adherence to the FX Global Code (the Code); and (ii) the Foreign Exchange Joint Standing Committee’s (FXJSC) membership of the Global Foreign Exchange Committee (GFXC) had been formally noted. These changes were in line  with those made to the ToR of both the FXJSC and the FXJSC Operations Sub-Committee. The ToR were approved by</w:t>
            </w:r>
            <w:r>
              <w:rPr>
                <w:spacing w:val="-10"/>
                <w:sz w:val="20"/>
              </w:rPr>
              <w:t> </w:t>
            </w:r>
            <w:r>
              <w:rPr>
                <w:sz w:val="20"/>
              </w:rPr>
              <w:t>members.</w:t>
            </w:r>
          </w:p>
          <w:p>
            <w:pPr>
              <w:pStyle w:val="TableParagraph"/>
              <w:spacing w:before="2"/>
              <w:rPr>
                <w:rFonts w:ascii="Times New Roman"/>
                <w:sz w:val="20"/>
              </w:rPr>
            </w:pPr>
          </w:p>
          <w:p>
            <w:pPr>
              <w:pStyle w:val="TableParagraph"/>
              <w:ind w:left="173" w:right="1661"/>
              <w:jc w:val="both"/>
              <w:rPr>
                <w:sz w:val="20"/>
              </w:rPr>
            </w:pPr>
            <w:r>
              <w:rPr>
                <w:sz w:val="20"/>
              </w:rPr>
              <w:t>The Chair went on to note the Bank of England’s proposal that, going forward, the sub-committees of the FXJSC should publish their ToR, membership lists and minutes on the FXJSC section of the Bank of England’s website alongside the equivalent FXJSC documents, which were already published in this way. Members agreed to this proposal, with the minutes of the current meeting to be published following approval at the next meeting of the sub-committee on 2 November</w:t>
            </w:r>
            <w:r>
              <w:rPr>
                <w:spacing w:val="-3"/>
                <w:sz w:val="20"/>
              </w:rPr>
              <w:t> </w:t>
            </w:r>
            <w:r>
              <w:rPr>
                <w:sz w:val="20"/>
              </w:rPr>
              <w:t>2017.</w:t>
            </w:r>
          </w:p>
          <w:p>
            <w:pPr>
              <w:pStyle w:val="TableParagraph"/>
              <w:spacing w:before="10"/>
              <w:rPr>
                <w:rFonts w:ascii="Times New Roman"/>
                <w:sz w:val="19"/>
              </w:rPr>
            </w:pPr>
          </w:p>
          <w:p>
            <w:pPr>
              <w:pStyle w:val="TableParagraph"/>
              <w:ind w:left="173" w:right="1662"/>
              <w:jc w:val="both"/>
              <w:rPr>
                <w:sz w:val="20"/>
              </w:rPr>
            </w:pPr>
            <w:r>
              <w:rPr>
                <w:sz w:val="20"/>
              </w:rPr>
              <w:t>Finally, the Chair noted that both he and the secretary of the sub-committee considered that it would also be appropriate for the competition guidelines owned by the sub-committee to be made available on the FXJSC website. The guidelines were in the process of being reviewed by external counsel, and the results of that review would be brought to the next meeting.</w:t>
            </w:r>
          </w:p>
        </w:tc>
      </w:tr>
      <w:tr>
        <w:trPr>
          <w:trHeight w:val="6207" w:hRule="atLeast"/>
        </w:trPr>
        <w:tc>
          <w:tcPr>
            <w:tcW w:w="930" w:type="dxa"/>
          </w:tcPr>
          <w:p>
            <w:pPr>
              <w:pStyle w:val="TableParagraph"/>
              <w:spacing w:before="8"/>
              <w:rPr>
                <w:rFonts w:ascii="Times New Roman"/>
                <w:sz w:val="19"/>
              </w:rPr>
            </w:pPr>
          </w:p>
          <w:p>
            <w:pPr>
              <w:pStyle w:val="TableParagraph"/>
              <w:ind w:left="110"/>
              <w:rPr>
                <w:sz w:val="20"/>
              </w:rPr>
            </w:pPr>
            <w:r>
              <w:rPr>
                <w:sz w:val="20"/>
              </w:rPr>
              <w:t>3.</w:t>
            </w:r>
          </w:p>
        </w:tc>
        <w:tc>
          <w:tcPr>
            <w:tcW w:w="8709" w:type="dxa"/>
            <w:gridSpan w:val="2"/>
          </w:tcPr>
          <w:p>
            <w:pPr>
              <w:pStyle w:val="TableParagraph"/>
              <w:spacing w:before="6"/>
              <w:rPr>
                <w:rFonts w:ascii="Times New Roman"/>
                <w:sz w:val="19"/>
              </w:rPr>
            </w:pPr>
          </w:p>
          <w:p>
            <w:pPr>
              <w:pStyle w:val="TableParagraph"/>
              <w:ind w:left="173"/>
              <w:jc w:val="both"/>
              <w:rPr>
                <w:b/>
                <w:sz w:val="20"/>
              </w:rPr>
            </w:pPr>
            <w:r>
              <w:rPr>
                <w:b/>
                <w:sz w:val="20"/>
              </w:rPr>
              <w:t>FX Global Code adherence update</w:t>
            </w:r>
          </w:p>
          <w:p>
            <w:pPr>
              <w:pStyle w:val="TableParagraph"/>
              <w:spacing w:before="1"/>
              <w:rPr>
                <w:rFonts w:ascii="Times New Roman"/>
                <w:sz w:val="20"/>
              </w:rPr>
            </w:pPr>
          </w:p>
          <w:p>
            <w:pPr>
              <w:pStyle w:val="TableParagraph"/>
              <w:numPr>
                <w:ilvl w:val="0"/>
                <w:numId w:val="1"/>
              </w:numPr>
              <w:tabs>
                <w:tab w:pos="594" w:val="left" w:leader="none"/>
              </w:tabs>
              <w:spacing w:line="240" w:lineRule="auto" w:before="0" w:after="0"/>
              <w:ind w:left="593" w:right="0" w:hanging="361"/>
              <w:jc w:val="left"/>
              <w:rPr>
                <w:b/>
                <w:sz w:val="20"/>
              </w:rPr>
            </w:pPr>
            <w:r>
              <w:rPr>
                <w:b/>
                <w:sz w:val="20"/>
              </w:rPr>
              <w:t>GFXC Update - Chris Cox (Bank of</w:t>
            </w:r>
            <w:r>
              <w:rPr>
                <w:b/>
                <w:spacing w:val="-3"/>
                <w:sz w:val="20"/>
              </w:rPr>
              <w:t> </w:t>
            </w:r>
            <w:r>
              <w:rPr>
                <w:b/>
                <w:sz w:val="20"/>
              </w:rPr>
              <w:t>England)</w:t>
            </w:r>
          </w:p>
          <w:p>
            <w:pPr>
              <w:pStyle w:val="TableParagraph"/>
              <w:spacing w:before="1"/>
              <w:rPr>
                <w:rFonts w:ascii="Times New Roman"/>
                <w:sz w:val="20"/>
              </w:rPr>
            </w:pPr>
          </w:p>
          <w:p>
            <w:pPr>
              <w:pStyle w:val="TableParagraph"/>
              <w:ind w:left="173" w:right="1665"/>
              <w:jc w:val="both"/>
              <w:rPr>
                <w:sz w:val="20"/>
              </w:rPr>
            </w:pPr>
            <w:r>
              <w:rPr>
                <w:sz w:val="20"/>
              </w:rPr>
              <w:t>CC provided the Sub-Committee with an update on current work relating to the Global FX Committee and the FX Global Code.</w:t>
            </w:r>
          </w:p>
          <w:p>
            <w:pPr>
              <w:pStyle w:val="TableParagraph"/>
              <w:spacing w:before="1"/>
              <w:rPr>
                <w:rFonts w:ascii="Times New Roman"/>
                <w:sz w:val="20"/>
              </w:rPr>
            </w:pPr>
          </w:p>
          <w:p>
            <w:pPr>
              <w:pStyle w:val="TableParagraph"/>
              <w:ind w:left="174" w:right="1662"/>
              <w:jc w:val="both"/>
              <w:rPr>
                <w:sz w:val="20"/>
              </w:rPr>
            </w:pPr>
            <w:r>
              <w:rPr>
                <w:sz w:val="20"/>
              </w:rPr>
              <w:t>CC started by noting that the GFXC was constituted at the end of May 2017 at the same time as the FX Global Code was launched. CC noted that </w:t>
            </w:r>
            <w:r>
              <w:rPr>
                <w:spacing w:val="2"/>
                <w:sz w:val="20"/>
              </w:rPr>
              <w:t>the </w:t>
            </w:r>
            <w:r>
              <w:rPr>
                <w:sz w:val="20"/>
              </w:rPr>
              <w:t>GFXC would, over the next few months, be focussing mainly on the</w:t>
            </w:r>
            <w:r>
              <w:rPr>
                <w:spacing w:val="-23"/>
                <w:sz w:val="20"/>
              </w:rPr>
              <w:t> </w:t>
            </w:r>
            <w:r>
              <w:rPr>
                <w:sz w:val="20"/>
              </w:rPr>
              <w:t>following</w:t>
            </w:r>
          </w:p>
          <w:p>
            <w:pPr>
              <w:pStyle w:val="TableParagraph"/>
              <w:spacing w:before="9"/>
              <w:rPr>
                <w:rFonts w:ascii="Times New Roman"/>
                <w:sz w:val="19"/>
              </w:rPr>
            </w:pPr>
          </w:p>
          <w:p>
            <w:pPr>
              <w:pStyle w:val="TableParagraph"/>
              <w:numPr>
                <w:ilvl w:val="1"/>
                <w:numId w:val="1"/>
              </w:numPr>
              <w:tabs>
                <w:tab w:pos="715" w:val="left" w:leader="none"/>
              </w:tabs>
              <w:spacing w:line="240" w:lineRule="auto" w:before="0" w:after="0"/>
              <w:ind w:left="714" w:right="1664" w:hanging="361"/>
              <w:jc w:val="both"/>
              <w:rPr>
                <w:sz w:val="20"/>
              </w:rPr>
            </w:pPr>
            <w:r>
              <w:rPr>
                <w:b/>
                <w:sz w:val="20"/>
              </w:rPr>
              <w:t>Request for Feedback on ‘Last Look’ Practices</w:t>
            </w:r>
            <w:r>
              <w:rPr>
                <w:sz w:val="20"/>
              </w:rPr>
              <w:t>: On 25 May, the GFXC published a </w:t>
            </w:r>
            <w:hyperlink r:id="rId6">
              <w:r>
                <w:rPr>
                  <w:color w:val="0000FF"/>
                  <w:sz w:val="20"/>
                </w:rPr>
                <w:t>Request for feedback on Last Look practices in the</w:t>
              </w:r>
            </w:hyperlink>
            <w:hyperlink r:id="rId6">
              <w:r>
                <w:rPr>
                  <w:color w:val="0000FF"/>
                  <w:sz w:val="20"/>
                </w:rPr>
                <w:t> Foreign Exchange Market.</w:t>
              </w:r>
            </w:hyperlink>
            <w:r>
              <w:rPr>
                <w:color w:val="0000FF"/>
                <w:sz w:val="20"/>
              </w:rPr>
              <w:t> </w:t>
            </w:r>
            <w:r>
              <w:rPr>
                <w:sz w:val="20"/>
              </w:rPr>
              <w:t>The deadline for responses to this request for feedback is 21 September 2017. After the deadline, the responses will be reviewed and a response paper will be prepared. The plan is to publish the paper towards the end of the</w:t>
            </w:r>
            <w:r>
              <w:rPr>
                <w:spacing w:val="-3"/>
                <w:sz w:val="20"/>
              </w:rPr>
              <w:t> </w:t>
            </w:r>
            <w:r>
              <w:rPr>
                <w:sz w:val="20"/>
              </w:rPr>
              <w:t>year.</w:t>
            </w:r>
          </w:p>
          <w:p>
            <w:pPr>
              <w:pStyle w:val="TableParagraph"/>
              <w:spacing w:before="11"/>
              <w:rPr>
                <w:rFonts w:ascii="Times New Roman"/>
                <w:sz w:val="19"/>
              </w:rPr>
            </w:pPr>
          </w:p>
          <w:p>
            <w:pPr>
              <w:pStyle w:val="TableParagraph"/>
              <w:numPr>
                <w:ilvl w:val="1"/>
                <w:numId w:val="1"/>
              </w:numPr>
              <w:tabs>
                <w:tab w:pos="714" w:val="left" w:leader="none"/>
              </w:tabs>
              <w:spacing w:line="240" w:lineRule="auto" w:before="0" w:after="0"/>
              <w:ind w:left="713" w:right="1664" w:hanging="360"/>
              <w:jc w:val="both"/>
              <w:rPr>
                <w:sz w:val="20"/>
              </w:rPr>
            </w:pPr>
            <w:r>
              <w:rPr>
                <w:b/>
                <w:sz w:val="20"/>
              </w:rPr>
              <w:t>Public Registers: </w:t>
            </w:r>
            <w:r>
              <w:rPr>
                <w:sz w:val="20"/>
              </w:rPr>
              <w:t>CC noted that, on 25 July 2017, the GFXC published a set of </w:t>
            </w:r>
            <w:hyperlink r:id="rId7">
              <w:r>
                <w:rPr>
                  <w:color w:val="0000FF"/>
                  <w:sz w:val="20"/>
                </w:rPr>
                <w:t>Recommendations relating to the Establishment of</w:t>
              </w:r>
            </w:hyperlink>
            <w:hyperlink r:id="rId7">
              <w:r>
                <w:rPr>
                  <w:color w:val="0000FF"/>
                  <w:sz w:val="20"/>
                </w:rPr>
                <w:t> Public</w:t>
              </w:r>
              <w:r>
                <w:rPr>
                  <w:color w:val="0000FF"/>
                  <w:spacing w:val="-1"/>
                  <w:sz w:val="20"/>
                </w:rPr>
                <w:t> </w:t>
              </w:r>
              <w:r>
                <w:rPr>
                  <w:color w:val="0000FF"/>
                  <w:sz w:val="20"/>
                </w:rPr>
                <w:t>Registers.</w:t>
              </w:r>
            </w:hyperlink>
          </w:p>
          <w:p>
            <w:pPr>
              <w:pStyle w:val="TableParagraph"/>
              <w:spacing w:before="11"/>
              <w:rPr>
                <w:rFonts w:ascii="Times New Roman"/>
                <w:sz w:val="19"/>
              </w:rPr>
            </w:pPr>
          </w:p>
          <w:p>
            <w:pPr>
              <w:pStyle w:val="TableParagraph"/>
              <w:numPr>
                <w:ilvl w:val="1"/>
                <w:numId w:val="1"/>
              </w:numPr>
              <w:tabs>
                <w:tab w:pos="714" w:val="left" w:leader="none"/>
              </w:tabs>
              <w:spacing w:line="242" w:lineRule="auto" w:before="0" w:after="0"/>
              <w:ind w:left="713" w:right="1664" w:hanging="360"/>
              <w:jc w:val="both"/>
              <w:rPr>
                <w:sz w:val="20"/>
              </w:rPr>
            </w:pPr>
            <w:r>
              <w:rPr>
                <w:b/>
                <w:sz w:val="20"/>
              </w:rPr>
              <w:t>FX Global Code Survey: </w:t>
            </w:r>
            <w:r>
              <w:rPr>
                <w:sz w:val="20"/>
              </w:rPr>
              <w:t>The GFXC have finalised a survey to be circulated to market participants (including FXJSC</w:t>
            </w:r>
            <w:r>
              <w:rPr>
                <w:spacing w:val="15"/>
                <w:sz w:val="20"/>
              </w:rPr>
              <w:t> </w:t>
            </w:r>
            <w:r>
              <w:rPr>
                <w:sz w:val="20"/>
              </w:rPr>
              <w:t>committee</w:t>
            </w:r>
          </w:p>
          <w:p>
            <w:pPr>
              <w:pStyle w:val="TableParagraph"/>
              <w:spacing w:line="230" w:lineRule="exact" w:before="2"/>
              <w:ind w:left="713" w:right="1385"/>
              <w:rPr>
                <w:sz w:val="20"/>
              </w:rPr>
            </w:pPr>
            <w:r>
              <w:rPr>
                <w:sz w:val="20"/>
              </w:rPr>
              <w:t>members). The purpose of this survey is to gauge how the Code has impacted the market and to assist the GFXC in identifying areas of</w:t>
            </w:r>
          </w:p>
        </w:tc>
      </w:tr>
    </w:tbl>
    <w:p>
      <w:pPr>
        <w:spacing w:after="0" w:line="230" w:lineRule="exact"/>
        <w:rPr>
          <w:sz w:val="20"/>
        </w:rPr>
        <w:sectPr>
          <w:headerReference w:type="default" r:id="rId5"/>
          <w:pgSz w:w="11910" w:h="16840"/>
          <w:pgMar w:header="568" w:footer="0" w:top="1240" w:bottom="280" w:left="940" w:right="1020"/>
          <w:pgNumType w:start="2"/>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2"/>
        <w:gridCol w:w="7514"/>
      </w:tblGrid>
      <w:tr>
        <w:trPr>
          <w:trHeight w:val="2870" w:hRule="atLeast"/>
        </w:trPr>
        <w:tc>
          <w:tcPr>
            <w:tcW w:w="752" w:type="dxa"/>
          </w:tcPr>
          <w:p>
            <w:pPr>
              <w:pStyle w:val="TableParagraph"/>
              <w:rPr>
                <w:rFonts w:ascii="Times New Roman"/>
                <w:sz w:val="18"/>
              </w:rPr>
            </w:pPr>
          </w:p>
        </w:tc>
        <w:tc>
          <w:tcPr>
            <w:tcW w:w="7514" w:type="dxa"/>
          </w:tcPr>
          <w:p>
            <w:pPr>
              <w:pStyle w:val="TableParagraph"/>
              <w:ind w:left="981"/>
              <w:rPr>
                <w:sz w:val="20"/>
              </w:rPr>
            </w:pPr>
            <w:r>
              <w:rPr>
                <w:sz w:val="20"/>
              </w:rPr>
              <w:t>future work. The survey will be circulated in the week commencing 25 September 2017.</w:t>
            </w:r>
          </w:p>
          <w:p>
            <w:pPr>
              <w:pStyle w:val="TableParagraph"/>
              <w:spacing w:before="5"/>
              <w:rPr>
                <w:rFonts w:ascii="Times New Roman"/>
                <w:sz w:val="19"/>
              </w:rPr>
            </w:pPr>
          </w:p>
          <w:p>
            <w:pPr>
              <w:pStyle w:val="TableParagraph"/>
              <w:ind w:left="441" w:right="200"/>
              <w:jc w:val="both"/>
              <w:rPr>
                <w:sz w:val="20"/>
              </w:rPr>
            </w:pPr>
            <w:r>
              <w:rPr>
                <w:sz w:val="20"/>
              </w:rPr>
              <w:t>Lastly, for those that are interested, CC recommended Chris Salmon’s 12 September 2017 speech, entitled </w:t>
            </w:r>
            <w:hyperlink r:id="rId8">
              <w:r>
                <w:rPr>
                  <w:color w:val="0000FF"/>
                  <w:sz w:val="20"/>
                </w:rPr>
                <w:t>“Securing Success for the FX Global</w:t>
              </w:r>
            </w:hyperlink>
            <w:r>
              <w:rPr>
                <w:color w:val="0000FF"/>
                <w:sz w:val="20"/>
              </w:rPr>
              <w:t> </w:t>
            </w:r>
            <w:hyperlink r:id="rId8">
              <w:r>
                <w:rPr>
                  <w:color w:val="0000FF"/>
                  <w:sz w:val="20"/>
                </w:rPr>
                <w:t>Code</w:t>
              </w:r>
            </w:hyperlink>
            <w:r>
              <w:rPr>
                <w:color w:val="0000FF"/>
                <w:sz w:val="20"/>
              </w:rPr>
              <w:t>”.</w:t>
            </w:r>
          </w:p>
          <w:p>
            <w:pPr>
              <w:pStyle w:val="TableParagraph"/>
              <w:spacing w:before="9"/>
              <w:rPr>
                <w:rFonts w:ascii="Times New Roman"/>
                <w:sz w:val="19"/>
              </w:rPr>
            </w:pPr>
          </w:p>
          <w:p>
            <w:pPr>
              <w:pStyle w:val="TableParagraph"/>
              <w:ind w:left="501"/>
              <w:rPr>
                <w:b/>
                <w:sz w:val="20"/>
              </w:rPr>
            </w:pPr>
            <w:r>
              <w:rPr>
                <w:b/>
                <w:sz w:val="20"/>
              </w:rPr>
              <w:t>(b) Implementation by firms</w:t>
            </w:r>
          </w:p>
          <w:p>
            <w:pPr>
              <w:pStyle w:val="TableParagraph"/>
              <w:spacing w:before="3"/>
              <w:rPr>
                <w:rFonts w:ascii="Times New Roman"/>
                <w:sz w:val="20"/>
              </w:rPr>
            </w:pPr>
          </w:p>
          <w:p>
            <w:pPr>
              <w:pStyle w:val="TableParagraph"/>
              <w:ind w:left="441" w:right="199"/>
              <w:jc w:val="both"/>
              <w:rPr>
                <w:sz w:val="20"/>
              </w:rPr>
            </w:pPr>
            <w:r>
              <w:rPr>
                <w:sz w:val="20"/>
              </w:rPr>
              <w:t>An open discussion took place, discussing issues members and their firms are facing when going through the process in order to sign the Statement of Commitment in relation to the</w:t>
            </w:r>
            <w:r>
              <w:rPr>
                <w:spacing w:val="-4"/>
                <w:sz w:val="20"/>
              </w:rPr>
              <w:t> </w:t>
            </w:r>
            <w:r>
              <w:rPr>
                <w:sz w:val="20"/>
              </w:rPr>
              <w:t>Code.</w:t>
            </w:r>
          </w:p>
        </w:tc>
      </w:tr>
      <w:tr>
        <w:trPr>
          <w:trHeight w:val="1149" w:hRule="atLeast"/>
        </w:trPr>
        <w:tc>
          <w:tcPr>
            <w:tcW w:w="752" w:type="dxa"/>
          </w:tcPr>
          <w:p>
            <w:pPr>
              <w:pStyle w:val="TableParagraph"/>
              <w:spacing w:before="113"/>
              <w:ind w:left="200"/>
              <w:rPr>
                <w:sz w:val="20"/>
              </w:rPr>
            </w:pPr>
            <w:r>
              <w:rPr>
                <w:w w:val="99"/>
                <w:sz w:val="20"/>
              </w:rPr>
              <w:t>4</w:t>
            </w:r>
          </w:p>
        </w:tc>
        <w:tc>
          <w:tcPr>
            <w:tcW w:w="7514" w:type="dxa"/>
          </w:tcPr>
          <w:p>
            <w:pPr>
              <w:pStyle w:val="TableParagraph"/>
              <w:spacing w:before="110"/>
              <w:ind w:left="441"/>
              <w:jc w:val="both"/>
              <w:rPr>
                <w:b/>
                <w:sz w:val="20"/>
              </w:rPr>
            </w:pPr>
            <w:r>
              <w:rPr>
                <w:b/>
                <w:sz w:val="20"/>
              </w:rPr>
              <w:t>Conduct risk in FX Markets – Edwin Schooling-Latter (FCA)</w:t>
            </w:r>
          </w:p>
          <w:p>
            <w:pPr>
              <w:pStyle w:val="TableParagraph"/>
              <w:spacing w:before="3"/>
              <w:ind w:left="441" w:right="201"/>
              <w:jc w:val="both"/>
              <w:rPr>
                <w:sz w:val="20"/>
              </w:rPr>
            </w:pPr>
            <w:r>
              <w:rPr>
                <w:sz w:val="20"/>
              </w:rPr>
              <w:t>ESL, Head of Markets Policy at the FCA, spoke to the Sub-Committee about the issues raised in his November 2016 speech at FX Week Europe: </w:t>
            </w:r>
            <w:r>
              <w:rPr>
                <w:color w:val="0000FF"/>
                <w:sz w:val="20"/>
              </w:rPr>
              <w:t>“</w:t>
            </w:r>
            <w:hyperlink r:id="rId9">
              <w:r>
                <w:rPr>
                  <w:color w:val="0000FF"/>
                  <w:sz w:val="20"/>
                </w:rPr>
                <w:t>Conduct Risk in FX</w:t>
              </w:r>
              <w:r>
                <w:rPr>
                  <w:color w:val="0000FF"/>
                  <w:spacing w:val="3"/>
                  <w:sz w:val="20"/>
                </w:rPr>
                <w:t> </w:t>
              </w:r>
              <w:r>
                <w:rPr>
                  <w:color w:val="0000FF"/>
                  <w:sz w:val="20"/>
                </w:rPr>
                <w:t>Markets</w:t>
              </w:r>
            </w:hyperlink>
            <w:r>
              <w:rPr>
                <w:color w:val="0000FF"/>
                <w:sz w:val="20"/>
              </w:rPr>
              <w:t>”</w:t>
            </w:r>
          </w:p>
        </w:tc>
      </w:tr>
      <w:tr>
        <w:trPr>
          <w:trHeight w:val="1422" w:hRule="atLeast"/>
        </w:trPr>
        <w:tc>
          <w:tcPr>
            <w:tcW w:w="752" w:type="dxa"/>
          </w:tcPr>
          <w:p>
            <w:pPr>
              <w:pStyle w:val="TableParagraph"/>
              <w:spacing w:before="113"/>
              <w:ind w:left="200"/>
              <w:rPr>
                <w:sz w:val="20"/>
              </w:rPr>
            </w:pPr>
            <w:r>
              <w:rPr>
                <w:w w:val="99"/>
                <w:sz w:val="20"/>
              </w:rPr>
              <w:t>5</w:t>
            </w:r>
          </w:p>
        </w:tc>
        <w:tc>
          <w:tcPr>
            <w:tcW w:w="7514" w:type="dxa"/>
          </w:tcPr>
          <w:p>
            <w:pPr>
              <w:pStyle w:val="TableParagraph"/>
              <w:spacing w:before="110"/>
              <w:ind w:left="441"/>
              <w:rPr>
                <w:b/>
                <w:sz w:val="20"/>
              </w:rPr>
            </w:pPr>
            <w:r>
              <w:rPr>
                <w:b/>
                <w:sz w:val="20"/>
              </w:rPr>
              <w:t>Future Agenda</w:t>
            </w:r>
          </w:p>
          <w:p>
            <w:pPr>
              <w:pStyle w:val="TableParagraph"/>
              <w:spacing w:before="3"/>
              <w:ind w:left="441"/>
              <w:rPr>
                <w:sz w:val="20"/>
              </w:rPr>
            </w:pPr>
            <w:r>
              <w:rPr>
                <w:sz w:val="20"/>
              </w:rPr>
              <w:t>The following items were suggested for future meetings:</w:t>
            </w:r>
          </w:p>
          <w:p>
            <w:pPr>
              <w:pStyle w:val="TableParagraph"/>
              <w:numPr>
                <w:ilvl w:val="0"/>
                <w:numId w:val="2"/>
              </w:numPr>
              <w:tabs>
                <w:tab w:pos="759" w:val="left" w:leader="none"/>
              </w:tabs>
              <w:spacing w:line="244" w:lineRule="exact" w:before="1" w:after="0"/>
              <w:ind w:left="758" w:right="0" w:hanging="258"/>
              <w:jc w:val="left"/>
              <w:rPr>
                <w:sz w:val="20"/>
              </w:rPr>
            </w:pPr>
            <w:r>
              <w:rPr>
                <w:sz w:val="20"/>
              </w:rPr>
              <w:t>MiFID2 Implementation</w:t>
            </w:r>
            <w:r>
              <w:rPr>
                <w:spacing w:val="-1"/>
                <w:sz w:val="20"/>
              </w:rPr>
              <w:t> </w:t>
            </w:r>
            <w:r>
              <w:rPr>
                <w:sz w:val="20"/>
              </w:rPr>
              <w:t>Update</w:t>
            </w:r>
          </w:p>
          <w:p>
            <w:pPr>
              <w:pStyle w:val="TableParagraph"/>
              <w:numPr>
                <w:ilvl w:val="0"/>
                <w:numId w:val="2"/>
              </w:numPr>
              <w:tabs>
                <w:tab w:pos="759" w:val="left" w:leader="none"/>
              </w:tabs>
              <w:spacing w:line="244" w:lineRule="exact" w:before="0" w:after="0"/>
              <w:ind w:left="758" w:right="0" w:hanging="258"/>
              <w:jc w:val="left"/>
              <w:rPr>
                <w:sz w:val="20"/>
              </w:rPr>
            </w:pPr>
            <w:r>
              <w:rPr>
                <w:sz w:val="20"/>
              </w:rPr>
              <w:t>Benchmark</w:t>
            </w:r>
            <w:r>
              <w:rPr>
                <w:spacing w:val="2"/>
                <w:sz w:val="20"/>
              </w:rPr>
              <w:t> </w:t>
            </w:r>
            <w:r>
              <w:rPr>
                <w:sz w:val="20"/>
              </w:rPr>
              <w:t>Regulation</w:t>
            </w:r>
          </w:p>
          <w:p>
            <w:pPr>
              <w:pStyle w:val="TableParagraph"/>
              <w:numPr>
                <w:ilvl w:val="0"/>
                <w:numId w:val="2"/>
              </w:numPr>
              <w:tabs>
                <w:tab w:pos="759" w:val="left" w:leader="none"/>
              </w:tabs>
              <w:spacing w:line="240" w:lineRule="auto" w:before="0" w:after="0"/>
              <w:ind w:left="758" w:right="0" w:hanging="258"/>
              <w:jc w:val="left"/>
              <w:rPr>
                <w:sz w:val="20"/>
              </w:rPr>
            </w:pPr>
            <w:r>
              <w:rPr>
                <w:sz w:val="20"/>
              </w:rPr>
              <w:t>PRIIPs Regulatory</w:t>
            </w:r>
            <w:r>
              <w:rPr>
                <w:spacing w:val="-5"/>
                <w:sz w:val="20"/>
              </w:rPr>
              <w:t> </w:t>
            </w:r>
            <w:r>
              <w:rPr>
                <w:sz w:val="20"/>
              </w:rPr>
              <w:t>Update</w:t>
            </w:r>
          </w:p>
        </w:tc>
      </w:tr>
      <w:tr>
        <w:trPr>
          <w:trHeight w:val="568" w:hRule="atLeast"/>
        </w:trPr>
        <w:tc>
          <w:tcPr>
            <w:tcW w:w="752" w:type="dxa"/>
          </w:tcPr>
          <w:p>
            <w:pPr>
              <w:pStyle w:val="TableParagraph"/>
              <w:spacing w:before="111"/>
              <w:ind w:left="200"/>
              <w:rPr>
                <w:sz w:val="20"/>
              </w:rPr>
            </w:pPr>
            <w:r>
              <w:rPr>
                <w:w w:val="99"/>
                <w:sz w:val="20"/>
              </w:rPr>
              <w:t>6</w:t>
            </w:r>
          </w:p>
        </w:tc>
        <w:tc>
          <w:tcPr>
            <w:tcW w:w="7514" w:type="dxa"/>
          </w:tcPr>
          <w:p>
            <w:pPr>
              <w:pStyle w:val="TableParagraph"/>
              <w:spacing w:line="230" w:lineRule="atLeast" w:before="108"/>
              <w:ind w:left="441"/>
              <w:rPr>
                <w:b/>
                <w:sz w:val="20"/>
              </w:rPr>
            </w:pPr>
            <w:r>
              <w:rPr>
                <w:b/>
                <w:sz w:val="20"/>
              </w:rPr>
              <w:t>The next meeting of the FXJSC Legal Sub-Committee will be on 2nd November 2017.</w:t>
            </w:r>
          </w:p>
        </w:tc>
      </w:tr>
    </w:tbl>
    <w:sectPr>
      <w:pgSz w:w="11910" w:h="16840"/>
      <w:pgMar w:header="568" w:footer="0" w:top="1240" w:bottom="280" w:left="94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type id="_x0000_t202" o:spt="202" coordsize="21600,21600" path="m,l,21600r21600,l21600,xe">
          <v:stroke joinstyle="miter"/>
          <v:path gradientshapeok="t" o:connecttype="rect"/>
        </v:shapetype>
        <v:shape style="position:absolute;margin-left:55.639999pt;margin-top:27.42346pt;width:107.95pt;height:13.15pt;mso-position-horizontal-relative:page;mso-position-vertical-relative:page;z-index:-251858944" type="#_x0000_t202" filled="false" stroked="false">
          <v:textbox inset="0,0,0,0">
            <w:txbxContent>
              <w:p>
                <w:pPr>
                  <w:pStyle w:val="BodyText"/>
                  <w:spacing w:before="12"/>
                  <w:ind w:left="20"/>
                </w:pPr>
                <w:r>
                  <w:rPr/>
                  <w:t>BANK CONFIDENTIAL</w:t>
                </w:r>
              </w:p>
            </w:txbxContent>
          </v:textbox>
          <w10:wrap type="none"/>
        </v:shape>
      </w:pict>
    </w:r>
    <w:r>
      <w:rPr/>
      <w:pict>
        <v:shape style="position:absolute;margin-left:518.76001pt;margin-top:27.543459pt;width:11.55pt;height:13.15pt;mso-position-horizontal-relative:page;mso-position-vertical-relative:page;z-index:-251857920" type="#_x0000_t202" filled="false" stroked="false">
          <v:textbox inset="0,0,0,0">
            <w:txbxContent>
              <w:p>
                <w:pPr>
                  <w:spacing w:before="12"/>
                  <w:ind w:left="60" w:right="0" w:firstLine="0"/>
                  <w:jc w:val="left"/>
                  <w:rPr>
                    <w:sz w:val="20"/>
                  </w:rPr>
                </w:pPr>
                <w:r>
                  <w:rPr/>
                  <w:fldChar w:fldCharType="begin"/>
                </w:r>
                <w:r>
                  <w:rPr>
                    <w:w w:val="99"/>
                    <w:sz w:val="20"/>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758" w:hanging="257"/>
      </w:pPr>
      <w:rPr>
        <w:rFonts w:hint="default" w:ascii="Symbol" w:hAnsi="Symbol" w:eastAsia="Symbol" w:cs="Symbol"/>
        <w:w w:val="99"/>
        <w:sz w:val="20"/>
        <w:szCs w:val="20"/>
      </w:rPr>
    </w:lvl>
    <w:lvl w:ilvl="1">
      <w:start w:val="0"/>
      <w:numFmt w:val="bullet"/>
      <w:lvlText w:val="•"/>
      <w:lvlJc w:val="left"/>
      <w:pPr>
        <w:ind w:left="1435" w:hanging="257"/>
      </w:pPr>
      <w:rPr>
        <w:rFonts w:hint="default"/>
      </w:rPr>
    </w:lvl>
    <w:lvl w:ilvl="2">
      <w:start w:val="0"/>
      <w:numFmt w:val="bullet"/>
      <w:lvlText w:val="•"/>
      <w:lvlJc w:val="left"/>
      <w:pPr>
        <w:ind w:left="2110" w:hanging="257"/>
      </w:pPr>
      <w:rPr>
        <w:rFonts w:hint="default"/>
      </w:rPr>
    </w:lvl>
    <w:lvl w:ilvl="3">
      <w:start w:val="0"/>
      <w:numFmt w:val="bullet"/>
      <w:lvlText w:val="•"/>
      <w:lvlJc w:val="left"/>
      <w:pPr>
        <w:ind w:left="2786" w:hanging="257"/>
      </w:pPr>
      <w:rPr>
        <w:rFonts w:hint="default"/>
      </w:rPr>
    </w:lvl>
    <w:lvl w:ilvl="4">
      <w:start w:val="0"/>
      <w:numFmt w:val="bullet"/>
      <w:lvlText w:val="•"/>
      <w:lvlJc w:val="left"/>
      <w:pPr>
        <w:ind w:left="3461" w:hanging="257"/>
      </w:pPr>
      <w:rPr>
        <w:rFonts w:hint="default"/>
      </w:rPr>
    </w:lvl>
    <w:lvl w:ilvl="5">
      <w:start w:val="0"/>
      <w:numFmt w:val="bullet"/>
      <w:lvlText w:val="•"/>
      <w:lvlJc w:val="left"/>
      <w:pPr>
        <w:ind w:left="4137" w:hanging="257"/>
      </w:pPr>
      <w:rPr>
        <w:rFonts w:hint="default"/>
      </w:rPr>
    </w:lvl>
    <w:lvl w:ilvl="6">
      <w:start w:val="0"/>
      <w:numFmt w:val="bullet"/>
      <w:lvlText w:val="•"/>
      <w:lvlJc w:val="left"/>
      <w:pPr>
        <w:ind w:left="4812" w:hanging="257"/>
      </w:pPr>
      <w:rPr>
        <w:rFonts w:hint="default"/>
      </w:rPr>
    </w:lvl>
    <w:lvl w:ilvl="7">
      <w:start w:val="0"/>
      <w:numFmt w:val="bullet"/>
      <w:lvlText w:val="•"/>
      <w:lvlJc w:val="left"/>
      <w:pPr>
        <w:ind w:left="5487" w:hanging="257"/>
      </w:pPr>
      <w:rPr>
        <w:rFonts w:hint="default"/>
      </w:rPr>
    </w:lvl>
    <w:lvl w:ilvl="8">
      <w:start w:val="0"/>
      <w:numFmt w:val="bullet"/>
      <w:lvlText w:val="•"/>
      <w:lvlJc w:val="left"/>
      <w:pPr>
        <w:ind w:left="6163" w:hanging="257"/>
      </w:pPr>
      <w:rPr>
        <w:rFonts w:hint="default"/>
      </w:rPr>
    </w:lvl>
  </w:abstractNum>
  <w:abstractNum w:abstractNumId="0">
    <w:multiLevelType w:val="hybridMultilevel"/>
    <w:lvl w:ilvl="0">
      <w:start w:val="1"/>
      <w:numFmt w:val="lowerLetter"/>
      <w:lvlText w:val="(%1)"/>
      <w:lvlJc w:val="left"/>
      <w:pPr>
        <w:ind w:left="593" w:hanging="360"/>
        <w:jc w:val="left"/>
      </w:pPr>
      <w:rPr>
        <w:rFonts w:hint="default" w:ascii="Arial" w:hAnsi="Arial" w:eastAsia="Arial" w:cs="Arial"/>
        <w:b/>
        <w:bCs/>
        <w:spacing w:val="-1"/>
        <w:w w:val="99"/>
        <w:sz w:val="20"/>
        <w:szCs w:val="20"/>
      </w:rPr>
    </w:lvl>
    <w:lvl w:ilvl="1">
      <w:start w:val="1"/>
      <w:numFmt w:val="decimal"/>
      <w:lvlText w:val="(%2)"/>
      <w:lvlJc w:val="left"/>
      <w:pPr>
        <w:ind w:left="714" w:hanging="360"/>
        <w:jc w:val="left"/>
      </w:pPr>
      <w:rPr>
        <w:rFonts w:hint="default" w:ascii="Arial" w:hAnsi="Arial" w:eastAsia="Arial" w:cs="Arial"/>
        <w:spacing w:val="-1"/>
        <w:w w:val="99"/>
        <w:sz w:val="20"/>
        <w:szCs w:val="20"/>
      </w:rPr>
    </w:lvl>
    <w:lvl w:ilvl="2">
      <w:start w:val="0"/>
      <w:numFmt w:val="bullet"/>
      <w:lvlText w:val="•"/>
      <w:lvlJc w:val="left"/>
      <w:pPr>
        <w:ind w:left="1607" w:hanging="360"/>
      </w:pPr>
      <w:rPr>
        <w:rFonts w:hint="default"/>
      </w:rPr>
    </w:lvl>
    <w:lvl w:ilvl="3">
      <w:start w:val="0"/>
      <w:numFmt w:val="bullet"/>
      <w:lvlText w:val="•"/>
      <w:lvlJc w:val="left"/>
      <w:pPr>
        <w:ind w:left="2495" w:hanging="360"/>
      </w:pPr>
      <w:rPr>
        <w:rFonts w:hint="default"/>
      </w:rPr>
    </w:lvl>
    <w:lvl w:ilvl="4">
      <w:start w:val="0"/>
      <w:numFmt w:val="bullet"/>
      <w:lvlText w:val="•"/>
      <w:lvlJc w:val="left"/>
      <w:pPr>
        <w:ind w:left="3383" w:hanging="360"/>
      </w:pPr>
      <w:rPr>
        <w:rFonts w:hint="default"/>
      </w:rPr>
    </w:lvl>
    <w:lvl w:ilvl="5">
      <w:start w:val="0"/>
      <w:numFmt w:val="bullet"/>
      <w:lvlText w:val="•"/>
      <w:lvlJc w:val="left"/>
      <w:pPr>
        <w:ind w:left="4270" w:hanging="360"/>
      </w:pPr>
      <w:rPr>
        <w:rFonts w:hint="default"/>
      </w:rPr>
    </w:lvl>
    <w:lvl w:ilvl="6">
      <w:start w:val="0"/>
      <w:numFmt w:val="bullet"/>
      <w:lvlText w:val="•"/>
      <w:lvlJc w:val="left"/>
      <w:pPr>
        <w:ind w:left="5158" w:hanging="360"/>
      </w:pPr>
      <w:rPr>
        <w:rFonts w:hint="default"/>
      </w:rPr>
    </w:lvl>
    <w:lvl w:ilvl="7">
      <w:start w:val="0"/>
      <w:numFmt w:val="bullet"/>
      <w:lvlText w:val="•"/>
      <w:lvlJc w:val="left"/>
      <w:pPr>
        <w:ind w:left="6046" w:hanging="360"/>
      </w:pPr>
      <w:rPr>
        <w:rFonts w:hint="default"/>
      </w:rPr>
    </w:lvl>
    <w:lvl w:ilvl="8">
      <w:start w:val="0"/>
      <w:numFmt w:val="bullet"/>
      <w:lvlText w:val="•"/>
      <w:lvlJc w:val="left"/>
      <w:pPr>
        <w:ind w:left="6933" w:hanging="36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b/>
      <w:bCs/>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https://www.globalfxc.org/docs/consultation_process.pdf" TargetMode="External"/><Relationship Id="rId7" Type="http://schemas.openxmlformats.org/officeDocument/2006/relationships/hyperlink" Target="https://www.globalfxc.org/docs/public_registers.pdf" TargetMode="External"/><Relationship Id="rId8" Type="http://schemas.openxmlformats.org/officeDocument/2006/relationships/hyperlink" Target="http://www.bankofengland.co.uk/publications/Documents/speeches/2017/speech994.pdf" TargetMode="External"/><Relationship Id="rId9" Type="http://schemas.openxmlformats.org/officeDocument/2006/relationships/hyperlink" Target="https://www.fca.org.uk/news/speeches/conduct-risk-fx-markets"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Lynch, Thomas</dc:creator>
  <dcterms:created xsi:type="dcterms:W3CDTF">2020-06-01T02:00:47Z</dcterms:created>
  <dcterms:modified xsi:type="dcterms:W3CDTF">2020-06-01T02:00:47Z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2017-11-24T00:00:00Z</vt:filetime>
  </property>
  <property fmtid="{D5CDD505-2E9C-101B-9397-08002B2CF9AE}" pid="3" name="Creator">
    <vt:lpwstr>Acrobat PDFMaker 10.1 for Word</vt:lpwstr>
  </property>
  <property fmtid="{D5CDD505-2E9C-101B-9397-08002B2CF9AE}" pid="4" name="LastSaved">
    <vt:filetime>2020-06-01T00:00:00Z</vt:filetime>
  </property>
</Properties>
</file>