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tbl>
      <w:tblPr>
        <w:tblW w:w="0" w:type="auto"/>
        <w:jc w:val="left"/>
        <w:tblInd w:w="2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75"/>
        <w:gridCol w:w="8646"/>
      </w:tblGrid>
      <w:tr>
        <w:trPr>
          <w:trHeight w:val="665" w:hRule="atLeast"/>
        </w:trPr>
        <w:tc>
          <w:tcPr>
            <w:tcW w:w="9621" w:type="dxa"/>
            <w:gridSpan w:val="2"/>
          </w:tcPr>
          <w:p>
            <w:pPr>
              <w:pStyle w:val="TableParagraph"/>
              <w:spacing w:line="483" w:lineRule="exact"/>
              <w:rPr>
                <w:sz w:val="44"/>
              </w:rPr>
            </w:pPr>
            <w:r>
              <w:rPr>
                <w:sz w:val="44"/>
              </w:rPr>
              <w:t>Minutes</w:t>
            </w:r>
          </w:p>
        </w:tc>
      </w:tr>
      <w:tr>
        <w:trPr>
          <w:trHeight w:val="826" w:hRule="atLeast"/>
        </w:trPr>
        <w:tc>
          <w:tcPr>
            <w:tcW w:w="9621" w:type="dxa"/>
            <w:gridSpan w:val="2"/>
          </w:tcPr>
          <w:p>
            <w:pPr>
              <w:pStyle w:val="TableParagraph"/>
              <w:spacing w:line="278" w:lineRule="auto" w:before="159"/>
              <w:ind w:right="1933"/>
              <w:rPr>
                <w:b/>
                <w:sz w:val="24"/>
              </w:rPr>
            </w:pPr>
            <w:r>
              <w:rPr>
                <w:b/>
                <w:sz w:val="24"/>
              </w:rPr>
              <w:t>FOREIGN EXCHANGE JOINT STANDING COMMITTEE OPERATIONS SUB-COMMITTEE</w:t>
            </w:r>
          </w:p>
        </w:tc>
      </w:tr>
      <w:tr>
        <w:trPr>
          <w:trHeight w:val="602" w:hRule="atLeast"/>
        </w:trPr>
        <w:tc>
          <w:tcPr>
            <w:tcW w:w="9621" w:type="dxa"/>
            <w:gridSpan w:val="2"/>
            <w:tcBorders>
              <w:bottom w:val="single" w:sz="4" w:space="0" w:color="000000"/>
            </w:tcBorders>
          </w:tcPr>
          <w:p>
            <w:pPr>
              <w:pStyle w:val="TableParagraph"/>
              <w:spacing w:before="48"/>
              <w:rPr>
                <w:sz w:val="24"/>
              </w:rPr>
            </w:pPr>
            <w:r>
              <w:rPr>
                <w:sz w:val="24"/>
              </w:rPr>
              <w:t>13 November 2017</w:t>
            </w:r>
          </w:p>
        </w:tc>
      </w:tr>
      <w:tr>
        <w:trPr>
          <w:trHeight w:val="596" w:hRule="atLeast"/>
        </w:trPr>
        <w:tc>
          <w:tcPr>
            <w:tcW w:w="975" w:type="dxa"/>
            <w:tcBorders>
              <w:top w:val="single" w:sz="4" w:space="0" w:color="000000"/>
            </w:tcBorders>
          </w:tcPr>
          <w:p>
            <w:pPr>
              <w:pStyle w:val="TableParagraph"/>
              <w:rPr>
                <w:rFonts w:ascii="Times New Roman"/>
                <w:sz w:val="18"/>
              </w:rPr>
            </w:pPr>
          </w:p>
          <w:p>
            <w:pPr>
              <w:pStyle w:val="TableParagraph"/>
              <w:rPr>
                <w:sz w:val="20"/>
              </w:rPr>
            </w:pPr>
            <w:r>
              <w:rPr>
                <w:sz w:val="20"/>
              </w:rPr>
              <w:t>Location:</w:t>
            </w:r>
          </w:p>
        </w:tc>
        <w:tc>
          <w:tcPr>
            <w:tcW w:w="8646" w:type="dxa"/>
            <w:tcBorders>
              <w:top w:val="single" w:sz="4" w:space="0" w:color="000000"/>
            </w:tcBorders>
          </w:tcPr>
          <w:p>
            <w:pPr>
              <w:pStyle w:val="TableParagraph"/>
              <w:rPr>
                <w:rFonts w:ascii="Times New Roman"/>
                <w:sz w:val="18"/>
              </w:rPr>
            </w:pPr>
          </w:p>
          <w:p>
            <w:pPr>
              <w:pStyle w:val="TableParagraph"/>
              <w:ind w:left="20"/>
              <w:rPr>
                <w:sz w:val="20"/>
              </w:rPr>
            </w:pPr>
            <w:r>
              <w:rPr>
                <w:sz w:val="20"/>
              </w:rPr>
              <w:t>Bank of England, Threadneedle Street, EC2R 8AH</w:t>
            </w:r>
          </w:p>
        </w:tc>
      </w:tr>
      <w:tr>
        <w:trPr>
          <w:trHeight w:val="6459" w:hRule="atLeast"/>
        </w:trPr>
        <w:tc>
          <w:tcPr>
            <w:tcW w:w="975" w:type="dxa"/>
          </w:tcPr>
          <w:p>
            <w:pPr>
              <w:pStyle w:val="TableParagraph"/>
              <w:spacing w:before="138"/>
              <w:rPr>
                <w:sz w:val="20"/>
              </w:rPr>
            </w:pPr>
            <w:r>
              <w:rPr>
                <w:sz w:val="20"/>
              </w:rPr>
              <w:t>Attendees:</w:t>
            </w:r>
          </w:p>
        </w:tc>
        <w:tc>
          <w:tcPr>
            <w:tcW w:w="8646" w:type="dxa"/>
          </w:tcPr>
          <w:p>
            <w:pPr>
              <w:pStyle w:val="TableParagraph"/>
              <w:spacing w:line="360" w:lineRule="auto" w:before="136"/>
              <w:ind w:left="20" w:right="4460"/>
              <w:rPr>
                <w:sz w:val="20"/>
              </w:rPr>
            </w:pPr>
            <w:r>
              <w:rPr>
                <w:b/>
                <w:sz w:val="20"/>
              </w:rPr>
              <w:t>Association of Foreign Banks: </w:t>
            </w:r>
            <w:r>
              <w:rPr>
                <w:sz w:val="20"/>
              </w:rPr>
              <w:t>Nigel Brigden </w:t>
            </w:r>
            <w:r>
              <w:rPr>
                <w:b/>
                <w:sz w:val="20"/>
              </w:rPr>
              <w:t>Bank of Tokyo Mitsubishi: </w:t>
            </w:r>
            <w:r>
              <w:rPr>
                <w:sz w:val="20"/>
              </w:rPr>
              <w:t>Kerry Peacock </w:t>
            </w:r>
            <w:r>
              <w:rPr>
                <w:b/>
                <w:sz w:val="20"/>
              </w:rPr>
              <w:t>Bank of New York Mellon: </w:t>
            </w:r>
            <w:r>
              <w:rPr>
                <w:sz w:val="20"/>
              </w:rPr>
              <w:t>Jon Goddard </w:t>
            </w:r>
            <w:r>
              <w:rPr>
                <w:b/>
                <w:sz w:val="20"/>
              </w:rPr>
              <w:t>Citigroup: </w:t>
            </w:r>
            <w:r>
              <w:rPr>
                <w:sz w:val="20"/>
              </w:rPr>
              <w:t>Daniel Horgan</w:t>
            </w:r>
          </w:p>
          <w:p>
            <w:pPr>
              <w:pStyle w:val="TableParagraph"/>
              <w:spacing w:before="1"/>
              <w:ind w:left="20"/>
              <w:rPr>
                <w:sz w:val="20"/>
              </w:rPr>
            </w:pPr>
            <w:r>
              <w:rPr>
                <w:b/>
                <w:sz w:val="20"/>
              </w:rPr>
              <w:t>CLS: </w:t>
            </w:r>
            <w:r>
              <w:rPr>
                <w:sz w:val="20"/>
              </w:rPr>
              <w:t>John Hagon, Adam Levine (Guest Speaker)</w:t>
            </w:r>
          </w:p>
          <w:p>
            <w:pPr>
              <w:pStyle w:val="TableParagraph"/>
              <w:spacing w:before="113"/>
              <w:ind w:left="20"/>
              <w:rPr>
                <w:sz w:val="20"/>
              </w:rPr>
            </w:pPr>
            <w:r>
              <w:rPr>
                <w:b/>
                <w:sz w:val="20"/>
              </w:rPr>
              <w:t>Deutsche Bank: </w:t>
            </w:r>
            <w:r>
              <w:rPr>
                <w:sz w:val="20"/>
              </w:rPr>
              <w:t>Darran Olive</w:t>
            </w:r>
          </w:p>
          <w:p>
            <w:pPr>
              <w:pStyle w:val="TableParagraph"/>
              <w:spacing w:before="116"/>
              <w:ind w:left="20"/>
              <w:rPr>
                <w:sz w:val="20"/>
              </w:rPr>
            </w:pPr>
            <w:r>
              <w:rPr>
                <w:b/>
                <w:sz w:val="20"/>
              </w:rPr>
              <w:t>Financial Conduct Authority: </w:t>
            </w:r>
            <w:r>
              <w:rPr>
                <w:sz w:val="20"/>
              </w:rPr>
              <w:t>Monica Rodriguez-Sanchez</w:t>
            </w:r>
          </w:p>
          <w:p>
            <w:pPr>
              <w:pStyle w:val="TableParagraph"/>
              <w:spacing w:before="115"/>
              <w:ind w:left="20"/>
              <w:rPr>
                <w:sz w:val="20"/>
              </w:rPr>
            </w:pPr>
            <w:r>
              <w:rPr>
                <w:b/>
                <w:sz w:val="20"/>
              </w:rPr>
              <w:t>Goldman Sachs: </w:t>
            </w:r>
            <w:r>
              <w:rPr>
                <w:sz w:val="20"/>
              </w:rPr>
              <w:t>John Blythe (Deputy Chair)</w:t>
            </w:r>
          </w:p>
          <w:p>
            <w:pPr>
              <w:pStyle w:val="TableParagraph"/>
              <w:spacing w:line="360" w:lineRule="auto" w:before="116"/>
              <w:ind w:left="20" w:right="4782"/>
              <w:rPr>
                <w:sz w:val="20"/>
              </w:rPr>
            </w:pPr>
            <w:r>
              <w:rPr>
                <w:b/>
                <w:sz w:val="20"/>
              </w:rPr>
              <w:t>HSBC: </w:t>
            </w:r>
            <w:r>
              <w:rPr>
                <w:sz w:val="20"/>
              </w:rPr>
              <w:t>Trevor Evans (Deputy Chair) </w:t>
            </w:r>
            <w:r>
              <w:rPr>
                <w:b/>
                <w:sz w:val="20"/>
              </w:rPr>
              <w:t>Insight Investment: </w:t>
            </w:r>
            <w:r>
              <w:rPr>
                <w:sz w:val="20"/>
              </w:rPr>
              <w:t>Gavin Platman </w:t>
            </w:r>
            <w:r>
              <w:rPr>
                <w:b/>
                <w:sz w:val="20"/>
              </w:rPr>
              <w:t>Investment Association: </w:t>
            </w:r>
            <w:r>
              <w:rPr>
                <w:sz w:val="20"/>
              </w:rPr>
              <w:t>David Broadway </w:t>
            </w:r>
            <w:r>
              <w:rPr>
                <w:b/>
                <w:sz w:val="20"/>
              </w:rPr>
              <w:t>RBC: </w:t>
            </w:r>
            <w:r>
              <w:rPr>
                <w:sz w:val="20"/>
              </w:rPr>
              <w:t>Isabelle Dennigan (Chair)</w:t>
            </w:r>
          </w:p>
          <w:p>
            <w:pPr>
              <w:pStyle w:val="TableParagraph"/>
              <w:spacing w:line="228" w:lineRule="exact"/>
              <w:ind w:left="20"/>
              <w:rPr>
                <w:sz w:val="20"/>
              </w:rPr>
            </w:pPr>
            <w:r>
              <w:rPr>
                <w:b/>
                <w:sz w:val="20"/>
              </w:rPr>
              <w:t>Societe Generale: </w:t>
            </w:r>
            <w:r>
              <w:rPr>
                <w:sz w:val="20"/>
              </w:rPr>
              <w:t>Will Deighton</w:t>
            </w:r>
          </w:p>
          <w:p>
            <w:pPr>
              <w:pStyle w:val="TableParagraph"/>
              <w:spacing w:before="115"/>
              <w:ind w:left="20"/>
              <w:rPr>
                <w:sz w:val="20"/>
              </w:rPr>
            </w:pPr>
            <w:r>
              <w:rPr>
                <w:b/>
                <w:sz w:val="20"/>
              </w:rPr>
              <w:t>SWIFT: </w:t>
            </w:r>
            <w:r>
              <w:rPr>
                <w:sz w:val="20"/>
              </w:rPr>
              <w:t>Joe Halberstadt</w:t>
            </w:r>
          </w:p>
          <w:p>
            <w:pPr>
              <w:pStyle w:val="TableParagraph"/>
              <w:spacing w:before="116"/>
              <w:ind w:left="20"/>
              <w:rPr>
                <w:sz w:val="20"/>
              </w:rPr>
            </w:pPr>
            <w:r>
              <w:rPr>
                <w:b/>
                <w:sz w:val="20"/>
              </w:rPr>
              <w:t>UBS: </w:t>
            </w:r>
            <w:r>
              <w:rPr>
                <w:sz w:val="20"/>
              </w:rPr>
              <w:t>Colin Parry</w:t>
            </w:r>
          </w:p>
          <w:p>
            <w:pPr>
              <w:pStyle w:val="TableParagraph"/>
              <w:spacing w:before="116"/>
              <w:ind w:left="20"/>
              <w:rPr>
                <w:sz w:val="20"/>
              </w:rPr>
            </w:pPr>
            <w:r>
              <w:rPr>
                <w:b/>
                <w:sz w:val="20"/>
              </w:rPr>
              <w:t>UK Finance: </w:t>
            </w:r>
            <w:r>
              <w:rPr>
                <w:sz w:val="20"/>
              </w:rPr>
              <w:t>Andrew Rogan</w:t>
            </w:r>
          </w:p>
          <w:p>
            <w:pPr>
              <w:pStyle w:val="TableParagraph"/>
              <w:spacing w:line="362" w:lineRule="auto" w:before="113"/>
              <w:ind w:left="20" w:right="48"/>
              <w:rPr>
                <w:sz w:val="20"/>
              </w:rPr>
            </w:pPr>
            <w:r>
              <w:rPr>
                <w:b/>
                <w:sz w:val="20"/>
              </w:rPr>
              <w:t>Bank of England: </w:t>
            </w:r>
            <w:r>
              <w:rPr>
                <w:sz w:val="20"/>
              </w:rPr>
              <w:t>James Manchester (Secretariat), Charlotte Pope-Williams (Legal Secretariat), John Jackson (Guest Speaker), Sara Ward (Guest Speaker), Sharon Wallis (Guest Speaker)</w:t>
            </w:r>
          </w:p>
        </w:tc>
      </w:tr>
      <w:tr>
        <w:trPr>
          <w:trHeight w:val="1475" w:hRule="atLeast"/>
        </w:trPr>
        <w:tc>
          <w:tcPr>
            <w:tcW w:w="975" w:type="dxa"/>
          </w:tcPr>
          <w:p>
            <w:pPr>
              <w:pStyle w:val="TableParagraph"/>
              <w:spacing w:before="10"/>
              <w:rPr>
                <w:rFonts w:ascii="Times New Roman"/>
                <w:sz w:val="17"/>
              </w:rPr>
            </w:pPr>
          </w:p>
          <w:p>
            <w:pPr>
              <w:pStyle w:val="TableParagraph"/>
              <w:rPr>
                <w:sz w:val="20"/>
              </w:rPr>
            </w:pPr>
            <w:r>
              <w:rPr>
                <w:sz w:val="20"/>
              </w:rPr>
              <w:t>Apologies:</w:t>
            </w:r>
          </w:p>
        </w:tc>
        <w:tc>
          <w:tcPr>
            <w:tcW w:w="8646" w:type="dxa"/>
          </w:tcPr>
          <w:p>
            <w:pPr>
              <w:pStyle w:val="TableParagraph"/>
              <w:spacing w:before="7"/>
              <w:rPr>
                <w:rFonts w:ascii="Times New Roman"/>
                <w:sz w:val="17"/>
              </w:rPr>
            </w:pPr>
          </w:p>
          <w:p>
            <w:pPr>
              <w:pStyle w:val="TableParagraph"/>
              <w:spacing w:line="360" w:lineRule="auto" w:before="1"/>
              <w:ind w:left="20" w:right="5534"/>
              <w:rPr>
                <w:sz w:val="20"/>
              </w:rPr>
            </w:pPr>
            <w:r>
              <w:rPr>
                <w:b/>
                <w:sz w:val="20"/>
              </w:rPr>
              <w:t>Bank of England: </w:t>
            </w:r>
            <w:r>
              <w:rPr>
                <w:sz w:val="20"/>
              </w:rPr>
              <w:t>Jennifer Ashton </w:t>
            </w:r>
            <w:r>
              <w:rPr>
                <w:b/>
                <w:sz w:val="20"/>
              </w:rPr>
              <w:t>Barclays: </w:t>
            </w:r>
            <w:r>
              <w:rPr>
                <w:sz w:val="20"/>
              </w:rPr>
              <w:t>Duncan Lord </w:t>
            </w:r>
            <w:r>
              <w:rPr>
                <w:b/>
                <w:sz w:val="20"/>
              </w:rPr>
              <w:t>JPMorgan Chase: </w:t>
            </w:r>
            <w:r>
              <w:rPr>
                <w:sz w:val="20"/>
              </w:rPr>
              <w:t>Phil</w:t>
            </w:r>
            <w:r>
              <w:rPr>
                <w:spacing w:val="-3"/>
                <w:sz w:val="20"/>
              </w:rPr>
              <w:t> </w:t>
            </w:r>
            <w:r>
              <w:rPr>
                <w:sz w:val="20"/>
              </w:rPr>
              <w:t>Glackin</w:t>
            </w:r>
          </w:p>
          <w:p>
            <w:pPr>
              <w:pStyle w:val="TableParagraph"/>
              <w:spacing w:line="217" w:lineRule="exact"/>
              <w:ind w:left="20"/>
              <w:rPr>
                <w:sz w:val="20"/>
              </w:rPr>
            </w:pPr>
            <w:r>
              <w:rPr>
                <w:b/>
                <w:sz w:val="20"/>
              </w:rPr>
              <w:t>Record Currency Management: </w:t>
            </w:r>
            <w:r>
              <w:rPr>
                <w:sz w:val="20"/>
              </w:rPr>
              <w:t>Joel Sleigh</w:t>
            </w:r>
          </w:p>
        </w:tc>
      </w:tr>
    </w:tbl>
    <w:p>
      <w:pPr>
        <w:spacing w:after="0" w:line="217" w:lineRule="exact"/>
        <w:rPr>
          <w:sz w:val="20"/>
        </w:rPr>
        <w:sectPr>
          <w:type w:val="continuous"/>
          <w:pgSz w:w="11910" w:h="16840"/>
          <w:pgMar w:top="1440" w:bottom="280" w:left="960" w:right="980"/>
        </w:sectPr>
      </w:pPr>
    </w:p>
    <w:tbl>
      <w:tblPr>
        <w:tblW w:w="0" w:type="auto"/>
        <w:jc w:val="left"/>
        <w:tblInd w:w="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19"/>
        <w:gridCol w:w="4041"/>
        <w:gridCol w:w="4687"/>
      </w:tblGrid>
      <w:tr>
        <w:trPr>
          <w:trHeight w:val="688" w:hRule="atLeast"/>
        </w:trPr>
        <w:tc>
          <w:tcPr>
            <w:tcW w:w="1019" w:type="dxa"/>
          </w:tcPr>
          <w:p>
            <w:pPr>
              <w:pStyle w:val="TableParagraph"/>
              <w:spacing w:line="223" w:lineRule="exact"/>
              <w:ind w:left="200"/>
              <w:rPr>
                <w:b/>
                <w:sz w:val="20"/>
              </w:rPr>
            </w:pPr>
            <w:r>
              <w:rPr>
                <w:b/>
                <w:sz w:val="20"/>
              </w:rPr>
              <w:t>Minute</w:t>
            </w:r>
          </w:p>
          <w:p>
            <w:pPr>
              <w:pStyle w:val="TableParagraph"/>
              <w:spacing w:before="116"/>
              <w:ind w:left="200"/>
              <w:rPr>
                <w:b/>
                <w:sz w:val="20"/>
              </w:rPr>
            </w:pPr>
            <w:r>
              <w:rPr>
                <w:b/>
                <w:sz w:val="20"/>
              </w:rPr>
              <w:t>no.</w:t>
            </w:r>
          </w:p>
        </w:tc>
        <w:tc>
          <w:tcPr>
            <w:tcW w:w="4041" w:type="dxa"/>
          </w:tcPr>
          <w:p>
            <w:pPr>
              <w:pStyle w:val="TableParagraph"/>
              <w:spacing w:line="223" w:lineRule="exact"/>
              <w:ind w:left="174"/>
              <w:rPr>
                <w:b/>
                <w:sz w:val="20"/>
              </w:rPr>
            </w:pPr>
            <w:r>
              <w:rPr>
                <w:b/>
                <w:sz w:val="20"/>
              </w:rPr>
              <w:t>Minute</w:t>
            </w:r>
          </w:p>
        </w:tc>
        <w:tc>
          <w:tcPr>
            <w:tcW w:w="4687" w:type="dxa"/>
          </w:tcPr>
          <w:p>
            <w:pPr>
              <w:pStyle w:val="TableParagraph"/>
              <w:spacing w:line="276" w:lineRule="auto"/>
              <w:ind w:left="2887" w:right="197"/>
              <w:jc w:val="right"/>
              <w:rPr>
                <w:b/>
                <w:sz w:val="20"/>
              </w:rPr>
            </w:pPr>
            <w:r>
              <w:rPr>
                <w:b/>
                <w:sz w:val="20"/>
              </w:rPr>
              <w:t>Action owner</w:t>
            </w:r>
            <w:r>
              <w:rPr>
                <w:b/>
                <w:w w:val="99"/>
                <w:sz w:val="20"/>
              </w:rPr>
              <w:t> </w:t>
            </w:r>
            <w:r>
              <w:rPr>
                <w:b/>
                <w:sz w:val="20"/>
              </w:rPr>
              <w:t>and due date</w:t>
            </w:r>
          </w:p>
        </w:tc>
      </w:tr>
      <w:tr>
        <w:trPr>
          <w:trHeight w:val="4277" w:hRule="atLeast"/>
        </w:trPr>
        <w:tc>
          <w:tcPr>
            <w:tcW w:w="1019" w:type="dxa"/>
          </w:tcPr>
          <w:p>
            <w:pPr>
              <w:pStyle w:val="TableParagraph"/>
              <w:spacing w:before="115"/>
              <w:ind w:left="200"/>
              <w:rPr>
                <w:sz w:val="20"/>
              </w:rPr>
            </w:pPr>
            <w:r>
              <w:rPr>
                <w:sz w:val="20"/>
              </w:rPr>
              <w:t>1.</w:t>
            </w:r>
          </w:p>
        </w:tc>
        <w:tc>
          <w:tcPr>
            <w:tcW w:w="8728" w:type="dxa"/>
            <w:gridSpan w:val="2"/>
          </w:tcPr>
          <w:p>
            <w:pPr>
              <w:pStyle w:val="TableParagraph"/>
              <w:spacing w:before="113"/>
              <w:ind w:left="174"/>
              <w:jc w:val="both"/>
              <w:rPr>
                <w:sz w:val="20"/>
              </w:rPr>
            </w:pPr>
            <w:r>
              <w:rPr>
                <w:b/>
                <w:sz w:val="20"/>
              </w:rPr>
              <w:t>Welcome and apologies for absence </w:t>
            </w:r>
            <w:r>
              <w:rPr>
                <w:sz w:val="20"/>
              </w:rPr>
              <w:t>(</w:t>
            </w:r>
            <w:r>
              <w:rPr>
                <w:i/>
                <w:sz w:val="20"/>
              </w:rPr>
              <w:t>Chair – Isabelle Dennigan, RBC</w:t>
            </w:r>
            <w:r>
              <w:rPr>
                <w:sz w:val="20"/>
              </w:rPr>
              <w:t>)</w:t>
            </w:r>
          </w:p>
          <w:p>
            <w:pPr>
              <w:pStyle w:val="TableParagraph"/>
              <w:spacing w:before="8"/>
              <w:rPr>
                <w:rFonts w:ascii="Times New Roman"/>
                <w:sz w:val="20"/>
              </w:rPr>
            </w:pPr>
          </w:p>
          <w:p>
            <w:pPr>
              <w:pStyle w:val="TableParagraph"/>
              <w:spacing w:line="360" w:lineRule="auto"/>
              <w:ind w:left="174" w:right="1688"/>
              <w:jc w:val="both"/>
              <w:rPr>
                <w:sz w:val="20"/>
              </w:rPr>
            </w:pPr>
            <w:r>
              <w:rPr>
                <w:sz w:val="20"/>
              </w:rPr>
              <w:t>Apologies were received from Jennifer Ashton (Bank of England), Duncan Lord (Barclays), Phil Glackin (JP Morgan Chase), and Joel Sleigh (Record Currency Management).</w:t>
            </w:r>
          </w:p>
          <w:p>
            <w:pPr>
              <w:pStyle w:val="TableParagraph"/>
              <w:spacing w:line="360" w:lineRule="auto" w:before="119"/>
              <w:ind w:left="174" w:right="1679"/>
              <w:jc w:val="both"/>
              <w:rPr>
                <w:sz w:val="20"/>
              </w:rPr>
            </w:pPr>
            <w:r>
              <w:rPr>
                <w:sz w:val="20"/>
              </w:rPr>
              <w:t>The Chair welcomed Colin Parry (UBS) and Charlotte Pope-Williams (Bank of England) to the Sub-committee, and welcomed guest speaker Adam Levine (CLS).</w:t>
            </w:r>
          </w:p>
          <w:p>
            <w:pPr>
              <w:pStyle w:val="TableParagraph"/>
              <w:spacing w:line="360" w:lineRule="auto" w:before="122"/>
              <w:ind w:left="174" w:right="1678"/>
              <w:jc w:val="both"/>
              <w:rPr>
                <w:sz w:val="20"/>
              </w:rPr>
            </w:pPr>
            <w:r>
              <w:rPr>
                <w:sz w:val="20"/>
              </w:rPr>
              <w:t>The Chair informed attendees that Nigel Brigden (AFB) and Trevor Evans (HSBC) will be stepping down from the Sub-committee, and thanked them both for their contributions. The Chair welcomed members to submit</w:t>
            </w:r>
          </w:p>
          <w:p>
            <w:pPr>
              <w:pStyle w:val="TableParagraph"/>
              <w:ind w:left="174"/>
              <w:jc w:val="both"/>
              <w:rPr>
                <w:sz w:val="20"/>
              </w:rPr>
            </w:pPr>
            <w:r>
              <w:rPr>
                <w:sz w:val="20"/>
              </w:rPr>
              <w:t>nominations if they were interested in taking over the role of Deputy Chair.</w:t>
            </w:r>
          </w:p>
        </w:tc>
      </w:tr>
      <w:tr>
        <w:trPr>
          <w:trHeight w:val="1274" w:hRule="atLeast"/>
        </w:trPr>
        <w:tc>
          <w:tcPr>
            <w:tcW w:w="1019" w:type="dxa"/>
          </w:tcPr>
          <w:p>
            <w:pPr>
              <w:pStyle w:val="TableParagraph"/>
              <w:spacing w:before="115"/>
              <w:ind w:left="200"/>
              <w:rPr>
                <w:sz w:val="20"/>
              </w:rPr>
            </w:pPr>
            <w:r>
              <w:rPr>
                <w:sz w:val="20"/>
              </w:rPr>
              <w:t>2.</w:t>
            </w:r>
          </w:p>
        </w:tc>
        <w:tc>
          <w:tcPr>
            <w:tcW w:w="8728" w:type="dxa"/>
            <w:gridSpan w:val="2"/>
          </w:tcPr>
          <w:p>
            <w:pPr>
              <w:pStyle w:val="TableParagraph"/>
              <w:spacing w:line="357" w:lineRule="auto" w:before="113"/>
              <w:ind w:left="174" w:right="1060"/>
              <w:rPr>
                <w:i/>
                <w:sz w:val="20"/>
              </w:rPr>
            </w:pPr>
            <w:r>
              <w:rPr>
                <w:b/>
                <w:sz w:val="20"/>
              </w:rPr>
              <w:t>Minutes of 12 September meeting and matters arising </w:t>
            </w:r>
            <w:r>
              <w:rPr>
                <w:i/>
                <w:sz w:val="20"/>
              </w:rPr>
              <w:t>(Chair – Isabelle </w:t>
            </w:r>
            <w:r>
              <w:rPr>
                <w:i/>
                <w:sz w:val="20"/>
              </w:rPr>
              <w:t>Dennigan, RBC)</w:t>
            </w:r>
          </w:p>
          <w:p>
            <w:pPr>
              <w:pStyle w:val="TableParagraph"/>
              <w:spacing w:before="126"/>
              <w:ind w:left="174"/>
              <w:rPr>
                <w:sz w:val="20"/>
              </w:rPr>
            </w:pPr>
            <w:r>
              <w:rPr>
                <w:sz w:val="20"/>
              </w:rPr>
              <w:t>The minutes of the September 2017 meeting were agreed.</w:t>
            </w:r>
          </w:p>
        </w:tc>
      </w:tr>
      <w:tr>
        <w:trPr>
          <w:trHeight w:val="2309" w:hRule="atLeast"/>
        </w:trPr>
        <w:tc>
          <w:tcPr>
            <w:tcW w:w="1019" w:type="dxa"/>
          </w:tcPr>
          <w:p>
            <w:pPr>
              <w:pStyle w:val="TableParagraph"/>
              <w:spacing w:before="115"/>
              <w:ind w:left="200"/>
              <w:rPr>
                <w:sz w:val="20"/>
              </w:rPr>
            </w:pPr>
            <w:r>
              <w:rPr>
                <w:sz w:val="20"/>
              </w:rPr>
              <w:t>3.</w:t>
            </w:r>
          </w:p>
        </w:tc>
        <w:tc>
          <w:tcPr>
            <w:tcW w:w="8728" w:type="dxa"/>
            <w:gridSpan w:val="2"/>
          </w:tcPr>
          <w:p>
            <w:pPr>
              <w:pStyle w:val="TableParagraph"/>
              <w:spacing w:before="113"/>
              <w:ind w:left="174"/>
              <w:jc w:val="both"/>
              <w:rPr>
                <w:i/>
                <w:sz w:val="20"/>
              </w:rPr>
            </w:pPr>
            <w:r>
              <w:rPr>
                <w:b/>
                <w:sz w:val="20"/>
              </w:rPr>
              <w:t>CLS strategic update </w:t>
            </w:r>
            <w:r>
              <w:rPr>
                <w:i/>
                <w:sz w:val="20"/>
              </w:rPr>
              <w:t>(John Hagon &amp; Adam Levine, CLS)</w:t>
            </w:r>
          </w:p>
          <w:p>
            <w:pPr>
              <w:pStyle w:val="TableParagraph"/>
              <w:spacing w:before="8"/>
              <w:rPr>
                <w:rFonts w:ascii="Times New Roman"/>
                <w:sz w:val="20"/>
              </w:rPr>
            </w:pPr>
          </w:p>
          <w:p>
            <w:pPr>
              <w:pStyle w:val="TableParagraph"/>
              <w:spacing w:line="360" w:lineRule="auto"/>
              <w:ind w:left="174" w:right="1683"/>
              <w:jc w:val="both"/>
              <w:rPr>
                <w:sz w:val="20"/>
              </w:rPr>
            </w:pPr>
            <w:r>
              <w:rPr>
                <w:sz w:val="20"/>
              </w:rPr>
              <w:t>John Hagon and Adam Levine presented an update on CLS initiatives, and members discussed the benefits of standardised, automated bilateral netting and same-day gross payment-versus-payment settlement services. It was noted that there could be benefits to FX market participants through capital</w:t>
            </w:r>
          </w:p>
          <w:p>
            <w:pPr>
              <w:pStyle w:val="TableParagraph"/>
              <w:spacing w:line="228" w:lineRule="exact"/>
              <w:ind w:left="174"/>
              <w:jc w:val="both"/>
              <w:rPr>
                <w:sz w:val="20"/>
              </w:rPr>
            </w:pPr>
            <w:r>
              <w:rPr>
                <w:sz w:val="20"/>
              </w:rPr>
              <w:t>and liquidity savings, risk mitigation and operational efficiencies.</w:t>
            </w:r>
          </w:p>
        </w:tc>
      </w:tr>
      <w:tr>
        <w:trPr>
          <w:trHeight w:val="5071" w:hRule="atLeast"/>
        </w:trPr>
        <w:tc>
          <w:tcPr>
            <w:tcW w:w="1019" w:type="dxa"/>
          </w:tcPr>
          <w:p>
            <w:pPr>
              <w:pStyle w:val="TableParagraph"/>
              <w:spacing w:before="115"/>
              <w:ind w:left="200"/>
              <w:rPr>
                <w:sz w:val="20"/>
              </w:rPr>
            </w:pPr>
            <w:r>
              <w:rPr>
                <w:sz w:val="20"/>
              </w:rPr>
              <w:t>4.</w:t>
            </w:r>
          </w:p>
        </w:tc>
        <w:tc>
          <w:tcPr>
            <w:tcW w:w="8728" w:type="dxa"/>
            <w:gridSpan w:val="2"/>
          </w:tcPr>
          <w:p>
            <w:pPr>
              <w:pStyle w:val="TableParagraph"/>
              <w:spacing w:line="360" w:lineRule="auto" w:before="113"/>
              <w:ind w:left="174" w:right="1681"/>
              <w:jc w:val="both"/>
              <w:rPr>
                <w:i/>
                <w:sz w:val="20"/>
              </w:rPr>
            </w:pPr>
            <w:r>
              <w:rPr>
                <w:b/>
                <w:sz w:val="20"/>
              </w:rPr>
              <w:t>RTGS Renewal Project Team </w:t>
            </w:r>
            <w:r>
              <w:rPr>
                <w:sz w:val="20"/>
              </w:rPr>
              <w:t>(</w:t>
            </w:r>
            <w:r>
              <w:rPr>
                <w:i/>
                <w:sz w:val="20"/>
              </w:rPr>
              <w:t>John Jackson &amp; Sara Ward, Bank of </w:t>
            </w:r>
            <w:r>
              <w:rPr>
                <w:i/>
                <w:sz w:val="20"/>
              </w:rPr>
              <w:t>England)</w:t>
            </w:r>
          </w:p>
          <w:p>
            <w:pPr>
              <w:pStyle w:val="TableParagraph"/>
              <w:spacing w:line="360" w:lineRule="auto" w:before="123"/>
              <w:ind w:left="174" w:right="1678"/>
              <w:jc w:val="both"/>
              <w:rPr>
                <w:sz w:val="20"/>
              </w:rPr>
            </w:pPr>
            <w:r>
              <w:rPr>
                <w:sz w:val="20"/>
              </w:rPr>
              <w:t>Sara Ward and John Jackson (Bank of England) provided an update on the RTGS Renewal Programme. It was noted that the Blueprint of the RTGS service was published in May 17, which set out its five key features. Other key announcements included the Bank’s commitment to extend RTGS access to non-bank payment service providers, and the Bank’s direct delivery of the UK’s high value payment system which had previously been provided by</w:t>
            </w:r>
            <w:r>
              <w:rPr>
                <w:spacing w:val="-5"/>
                <w:sz w:val="20"/>
              </w:rPr>
              <w:t> </w:t>
            </w:r>
            <w:r>
              <w:rPr>
                <w:sz w:val="20"/>
              </w:rPr>
              <w:t>CHAPS.</w:t>
            </w:r>
          </w:p>
          <w:p>
            <w:pPr>
              <w:pStyle w:val="TableParagraph"/>
              <w:spacing w:line="360" w:lineRule="auto" w:before="121"/>
              <w:ind w:left="174" w:right="1680"/>
              <w:jc w:val="both"/>
              <w:rPr>
                <w:sz w:val="20"/>
              </w:rPr>
            </w:pPr>
            <w:r>
              <w:rPr>
                <w:sz w:val="20"/>
              </w:rPr>
              <w:t>Sara Ward discussed the programme’s priorities over the next six months, and their engagement with external stakeholders. John Jackson also provided an update on the Bank’s commitment to implementing ISO20022 messaging</w:t>
            </w:r>
            <w:r>
              <w:rPr>
                <w:spacing w:val="10"/>
                <w:sz w:val="20"/>
              </w:rPr>
              <w:t> </w:t>
            </w:r>
            <w:r>
              <w:rPr>
                <w:sz w:val="20"/>
              </w:rPr>
              <w:t>in</w:t>
            </w:r>
            <w:r>
              <w:rPr>
                <w:spacing w:val="11"/>
                <w:sz w:val="20"/>
              </w:rPr>
              <w:t> </w:t>
            </w:r>
            <w:r>
              <w:rPr>
                <w:sz w:val="20"/>
              </w:rPr>
              <w:t>the</w:t>
            </w:r>
            <w:r>
              <w:rPr>
                <w:spacing w:val="11"/>
                <w:sz w:val="20"/>
              </w:rPr>
              <w:t> </w:t>
            </w:r>
            <w:r>
              <w:rPr>
                <w:sz w:val="20"/>
              </w:rPr>
              <w:t>renewed</w:t>
            </w:r>
            <w:r>
              <w:rPr>
                <w:spacing w:val="13"/>
                <w:sz w:val="20"/>
              </w:rPr>
              <w:t> </w:t>
            </w:r>
            <w:r>
              <w:rPr>
                <w:sz w:val="20"/>
              </w:rPr>
              <w:t>RTGS</w:t>
            </w:r>
            <w:r>
              <w:rPr>
                <w:spacing w:val="10"/>
                <w:sz w:val="20"/>
              </w:rPr>
              <w:t> </w:t>
            </w:r>
            <w:r>
              <w:rPr>
                <w:sz w:val="20"/>
              </w:rPr>
              <w:t>service,</w:t>
            </w:r>
            <w:r>
              <w:rPr>
                <w:spacing w:val="11"/>
                <w:sz w:val="20"/>
              </w:rPr>
              <w:t> </w:t>
            </w:r>
            <w:r>
              <w:rPr>
                <w:sz w:val="20"/>
              </w:rPr>
              <w:t>and</w:t>
            </w:r>
            <w:r>
              <w:rPr>
                <w:spacing w:val="12"/>
                <w:sz w:val="20"/>
              </w:rPr>
              <w:t> </w:t>
            </w:r>
            <w:r>
              <w:rPr>
                <w:sz w:val="20"/>
              </w:rPr>
              <w:t>their</w:t>
            </w:r>
            <w:r>
              <w:rPr>
                <w:spacing w:val="12"/>
                <w:sz w:val="20"/>
              </w:rPr>
              <w:t> </w:t>
            </w:r>
            <w:r>
              <w:rPr>
                <w:sz w:val="20"/>
              </w:rPr>
              <w:t>analysis</w:t>
            </w:r>
            <w:r>
              <w:rPr>
                <w:spacing w:val="12"/>
                <w:sz w:val="20"/>
              </w:rPr>
              <w:t> </w:t>
            </w:r>
            <w:r>
              <w:rPr>
                <w:sz w:val="20"/>
              </w:rPr>
              <w:t>on</w:t>
            </w:r>
            <w:r>
              <w:rPr>
                <w:spacing w:val="11"/>
                <w:sz w:val="20"/>
              </w:rPr>
              <w:t> </w:t>
            </w:r>
            <w:r>
              <w:rPr>
                <w:sz w:val="20"/>
              </w:rPr>
              <w:t>the</w:t>
            </w:r>
            <w:r>
              <w:rPr>
                <w:spacing w:val="14"/>
                <w:sz w:val="20"/>
              </w:rPr>
              <w:t> </w:t>
            </w:r>
            <w:r>
              <w:rPr>
                <w:sz w:val="20"/>
              </w:rPr>
              <w:t>potential</w:t>
            </w:r>
          </w:p>
          <w:p>
            <w:pPr>
              <w:pStyle w:val="TableParagraph"/>
              <w:spacing w:line="210" w:lineRule="exact"/>
              <w:ind w:left="174"/>
              <w:jc w:val="both"/>
              <w:rPr>
                <w:sz w:val="20"/>
              </w:rPr>
            </w:pPr>
            <w:r>
              <w:rPr>
                <w:sz w:val="20"/>
              </w:rPr>
              <w:t>to</w:t>
            </w:r>
            <w:r>
              <w:rPr>
                <w:spacing w:val="10"/>
                <w:sz w:val="20"/>
              </w:rPr>
              <w:t> </w:t>
            </w:r>
            <w:r>
              <w:rPr>
                <w:sz w:val="20"/>
              </w:rPr>
              <w:t>introduce</w:t>
            </w:r>
            <w:r>
              <w:rPr>
                <w:spacing w:val="11"/>
                <w:sz w:val="20"/>
              </w:rPr>
              <w:t> </w:t>
            </w:r>
            <w:r>
              <w:rPr>
                <w:sz w:val="20"/>
              </w:rPr>
              <w:t>cross-border</w:t>
            </w:r>
            <w:r>
              <w:rPr>
                <w:spacing w:val="12"/>
                <w:sz w:val="20"/>
              </w:rPr>
              <w:t> </w:t>
            </w:r>
            <w:r>
              <w:rPr>
                <w:sz w:val="20"/>
              </w:rPr>
              <w:t>and</w:t>
            </w:r>
            <w:r>
              <w:rPr>
                <w:spacing w:val="9"/>
                <w:sz w:val="20"/>
              </w:rPr>
              <w:t> </w:t>
            </w:r>
            <w:r>
              <w:rPr>
                <w:sz w:val="20"/>
              </w:rPr>
              <w:t>cross-ledger</w:t>
            </w:r>
            <w:r>
              <w:rPr>
                <w:spacing w:val="12"/>
                <w:sz w:val="20"/>
              </w:rPr>
              <w:t> </w:t>
            </w:r>
            <w:r>
              <w:rPr>
                <w:sz w:val="20"/>
              </w:rPr>
              <w:t>synchronisation</w:t>
            </w:r>
            <w:r>
              <w:rPr>
                <w:spacing w:val="11"/>
                <w:sz w:val="20"/>
              </w:rPr>
              <w:t> </w:t>
            </w:r>
            <w:r>
              <w:rPr>
                <w:sz w:val="20"/>
              </w:rPr>
              <w:t>of</w:t>
            </w:r>
            <w:r>
              <w:rPr>
                <w:spacing w:val="12"/>
                <w:sz w:val="20"/>
              </w:rPr>
              <w:t> </w:t>
            </w:r>
            <w:r>
              <w:rPr>
                <w:sz w:val="20"/>
              </w:rPr>
              <w:t>payments</w:t>
            </w:r>
            <w:r>
              <w:rPr>
                <w:spacing w:val="12"/>
                <w:sz w:val="20"/>
              </w:rPr>
              <w:t> </w:t>
            </w:r>
            <w:r>
              <w:rPr>
                <w:sz w:val="20"/>
              </w:rPr>
              <w:t>at</w:t>
            </w:r>
            <w:r>
              <w:rPr>
                <w:spacing w:val="13"/>
                <w:sz w:val="20"/>
              </w:rPr>
              <w:t> </w:t>
            </w:r>
            <w:r>
              <w:rPr>
                <w:sz w:val="20"/>
              </w:rPr>
              <w:t>a</w:t>
            </w:r>
          </w:p>
        </w:tc>
      </w:tr>
    </w:tbl>
    <w:p>
      <w:pPr>
        <w:spacing w:after="0" w:line="210" w:lineRule="exact"/>
        <w:jc w:val="both"/>
        <w:rPr>
          <w:sz w:val="20"/>
        </w:rPr>
        <w:sectPr>
          <w:pgSz w:w="11910" w:h="16840"/>
          <w:pgMar w:top="1420" w:bottom="280" w:left="960" w:right="980"/>
        </w:sectPr>
      </w:pPr>
    </w:p>
    <w:tbl>
      <w:tblPr>
        <w:tblW w:w="0" w:type="auto"/>
        <w:jc w:val="left"/>
        <w:tblInd w:w="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79"/>
        <w:gridCol w:w="7393"/>
        <w:gridCol w:w="1508"/>
      </w:tblGrid>
      <w:tr>
        <w:trPr>
          <w:trHeight w:val="349" w:hRule="atLeast"/>
        </w:trPr>
        <w:tc>
          <w:tcPr>
            <w:tcW w:w="779" w:type="dxa"/>
          </w:tcPr>
          <w:p>
            <w:pPr>
              <w:pStyle w:val="TableParagraph"/>
              <w:rPr>
                <w:rFonts w:ascii="Times New Roman"/>
                <w:sz w:val="18"/>
              </w:rPr>
            </w:pPr>
          </w:p>
        </w:tc>
        <w:tc>
          <w:tcPr>
            <w:tcW w:w="7393" w:type="dxa"/>
          </w:tcPr>
          <w:p>
            <w:pPr>
              <w:pStyle w:val="TableParagraph"/>
              <w:spacing w:line="223" w:lineRule="exact"/>
              <w:ind w:left="414"/>
              <w:rPr>
                <w:sz w:val="20"/>
              </w:rPr>
            </w:pPr>
            <w:r>
              <w:rPr>
                <w:sz w:val="20"/>
              </w:rPr>
              <w:t>later stage.</w:t>
            </w:r>
          </w:p>
        </w:tc>
        <w:tc>
          <w:tcPr>
            <w:tcW w:w="1508" w:type="dxa"/>
          </w:tcPr>
          <w:p>
            <w:pPr>
              <w:pStyle w:val="TableParagraph"/>
              <w:rPr>
                <w:rFonts w:ascii="Times New Roman"/>
                <w:sz w:val="18"/>
              </w:rPr>
            </w:pPr>
          </w:p>
        </w:tc>
      </w:tr>
      <w:tr>
        <w:trPr>
          <w:trHeight w:val="2315" w:hRule="atLeast"/>
        </w:trPr>
        <w:tc>
          <w:tcPr>
            <w:tcW w:w="779" w:type="dxa"/>
          </w:tcPr>
          <w:p>
            <w:pPr>
              <w:pStyle w:val="TableParagraph"/>
              <w:spacing w:before="121"/>
              <w:ind w:left="200"/>
              <w:rPr>
                <w:sz w:val="20"/>
              </w:rPr>
            </w:pPr>
            <w:r>
              <w:rPr>
                <w:sz w:val="20"/>
              </w:rPr>
              <w:t>5.</w:t>
            </w:r>
          </w:p>
        </w:tc>
        <w:tc>
          <w:tcPr>
            <w:tcW w:w="7393" w:type="dxa"/>
          </w:tcPr>
          <w:p>
            <w:pPr>
              <w:pStyle w:val="TableParagraph"/>
              <w:spacing w:before="119"/>
              <w:ind w:left="414"/>
              <w:jc w:val="both"/>
              <w:rPr>
                <w:i/>
                <w:sz w:val="20"/>
              </w:rPr>
            </w:pPr>
            <w:r>
              <w:rPr>
                <w:b/>
                <w:sz w:val="20"/>
              </w:rPr>
              <w:t>SWIFT industry update </w:t>
            </w:r>
            <w:r>
              <w:rPr>
                <w:i/>
                <w:sz w:val="20"/>
              </w:rPr>
              <w:t>(Joe Halberstadt, SWIFT)</w:t>
            </w:r>
          </w:p>
          <w:p>
            <w:pPr>
              <w:pStyle w:val="TableParagraph"/>
              <w:spacing w:before="5"/>
              <w:rPr>
                <w:rFonts w:ascii="Times New Roman"/>
                <w:sz w:val="20"/>
              </w:rPr>
            </w:pPr>
          </w:p>
          <w:p>
            <w:pPr>
              <w:pStyle w:val="TableParagraph"/>
              <w:spacing w:line="360" w:lineRule="auto" w:before="1"/>
              <w:ind w:left="414" w:right="107"/>
              <w:jc w:val="both"/>
              <w:rPr>
                <w:sz w:val="20"/>
              </w:rPr>
            </w:pPr>
            <w:r>
              <w:rPr>
                <w:sz w:val="20"/>
              </w:rPr>
              <w:t>Joe Halberstadt (SWIFT) provided an industry update, outlining the Standard Releases due to go-live soon and the other Standard Releases in the pipeline for 2018 and 2019, as well as touching on the regulatory impacts of MIFID II client reporting. Members also discussed ways to mitigate outstanding FX</w:t>
            </w:r>
          </w:p>
          <w:p>
            <w:pPr>
              <w:pStyle w:val="TableParagraph"/>
              <w:ind w:left="414"/>
              <w:jc w:val="both"/>
              <w:rPr>
                <w:sz w:val="20"/>
              </w:rPr>
            </w:pPr>
            <w:r>
              <w:rPr>
                <w:sz w:val="20"/>
              </w:rPr>
              <w:t>settlement risk.</w:t>
            </w:r>
          </w:p>
        </w:tc>
        <w:tc>
          <w:tcPr>
            <w:tcW w:w="1508" w:type="dxa"/>
          </w:tcPr>
          <w:p>
            <w:pPr>
              <w:pStyle w:val="TableParagraph"/>
              <w:rPr>
                <w:rFonts w:ascii="Times New Roman"/>
                <w:sz w:val="18"/>
              </w:rPr>
            </w:pPr>
          </w:p>
        </w:tc>
      </w:tr>
      <w:tr>
        <w:trPr>
          <w:trHeight w:val="4966" w:hRule="atLeast"/>
        </w:trPr>
        <w:tc>
          <w:tcPr>
            <w:tcW w:w="779" w:type="dxa"/>
          </w:tcPr>
          <w:p>
            <w:pPr>
              <w:pStyle w:val="TableParagraph"/>
              <w:spacing w:before="115"/>
              <w:ind w:left="200"/>
              <w:rPr>
                <w:sz w:val="20"/>
              </w:rPr>
            </w:pPr>
            <w:r>
              <w:rPr>
                <w:sz w:val="20"/>
              </w:rPr>
              <w:t>6.</w:t>
            </w:r>
          </w:p>
        </w:tc>
        <w:tc>
          <w:tcPr>
            <w:tcW w:w="7393" w:type="dxa"/>
          </w:tcPr>
          <w:p>
            <w:pPr>
              <w:pStyle w:val="TableParagraph"/>
              <w:spacing w:before="113"/>
              <w:ind w:left="414"/>
              <w:rPr>
                <w:i/>
                <w:sz w:val="20"/>
              </w:rPr>
            </w:pPr>
            <w:r>
              <w:rPr>
                <w:b/>
                <w:sz w:val="20"/>
              </w:rPr>
              <w:t>Business Resiliency </w:t>
            </w:r>
            <w:r>
              <w:rPr>
                <w:i/>
                <w:sz w:val="20"/>
              </w:rPr>
              <w:t>(Sharon Wallis, Bank of</w:t>
            </w:r>
            <w:r>
              <w:rPr>
                <w:i/>
                <w:spacing w:val="-16"/>
                <w:sz w:val="20"/>
              </w:rPr>
              <w:t> </w:t>
            </w:r>
            <w:r>
              <w:rPr>
                <w:i/>
                <w:sz w:val="20"/>
              </w:rPr>
              <w:t>England)</w:t>
            </w:r>
          </w:p>
          <w:p>
            <w:pPr>
              <w:pStyle w:val="TableParagraph"/>
              <w:spacing w:before="8"/>
              <w:rPr>
                <w:rFonts w:ascii="Times New Roman"/>
                <w:sz w:val="20"/>
              </w:rPr>
            </w:pPr>
          </w:p>
          <w:p>
            <w:pPr>
              <w:pStyle w:val="TableParagraph"/>
              <w:spacing w:line="360" w:lineRule="auto"/>
              <w:ind w:left="414" w:right="110"/>
              <w:jc w:val="both"/>
              <w:rPr>
                <w:sz w:val="20"/>
              </w:rPr>
            </w:pPr>
            <w:r>
              <w:rPr>
                <w:sz w:val="20"/>
              </w:rPr>
              <w:t>Sharon Wallis (Bank of England) provided an overview of the work of the Sector Resilience Team, outlining their industry engagement, the sector response framework, and sector exercising</w:t>
            </w:r>
            <w:r>
              <w:rPr>
                <w:spacing w:val="-7"/>
                <w:sz w:val="20"/>
              </w:rPr>
              <w:t> </w:t>
            </w:r>
            <w:r>
              <w:rPr>
                <w:sz w:val="20"/>
              </w:rPr>
              <w:t>programme.</w:t>
            </w:r>
          </w:p>
          <w:p>
            <w:pPr>
              <w:pStyle w:val="TableParagraph"/>
              <w:spacing w:line="360" w:lineRule="auto" w:before="120"/>
              <w:ind w:left="414" w:right="107"/>
              <w:jc w:val="both"/>
              <w:rPr>
                <w:sz w:val="20"/>
              </w:rPr>
            </w:pPr>
            <w:r>
              <w:rPr>
                <w:sz w:val="20"/>
              </w:rPr>
              <w:t>Sharon Wallis highlighted the ‘Blackbox’ exercise that was undertaken in January 2015, and the Sub-committee’s role in producing a FX Resiliency Playbook and the FX Infrastructure Dependency</w:t>
            </w:r>
            <w:r>
              <w:rPr>
                <w:spacing w:val="-5"/>
                <w:sz w:val="20"/>
              </w:rPr>
              <w:t> </w:t>
            </w:r>
            <w:r>
              <w:rPr>
                <w:sz w:val="20"/>
              </w:rPr>
              <w:t>Report.</w:t>
            </w:r>
          </w:p>
          <w:p>
            <w:pPr>
              <w:pStyle w:val="TableParagraph"/>
              <w:spacing w:line="360" w:lineRule="auto" w:before="119"/>
              <w:ind w:left="414" w:right="105"/>
              <w:jc w:val="both"/>
              <w:rPr>
                <w:sz w:val="20"/>
              </w:rPr>
            </w:pPr>
            <w:r>
              <w:rPr>
                <w:sz w:val="20"/>
              </w:rPr>
              <w:t>It was noted that a proposal will be taken to the FXJSC Main Committee to establish a governance process, and the level of involvement of the Sub- committee in maintaining the FX Resiliency Playbook. Members agreed it would be beneficial for the Sub-committee to review the deliverables periodically, subject to approval of the governance process by the Main</w:t>
            </w:r>
          </w:p>
          <w:p>
            <w:pPr>
              <w:pStyle w:val="TableParagraph"/>
              <w:spacing w:before="1"/>
              <w:ind w:left="414"/>
              <w:rPr>
                <w:sz w:val="20"/>
              </w:rPr>
            </w:pPr>
            <w:r>
              <w:rPr>
                <w:sz w:val="20"/>
              </w:rPr>
              <w:t>Committee.</w:t>
            </w:r>
          </w:p>
        </w:tc>
        <w:tc>
          <w:tcPr>
            <w:tcW w:w="1508" w:type="dxa"/>
          </w:tcPr>
          <w:p>
            <w:pPr>
              <w:pStyle w:val="TableParagraph"/>
              <w:rPr>
                <w:rFonts w:ascii="Times New Roman"/>
                <w:sz w:val="18"/>
              </w:rPr>
            </w:pPr>
          </w:p>
        </w:tc>
      </w:tr>
      <w:tr>
        <w:trPr>
          <w:trHeight w:val="3464" w:hRule="atLeast"/>
        </w:trPr>
        <w:tc>
          <w:tcPr>
            <w:tcW w:w="779" w:type="dxa"/>
          </w:tcPr>
          <w:p>
            <w:pPr>
              <w:pStyle w:val="TableParagraph"/>
              <w:spacing w:before="115"/>
              <w:ind w:left="200"/>
              <w:rPr>
                <w:sz w:val="20"/>
              </w:rPr>
            </w:pPr>
            <w:r>
              <w:rPr>
                <w:sz w:val="20"/>
              </w:rPr>
              <w:t>7.</w:t>
            </w:r>
          </w:p>
        </w:tc>
        <w:tc>
          <w:tcPr>
            <w:tcW w:w="7393" w:type="dxa"/>
          </w:tcPr>
          <w:p>
            <w:pPr>
              <w:pStyle w:val="TableParagraph"/>
              <w:spacing w:before="113"/>
              <w:ind w:left="414"/>
              <w:jc w:val="both"/>
              <w:rPr>
                <w:i/>
                <w:sz w:val="20"/>
              </w:rPr>
            </w:pPr>
            <w:r>
              <w:rPr>
                <w:b/>
                <w:sz w:val="20"/>
              </w:rPr>
              <w:t>Regulatory update </w:t>
            </w:r>
            <w:r>
              <w:rPr>
                <w:i/>
                <w:sz w:val="20"/>
              </w:rPr>
              <w:t>(Monica Rodriguez-Sanchez, FCA)</w:t>
            </w:r>
          </w:p>
          <w:p>
            <w:pPr>
              <w:pStyle w:val="TableParagraph"/>
              <w:spacing w:before="8"/>
              <w:rPr>
                <w:rFonts w:ascii="Times New Roman"/>
                <w:sz w:val="20"/>
              </w:rPr>
            </w:pPr>
          </w:p>
          <w:p>
            <w:pPr>
              <w:pStyle w:val="TableParagraph"/>
              <w:spacing w:line="360" w:lineRule="auto"/>
              <w:ind w:left="414" w:right="106"/>
              <w:jc w:val="both"/>
              <w:rPr>
                <w:sz w:val="20"/>
              </w:rPr>
            </w:pPr>
            <w:r>
              <w:rPr>
                <w:sz w:val="20"/>
              </w:rPr>
              <w:t>Monica Rodriguez-Sanchez (FCA) noted that the FCA has recently published a Consultation Paper on Industry Codes of Conduct and Discussion Paper on FCA Principle 5. The deadline for responses is 5 February 2018. The FXJSC Secretariat agreed to circulate the link of the consultation paper to the Sub- committee members.</w:t>
            </w:r>
          </w:p>
          <w:p>
            <w:pPr>
              <w:pStyle w:val="TableParagraph"/>
              <w:spacing w:line="340" w:lineRule="atLeast" w:before="9"/>
              <w:ind w:left="414" w:right="114"/>
              <w:jc w:val="both"/>
              <w:rPr>
                <w:sz w:val="20"/>
              </w:rPr>
            </w:pPr>
            <w:r>
              <w:rPr>
                <w:sz w:val="20"/>
              </w:rPr>
              <w:t>It was agreed that following the MIFID II discussion at the previous meeting, the Secretariat would circulate further material to members produced by the FCA.</w:t>
            </w:r>
          </w:p>
        </w:tc>
        <w:tc>
          <w:tcPr>
            <w:tcW w:w="1508" w:type="dxa"/>
          </w:tcPr>
          <w:p>
            <w:pPr>
              <w:pStyle w:val="TableParagraph"/>
              <w:spacing w:before="113"/>
              <w:ind w:left="110"/>
              <w:rPr>
                <w:b/>
                <w:sz w:val="20"/>
              </w:rPr>
            </w:pPr>
            <w:r>
              <w:rPr>
                <w:b/>
                <w:sz w:val="20"/>
              </w:rPr>
              <w:t>ACT FXJSC</w:t>
            </w:r>
          </w:p>
          <w:p>
            <w:pPr>
              <w:pStyle w:val="TableParagraph"/>
              <w:spacing w:line="360" w:lineRule="auto" w:before="116"/>
              <w:ind w:left="110" w:right="177"/>
              <w:rPr>
                <w:sz w:val="20"/>
              </w:rPr>
            </w:pPr>
            <w:r>
              <w:rPr>
                <w:b/>
                <w:sz w:val="20"/>
              </w:rPr>
              <w:t>Secretariat – </w:t>
            </w:r>
            <w:r>
              <w:rPr>
                <w:sz w:val="20"/>
              </w:rPr>
              <w:t>to circulate MIFID II</w:t>
            </w:r>
          </w:p>
          <w:p>
            <w:pPr>
              <w:pStyle w:val="TableParagraph"/>
              <w:spacing w:line="357" w:lineRule="auto" w:before="2"/>
              <w:ind w:left="110" w:right="444"/>
              <w:rPr>
                <w:sz w:val="20"/>
              </w:rPr>
            </w:pPr>
            <w:r>
              <w:rPr>
                <w:sz w:val="20"/>
              </w:rPr>
              <w:t>material to members.</w:t>
            </w:r>
          </w:p>
        </w:tc>
      </w:tr>
      <w:tr>
        <w:trPr>
          <w:trHeight w:val="2310" w:hRule="atLeast"/>
        </w:trPr>
        <w:tc>
          <w:tcPr>
            <w:tcW w:w="779" w:type="dxa"/>
          </w:tcPr>
          <w:p>
            <w:pPr>
              <w:pStyle w:val="TableParagraph"/>
              <w:spacing w:before="114"/>
              <w:ind w:left="200"/>
              <w:rPr>
                <w:sz w:val="20"/>
              </w:rPr>
            </w:pPr>
            <w:r>
              <w:rPr>
                <w:sz w:val="20"/>
              </w:rPr>
              <w:t>8.</w:t>
            </w:r>
          </w:p>
        </w:tc>
        <w:tc>
          <w:tcPr>
            <w:tcW w:w="7393" w:type="dxa"/>
          </w:tcPr>
          <w:p>
            <w:pPr>
              <w:pStyle w:val="TableParagraph"/>
              <w:spacing w:before="112"/>
              <w:ind w:left="414"/>
              <w:jc w:val="both"/>
              <w:rPr>
                <w:b/>
                <w:sz w:val="20"/>
              </w:rPr>
            </w:pPr>
            <w:r>
              <w:rPr>
                <w:b/>
                <w:sz w:val="20"/>
              </w:rPr>
              <w:t>Education and Outreach</w:t>
            </w:r>
          </w:p>
          <w:p>
            <w:pPr>
              <w:pStyle w:val="TableParagraph"/>
              <w:spacing w:before="6"/>
              <w:rPr>
                <w:rFonts w:ascii="Times New Roman"/>
                <w:sz w:val="20"/>
              </w:rPr>
            </w:pPr>
          </w:p>
          <w:p>
            <w:pPr>
              <w:pStyle w:val="TableParagraph"/>
              <w:ind w:left="774"/>
              <w:rPr>
                <w:i/>
                <w:sz w:val="20"/>
              </w:rPr>
            </w:pPr>
            <w:r>
              <w:rPr>
                <w:sz w:val="20"/>
              </w:rPr>
              <w:t>a. Investment Association update </w:t>
            </w:r>
            <w:r>
              <w:rPr>
                <w:i/>
                <w:sz w:val="20"/>
              </w:rPr>
              <w:t>(David Broadway, IA)</w:t>
            </w:r>
          </w:p>
          <w:p>
            <w:pPr>
              <w:pStyle w:val="TableParagraph"/>
              <w:spacing w:before="8"/>
              <w:rPr>
                <w:rFonts w:ascii="Times New Roman"/>
                <w:sz w:val="20"/>
              </w:rPr>
            </w:pPr>
          </w:p>
          <w:p>
            <w:pPr>
              <w:pStyle w:val="TableParagraph"/>
              <w:spacing w:line="360" w:lineRule="auto"/>
              <w:ind w:left="414" w:right="105"/>
              <w:jc w:val="both"/>
              <w:rPr>
                <w:sz w:val="20"/>
              </w:rPr>
            </w:pPr>
            <w:r>
              <w:rPr>
                <w:sz w:val="20"/>
              </w:rPr>
              <w:t>David Broadway (Investment Association) provided an update on some of the main operational matters, in particular discussing the margin requirements for FX  transactions  under  EMIR  that are  due to take effect on 3 January</w:t>
            </w:r>
            <w:r>
              <w:rPr>
                <w:spacing w:val="-28"/>
                <w:sz w:val="20"/>
              </w:rPr>
              <w:t> </w:t>
            </w:r>
            <w:r>
              <w:rPr>
                <w:sz w:val="20"/>
              </w:rPr>
              <w:t>2018,</w:t>
            </w:r>
          </w:p>
          <w:p>
            <w:pPr>
              <w:pStyle w:val="TableParagraph"/>
              <w:spacing w:line="209" w:lineRule="exact"/>
              <w:ind w:left="414"/>
              <w:jc w:val="both"/>
              <w:rPr>
                <w:sz w:val="20"/>
              </w:rPr>
            </w:pPr>
            <w:r>
              <w:rPr>
                <w:sz w:val="20"/>
              </w:rPr>
              <w:t>and  the  news  that  regulators  were  planning  to  remove  </w:t>
            </w:r>
            <w:r>
              <w:rPr>
                <w:spacing w:val="10"/>
                <w:sz w:val="20"/>
              </w:rPr>
              <w:t> </w:t>
            </w:r>
            <w:r>
              <w:rPr>
                <w:sz w:val="20"/>
              </w:rPr>
              <w:t>the  requirement</w:t>
            </w:r>
          </w:p>
        </w:tc>
        <w:tc>
          <w:tcPr>
            <w:tcW w:w="1508" w:type="dxa"/>
          </w:tcPr>
          <w:p>
            <w:pPr>
              <w:pStyle w:val="TableParagraph"/>
              <w:rPr>
                <w:rFonts w:ascii="Times New Roman"/>
                <w:sz w:val="18"/>
              </w:rPr>
            </w:pPr>
          </w:p>
        </w:tc>
      </w:tr>
    </w:tbl>
    <w:p>
      <w:pPr>
        <w:spacing w:after="0"/>
        <w:rPr>
          <w:rFonts w:ascii="Times New Roman"/>
          <w:sz w:val="18"/>
        </w:rPr>
        <w:sectPr>
          <w:pgSz w:w="11910" w:h="16840"/>
          <w:pgMar w:top="1420" w:bottom="280" w:left="960" w:right="980"/>
        </w:sectPr>
      </w:pPr>
    </w:p>
    <w:tbl>
      <w:tblPr>
        <w:tblW w:w="0" w:type="auto"/>
        <w:jc w:val="left"/>
        <w:tblInd w:w="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79"/>
        <w:gridCol w:w="7487"/>
      </w:tblGrid>
      <w:tr>
        <w:trPr>
          <w:trHeight w:val="8363" w:hRule="atLeast"/>
        </w:trPr>
        <w:tc>
          <w:tcPr>
            <w:tcW w:w="779" w:type="dxa"/>
          </w:tcPr>
          <w:p>
            <w:pPr>
              <w:pStyle w:val="TableParagraph"/>
              <w:rPr>
                <w:rFonts w:ascii="Times New Roman"/>
                <w:sz w:val="18"/>
              </w:rPr>
            </w:pPr>
          </w:p>
        </w:tc>
        <w:tc>
          <w:tcPr>
            <w:tcW w:w="7487" w:type="dxa"/>
          </w:tcPr>
          <w:p>
            <w:pPr>
              <w:pStyle w:val="TableParagraph"/>
              <w:spacing w:line="223" w:lineRule="exact"/>
              <w:ind w:left="414"/>
              <w:jc w:val="both"/>
              <w:rPr>
                <w:sz w:val="20"/>
              </w:rPr>
            </w:pPr>
            <w:r>
              <w:rPr>
                <w:sz w:val="20"/>
              </w:rPr>
              <w:t>specific to physically settled FX forwards.</w:t>
            </w:r>
          </w:p>
          <w:p>
            <w:pPr>
              <w:pStyle w:val="TableParagraph"/>
              <w:spacing w:before="3"/>
              <w:rPr>
                <w:rFonts w:ascii="Times New Roman"/>
                <w:sz w:val="20"/>
              </w:rPr>
            </w:pPr>
          </w:p>
          <w:p>
            <w:pPr>
              <w:pStyle w:val="TableParagraph"/>
              <w:numPr>
                <w:ilvl w:val="0"/>
                <w:numId w:val="1"/>
              </w:numPr>
              <w:tabs>
                <w:tab w:pos="1135" w:val="left" w:leader="none"/>
              </w:tabs>
              <w:spacing w:line="240" w:lineRule="auto" w:before="0" w:after="0"/>
              <w:ind w:left="1134" w:right="0" w:hanging="361"/>
              <w:jc w:val="both"/>
              <w:rPr>
                <w:i/>
                <w:sz w:val="20"/>
              </w:rPr>
            </w:pPr>
            <w:r>
              <w:rPr>
                <w:sz w:val="20"/>
              </w:rPr>
              <w:t>UK Finance update </w:t>
            </w:r>
            <w:r>
              <w:rPr>
                <w:i/>
                <w:sz w:val="20"/>
              </w:rPr>
              <w:t>(Andrew Rogan, UK</w:t>
            </w:r>
            <w:r>
              <w:rPr>
                <w:i/>
                <w:spacing w:val="-2"/>
                <w:sz w:val="20"/>
              </w:rPr>
              <w:t> </w:t>
            </w:r>
            <w:r>
              <w:rPr>
                <w:i/>
                <w:sz w:val="20"/>
              </w:rPr>
              <w:t>Finance)</w:t>
            </w:r>
          </w:p>
          <w:p>
            <w:pPr>
              <w:pStyle w:val="TableParagraph"/>
              <w:spacing w:before="6"/>
              <w:rPr>
                <w:rFonts w:ascii="Times New Roman"/>
                <w:sz w:val="20"/>
              </w:rPr>
            </w:pPr>
          </w:p>
          <w:p>
            <w:pPr>
              <w:pStyle w:val="TableParagraph"/>
              <w:spacing w:line="360" w:lineRule="auto"/>
              <w:ind w:left="414" w:right="200"/>
              <w:jc w:val="both"/>
              <w:rPr>
                <w:sz w:val="20"/>
              </w:rPr>
            </w:pPr>
            <w:r>
              <w:rPr>
                <w:sz w:val="20"/>
              </w:rPr>
              <w:t>Andrew Rogan (UK Finance) provided an update on some of the key political and regulatory developments around Brexit. It was noted that UK Finance were considering possible arrangements for data flows between jurisdictions, and supervisory models between the UK and EU authorities to preserve financial stability.</w:t>
            </w:r>
          </w:p>
          <w:p>
            <w:pPr>
              <w:pStyle w:val="TableParagraph"/>
              <w:numPr>
                <w:ilvl w:val="0"/>
                <w:numId w:val="1"/>
              </w:numPr>
              <w:tabs>
                <w:tab w:pos="1135" w:val="left" w:leader="none"/>
              </w:tabs>
              <w:spacing w:line="240" w:lineRule="auto" w:before="118" w:after="0"/>
              <w:ind w:left="1134" w:right="0" w:hanging="361"/>
              <w:jc w:val="both"/>
              <w:rPr>
                <w:i/>
                <w:sz w:val="20"/>
              </w:rPr>
            </w:pPr>
            <w:r>
              <w:rPr>
                <w:sz w:val="20"/>
              </w:rPr>
              <w:t>Association of Foreign Banks update </w:t>
            </w:r>
            <w:r>
              <w:rPr>
                <w:i/>
                <w:sz w:val="20"/>
              </w:rPr>
              <w:t>(Nigel Brigden,</w:t>
            </w:r>
            <w:r>
              <w:rPr>
                <w:i/>
                <w:spacing w:val="1"/>
                <w:sz w:val="20"/>
              </w:rPr>
              <w:t> </w:t>
            </w:r>
            <w:r>
              <w:rPr>
                <w:i/>
                <w:sz w:val="20"/>
              </w:rPr>
              <w:t>AFB)</w:t>
            </w:r>
          </w:p>
          <w:p>
            <w:pPr>
              <w:pStyle w:val="TableParagraph"/>
              <w:spacing w:before="8"/>
              <w:rPr>
                <w:rFonts w:ascii="Times New Roman"/>
                <w:sz w:val="20"/>
              </w:rPr>
            </w:pPr>
          </w:p>
          <w:p>
            <w:pPr>
              <w:pStyle w:val="TableParagraph"/>
              <w:spacing w:line="360" w:lineRule="auto"/>
              <w:ind w:left="414" w:right="260"/>
              <w:rPr>
                <w:sz w:val="20"/>
              </w:rPr>
            </w:pPr>
            <w:r>
              <w:rPr>
                <w:sz w:val="20"/>
              </w:rPr>
              <w:t>Nigel Brigden (Association of Foreign Banks) provided an update on some of the main AFB matters. This included Brexit monitoring and member banks’ accessibility to TARGET2, developments of distributed ledger technology in trade finance, and members’ preparedness for the General Data Protection Regulation that will be implemented in Q2 2018.</w:t>
            </w:r>
          </w:p>
          <w:p>
            <w:pPr>
              <w:pStyle w:val="TableParagraph"/>
              <w:spacing w:before="2"/>
              <w:rPr>
                <w:rFonts w:ascii="Times New Roman"/>
                <w:sz w:val="24"/>
              </w:rPr>
            </w:pPr>
          </w:p>
          <w:p>
            <w:pPr>
              <w:pStyle w:val="TableParagraph"/>
              <w:numPr>
                <w:ilvl w:val="0"/>
                <w:numId w:val="1"/>
              </w:numPr>
              <w:tabs>
                <w:tab w:pos="1135" w:val="left" w:leader="none"/>
              </w:tabs>
              <w:spacing w:line="240" w:lineRule="auto" w:before="0" w:after="0"/>
              <w:ind w:left="1134" w:right="0" w:hanging="361"/>
              <w:jc w:val="both"/>
              <w:rPr>
                <w:i/>
                <w:sz w:val="20"/>
              </w:rPr>
            </w:pPr>
            <w:r>
              <w:rPr>
                <w:sz w:val="20"/>
              </w:rPr>
              <w:t>GFXD update </w:t>
            </w:r>
            <w:r>
              <w:rPr>
                <w:i/>
                <w:sz w:val="20"/>
              </w:rPr>
              <w:t>(Will Deighton, Societe</w:t>
            </w:r>
            <w:r>
              <w:rPr>
                <w:i/>
                <w:spacing w:val="-13"/>
                <w:sz w:val="20"/>
              </w:rPr>
              <w:t> </w:t>
            </w:r>
            <w:r>
              <w:rPr>
                <w:i/>
                <w:sz w:val="20"/>
              </w:rPr>
              <w:t>Generale)</w:t>
            </w:r>
          </w:p>
          <w:p>
            <w:pPr>
              <w:pStyle w:val="TableParagraph"/>
              <w:spacing w:before="8"/>
              <w:rPr>
                <w:rFonts w:ascii="Times New Roman"/>
                <w:sz w:val="20"/>
              </w:rPr>
            </w:pPr>
          </w:p>
          <w:p>
            <w:pPr>
              <w:pStyle w:val="TableParagraph"/>
              <w:spacing w:line="360" w:lineRule="auto"/>
              <w:ind w:left="414" w:right="197"/>
              <w:jc w:val="both"/>
              <w:rPr>
                <w:sz w:val="20"/>
              </w:rPr>
            </w:pPr>
            <w:r>
              <w:rPr>
                <w:sz w:val="20"/>
              </w:rPr>
              <w:t>Will Deighton (Societe Generale) provided an update on the most recent GFXD meeting, noting topics of discussion included: firms’ approaches to MIFID II requirements, and the upcoming SWIFT Standard</w:t>
            </w:r>
            <w:r>
              <w:rPr>
                <w:spacing w:val="-10"/>
                <w:sz w:val="20"/>
              </w:rPr>
              <w:t> </w:t>
            </w:r>
            <w:r>
              <w:rPr>
                <w:sz w:val="20"/>
              </w:rPr>
              <w:t>Releases.</w:t>
            </w:r>
          </w:p>
          <w:p>
            <w:pPr>
              <w:pStyle w:val="TableParagraph"/>
              <w:numPr>
                <w:ilvl w:val="0"/>
                <w:numId w:val="1"/>
              </w:numPr>
              <w:tabs>
                <w:tab w:pos="1135" w:val="left" w:leader="none"/>
              </w:tabs>
              <w:spacing w:line="240" w:lineRule="auto" w:before="117" w:after="0"/>
              <w:ind w:left="1134" w:right="0" w:hanging="361"/>
              <w:jc w:val="both"/>
              <w:rPr>
                <w:i/>
                <w:sz w:val="20"/>
              </w:rPr>
            </w:pPr>
            <w:r>
              <w:rPr>
                <w:sz w:val="20"/>
              </w:rPr>
              <w:t>ECB OMG update </w:t>
            </w:r>
            <w:r>
              <w:rPr>
                <w:i/>
                <w:sz w:val="20"/>
              </w:rPr>
              <w:t>(Will Deighton, Societe</w:t>
            </w:r>
            <w:r>
              <w:rPr>
                <w:i/>
                <w:spacing w:val="-5"/>
                <w:sz w:val="20"/>
              </w:rPr>
              <w:t> </w:t>
            </w:r>
            <w:r>
              <w:rPr>
                <w:i/>
                <w:sz w:val="20"/>
              </w:rPr>
              <w:t>Generale)</w:t>
            </w:r>
          </w:p>
          <w:p>
            <w:pPr>
              <w:pStyle w:val="TableParagraph"/>
              <w:spacing w:before="8"/>
              <w:rPr>
                <w:rFonts w:ascii="Times New Roman"/>
                <w:sz w:val="20"/>
              </w:rPr>
            </w:pPr>
          </w:p>
          <w:p>
            <w:pPr>
              <w:pStyle w:val="TableParagraph"/>
              <w:ind w:left="414"/>
              <w:rPr>
                <w:sz w:val="20"/>
              </w:rPr>
            </w:pPr>
            <w:r>
              <w:rPr>
                <w:sz w:val="20"/>
              </w:rPr>
              <w:t>Will Deighton provided an update of the most recent ECB Operations</w:t>
            </w:r>
          </w:p>
          <w:p>
            <w:pPr>
              <w:pStyle w:val="TableParagraph"/>
              <w:spacing w:line="340" w:lineRule="atLeast" w:before="5"/>
              <w:ind w:left="414" w:right="260"/>
              <w:rPr>
                <w:sz w:val="20"/>
              </w:rPr>
            </w:pPr>
            <w:r>
              <w:rPr>
                <w:sz w:val="20"/>
              </w:rPr>
              <w:t>Managers Group meeting, noting topics of discussion included: a review of EMIR, payment protocols and third party payments.</w:t>
            </w:r>
          </w:p>
        </w:tc>
      </w:tr>
      <w:tr>
        <w:trPr>
          <w:trHeight w:val="2310" w:hRule="atLeast"/>
        </w:trPr>
        <w:tc>
          <w:tcPr>
            <w:tcW w:w="779" w:type="dxa"/>
          </w:tcPr>
          <w:p>
            <w:pPr>
              <w:pStyle w:val="TableParagraph"/>
              <w:spacing w:before="114"/>
              <w:ind w:left="200"/>
              <w:rPr>
                <w:sz w:val="20"/>
              </w:rPr>
            </w:pPr>
            <w:r>
              <w:rPr>
                <w:sz w:val="20"/>
              </w:rPr>
              <w:t>9.</w:t>
            </w:r>
          </w:p>
        </w:tc>
        <w:tc>
          <w:tcPr>
            <w:tcW w:w="7487" w:type="dxa"/>
          </w:tcPr>
          <w:p>
            <w:pPr>
              <w:pStyle w:val="TableParagraph"/>
              <w:spacing w:before="1"/>
              <w:rPr>
                <w:rFonts w:ascii="Times New Roman"/>
                <w:sz w:val="20"/>
              </w:rPr>
            </w:pPr>
          </w:p>
          <w:p>
            <w:pPr>
              <w:pStyle w:val="TableParagraph"/>
              <w:spacing w:before="1"/>
              <w:ind w:left="414"/>
              <w:jc w:val="both"/>
              <w:rPr>
                <w:i/>
                <w:sz w:val="20"/>
              </w:rPr>
            </w:pPr>
            <w:r>
              <w:rPr>
                <w:b/>
                <w:sz w:val="20"/>
              </w:rPr>
              <w:t>Any other business </w:t>
            </w:r>
            <w:r>
              <w:rPr>
                <w:i/>
                <w:sz w:val="20"/>
              </w:rPr>
              <w:t>(Chair – Isabelle Dennigan, RBC)</w:t>
            </w:r>
          </w:p>
          <w:p>
            <w:pPr>
              <w:pStyle w:val="TableParagraph"/>
              <w:spacing w:line="360" w:lineRule="auto" w:before="118"/>
              <w:ind w:left="414" w:right="197"/>
              <w:jc w:val="both"/>
              <w:rPr>
                <w:sz w:val="20"/>
              </w:rPr>
            </w:pPr>
            <w:r>
              <w:rPr>
                <w:sz w:val="20"/>
              </w:rPr>
              <w:t>The Secretariat noted that the annual contingency call test will be taking place at some point before the next FXJSC Operations Sub-committee meeting.</w:t>
            </w:r>
          </w:p>
          <w:p>
            <w:pPr>
              <w:pStyle w:val="TableParagraph"/>
              <w:spacing w:line="229" w:lineRule="exact"/>
              <w:ind w:left="414"/>
              <w:jc w:val="both"/>
              <w:rPr>
                <w:sz w:val="20"/>
              </w:rPr>
            </w:pPr>
            <w:r>
              <w:rPr>
                <w:sz w:val="20"/>
              </w:rPr>
              <w:t>The Chair welcomed feedback from members on the presentations delivered</w:t>
            </w:r>
          </w:p>
          <w:p>
            <w:pPr>
              <w:pStyle w:val="TableParagraph"/>
              <w:spacing w:before="115"/>
              <w:ind w:left="414"/>
              <w:jc w:val="both"/>
              <w:rPr>
                <w:sz w:val="20"/>
              </w:rPr>
            </w:pPr>
            <w:r>
              <w:rPr>
                <w:sz w:val="20"/>
              </w:rPr>
              <w:t>at today’s meeting.</w:t>
            </w:r>
          </w:p>
        </w:tc>
      </w:tr>
      <w:tr>
        <w:trPr>
          <w:trHeight w:val="686" w:hRule="atLeast"/>
        </w:trPr>
        <w:tc>
          <w:tcPr>
            <w:tcW w:w="779" w:type="dxa"/>
          </w:tcPr>
          <w:p>
            <w:pPr>
              <w:pStyle w:val="TableParagraph"/>
              <w:rPr>
                <w:rFonts w:ascii="Times New Roman"/>
                <w:sz w:val="18"/>
              </w:rPr>
            </w:pPr>
          </w:p>
        </w:tc>
        <w:tc>
          <w:tcPr>
            <w:tcW w:w="7487" w:type="dxa"/>
          </w:tcPr>
          <w:p>
            <w:pPr>
              <w:pStyle w:val="TableParagraph"/>
              <w:spacing w:line="340" w:lineRule="atLeast" w:before="3"/>
              <w:ind w:left="414" w:right="80"/>
              <w:rPr>
                <w:b/>
                <w:sz w:val="20"/>
              </w:rPr>
            </w:pPr>
            <w:r>
              <w:rPr>
                <w:b/>
                <w:sz w:val="20"/>
              </w:rPr>
              <w:t>The next meeting of the FXJSC Operations Sub-committee is scheduled to be held on 26 January 2018.</w:t>
            </w:r>
          </w:p>
        </w:tc>
      </w:tr>
    </w:tbl>
    <w:sectPr>
      <w:pgSz w:w="11910" w:h="16840"/>
      <w:pgMar w:top="1420" w:bottom="280" w:left="960" w:right="9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2"/>
      <w:numFmt w:val="lowerLetter"/>
      <w:lvlText w:val="%1."/>
      <w:lvlJc w:val="left"/>
      <w:pPr>
        <w:ind w:left="1134" w:hanging="360"/>
        <w:jc w:val="left"/>
      </w:pPr>
      <w:rPr>
        <w:rFonts w:hint="default" w:ascii="Arial" w:hAnsi="Arial" w:eastAsia="Arial" w:cs="Arial"/>
        <w:spacing w:val="-1"/>
        <w:w w:val="99"/>
        <w:sz w:val="20"/>
        <w:szCs w:val="20"/>
        <w:lang w:val="en-US" w:eastAsia="en-US" w:bidi="ar-SA"/>
      </w:rPr>
    </w:lvl>
    <w:lvl w:ilvl="1">
      <w:start w:val="0"/>
      <w:numFmt w:val="bullet"/>
      <w:lvlText w:val="•"/>
      <w:lvlJc w:val="left"/>
      <w:pPr>
        <w:ind w:left="1774" w:hanging="360"/>
      </w:pPr>
      <w:rPr>
        <w:rFonts w:hint="default"/>
        <w:lang w:val="en-US" w:eastAsia="en-US" w:bidi="ar-SA"/>
      </w:rPr>
    </w:lvl>
    <w:lvl w:ilvl="2">
      <w:start w:val="0"/>
      <w:numFmt w:val="bullet"/>
      <w:lvlText w:val="•"/>
      <w:lvlJc w:val="left"/>
      <w:pPr>
        <w:ind w:left="2409" w:hanging="360"/>
      </w:pPr>
      <w:rPr>
        <w:rFonts w:hint="default"/>
        <w:lang w:val="en-US" w:eastAsia="en-US" w:bidi="ar-SA"/>
      </w:rPr>
    </w:lvl>
    <w:lvl w:ilvl="3">
      <w:start w:val="0"/>
      <w:numFmt w:val="bullet"/>
      <w:lvlText w:val="•"/>
      <w:lvlJc w:val="left"/>
      <w:pPr>
        <w:ind w:left="3044" w:hanging="360"/>
      </w:pPr>
      <w:rPr>
        <w:rFonts w:hint="default"/>
        <w:lang w:val="en-US" w:eastAsia="en-US" w:bidi="ar-SA"/>
      </w:rPr>
    </w:lvl>
    <w:lvl w:ilvl="4">
      <w:start w:val="0"/>
      <w:numFmt w:val="bullet"/>
      <w:lvlText w:val="•"/>
      <w:lvlJc w:val="left"/>
      <w:pPr>
        <w:ind w:left="3678" w:hanging="360"/>
      </w:pPr>
      <w:rPr>
        <w:rFonts w:hint="default"/>
        <w:lang w:val="en-US" w:eastAsia="en-US" w:bidi="ar-SA"/>
      </w:rPr>
    </w:lvl>
    <w:lvl w:ilvl="5">
      <w:start w:val="0"/>
      <w:numFmt w:val="bullet"/>
      <w:lvlText w:val="•"/>
      <w:lvlJc w:val="left"/>
      <w:pPr>
        <w:ind w:left="4313" w:hanging="360"/>
      </w:pPr>
      <w:rPr>
        <w:rFonts w:hint="default"/>
        <w:lang w:val="en-US" w:eastAsia="en-US" w:bidi="ar-SA"/>
      </w:rPr>
    </w:lvl>
    <w:lvl w:ilvl="6">
      <w:start w:val="0"/>
      <w:numFmt w:val="bullet"/>
      <w:lvlText w:val="•"/>
      <w:lvlJc w:val="left"/>
      <w:pPr>
        <w:ind w:left="4948" w:hanging="360"/>
      </w:pPr>
      <w:rPr>
        <w:rFonts w:hint="default"/>
        <w:lang w:val="en-US" w:eastAsia="en-US" w:bidi="ar-SA"/>
      </w:rPr>
    </w:lvl>
    <w:lvl w:ilvl="7">
      <w:start w:val="0"/>
      <w:numFmt w:val="bullet"/>
      <w:lvlText w:val="•"/>
      <w:lvlJc w:val="left"/>
      <w:pPr>
        <w:ind w:left="5582" w:hanging="360"/>
      </w:pPr>
      <w:rPr>
        <w:rFonts w:hint="default"/>
        <w:lang w:val="en-US" w:eastAsia="en-US" w:bidi="ar-SA"/>
      </w:rPr>
    </w:lvl>
    <w:lvl w:ilvl="8">
      <w:start w:val="0"/>
      <w:numFmt w:val="bullet"/>
      <w:lvlText w:val="•"/>
      <w:lvlJc w:val="left"/>
      <w:pPr>
        <w:ind w:left="6217" w:hanging="360"/>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ar-SA"/>
    </w:rPr>
  </w:style>
  <w:style w:styleId="ListParagraph" w:type="paragraph">
    <w:name w:val="List Paragraph"/>
    <w:basedOn w:val="Normal"/>
    <w:uiPriority w:val="1"/>
    <w:qFormat/>
    <w:pPr/>
    <w:rPr>
      <w:lang w:val="en-US" w:eastAsia="en-US" w:bidi="ar-SA"/>
    </w:rPr>
  </w:style>
  <w:style w:styleId="TableParagraph" w:type="paragraph">
    <w:name w:val="Table Paragraph"/>
    <w:basedOn w:val="Normal"/>
    <w:uiPriority w:val="1"/>
    <w:qFormat/>
    <w:pPr/>
    <w:rPr>
      <w:rFonts w:ascii="Arial" w:hAnsi="Arial" w:eastAsia="Arial" w:cs="Arial"/>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FXJSC operations sub-committee minutes - 13 November 2017</dc:subject>
  <dc:title>FXJSC operations sub-committee minutes - 13 November 2017</dc:title>
  <dcterms:created xsi:type="dcterms:W3CDTF">2020-06-02T14:23:24Z</dcterms:created>
  <dcterms:modified xsi:type="dcterms:W3CDTF">2020-06-02T14:23:24Z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2018-01-19T00:00:00Z</vt:filetime>
  </property>
  <property fmtid="{D5CDD505-2E9C-101B-9397-08002B2CF9AE}" pid="3" name="LastSaved">
    <vt:filetime>2020-06-02T00:00:00Z</vt:filetime>
  </property>
</Properties>
</file>