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8646"/>
      </w:tblGrid>
      <w:tr>
        <w:trPr>
          <w:trHeight w:val="665" w:hRule="atLeast"/>
        </w:trPr>
        <w:tc>
          <w:tcPr>
            <w:tcW w:w="9621" w:type="dxa"/>
            <w:gridSpan w:val="2"/>
          </w:tcPr>
          <w:p>
            <w:pPr>
              <w:pStyle w:val="TableParagraph"/>
              <w:spacing w:line="483" w:lineRule="exact"/>
              <w:rPr>
                <w:sz w:val="44"/>
              </w:rPr>
            </w:pPr>
            <w:r>
              <w:rPr>
                <w:sz w:val="44"/>
              </w:rPr>
              <w:t>Minutes</w:t>
            </w:r>
          </w:p>
        </w:tc>
      </w:tr>
      <w:tr>
        <w:trPr>
          <w:trHeight w:val="826" w:hRule="atLeast"/>
        </w:trPr>
        <w:tc>
          <w:tcPr>
            <w:tcW w:w="9621" w:type="dxa"/>
            <w:gridSpan w:val="2"/>
          </w:tcPr>
          <w:p>
            <w:pPr>
              <w:pStyle w:val="TableParagraph"/>
              <w:spacing w:line="278" w:lineRule="auto" w:before="159"/>
              <w:ind w:right="1933"/>
              <w:rPr>
                <w:b/>
                <w:sz w:val="24"/>
              </w:rPr>
            </w:pPr>
            <w:r>
              <w:rPr>
                <w:b/>
                <w:sz w:val="24"/>
              </w:rPr>
              <w:t>FOREIGN EXCHANGE JOINT STANDING COMMITTEE OPERATIONS SUB-COMMITTEE</w:t>
            </w:r>
          </w:p>
        </w:tc>
      </w:tr>
      <w:tr>
        <w:trPr>
          <w:trHeight w:val="602" w:hRule="atLeast"/>
        </w:trPr>
        <w:tc>
          <w:tcPr>
            <w:tcW w:w="9621" w:type="dxa"/>
            <w:gridSpan w:val="2"/>
            <w:tcBorders>
              <w:bottom w:val="single" w:sz="4" w:space="0" w:color="000000"/>
            </w:tcBorders>
          </w:tcPr>
          <w:p>
            <w:pPr>
              <w:pStyle w:val="TableParagraph"/>
              <w:spacing w:before="48"/>
              <w:rPr>
                <w:sz w:val="24"/>
              </w:rPr>
            </w:pPr>
            <w:r>
              <w:rPr>
                <w:sz w:val="24"/>
              </w:rPr>
              <w:t>12 September 2017</w:t>
            </w:r>
          </w:p>
        </w:tc>
      </w:tr>
      <w:tr>
        <w:trPr>
          <w:trHeight w:val="596" w:hRule="atLeast"/>
        </w:trPr>
        <w:tc>
          <w:tcPr>
            <w:tcW w:w="975" w:type="dxa"/>
            <w:tcBorders>
              <w:top w:val="single" w:sz="4" w:space="0" w:color="000000"/>
            </w:tcBorders>
          </w:tcPr>
          <w:p>
            <w:pPr>
              <w:pStyle w:val="TableParagraph"/>
              <w:rPr>
                <w:rFonts w:ascii="Times New Roman"/>
                <w:sz w:val="18"/>
              </w:rPr>
            </w:pPr>
          </w:p>
          <w:p>
            <w:pPr>
              <w:pStyle w:val="TableParagraph"/>
              <w:rPr>
                <w:sz w:val="20"/>
              </w:rPr>
            </w:pPr>
            <w:r>
              <w:rPr>
                <w:sz w:val="20"/>
              </w:rPr>
              <w:t>Location:</w:t>
            </w:r>
          </w:p>
        </w:tc>
        <w:tc>
          <w:tcPr>
            <w:tcW w:w="8646" w:type="dxa"/>
            <w:tcBorders>
              <w:top w:val="single" w:sz="4" w:space="0" w:color="000000"/>
            </w:tcBorders>
          </w:tcPr>
          <w:p>
            <w:pPr>
              <w:pStyle w:val="TableParagraph"/>
              <w:rPr>
                <w:rFonts w:ascii="Times New Roman"/>
                <w:sz w:val="18"/>
              </w:rPr>
            </w:pPr>
          </w:p>
          <w:p>
            <w:pPr>
              <w:pStyle w:val="TableParagraph"/>
              <w:ind w:left="20"/>
              <w:rPr>
                <w:sz w:val="20"/>
              </w:rPr>
            </w:pPr>
            <w:r>
              <w:rPr>
                <w:sz w:val="20"/>
              </w:rPr>
              <w:t>Bank of England, Threadneedle Street, EC2R 8AH</w:t>
            </w:r>
          </w:p>
        </w:tc>
      </w:tr>
      <w:tr>
        <w:trPr>
          <w:trHeight w:val="7150" w:hRule="atLeast"/>
        </w:trPr>
        <w:tc>
          <w:tcPr>
            <w:tcW w:w="975" w:type="dxa"/>
          </w:tcPr>
          <w:p>
            <w:pPr>
              <w:pStyle w:val="TableParagraph"/>
              <w:spacing w:before="138"/>
              <w:rPr>
                <w:sz w:val="20"/>
              </w:rPr>
            </w:pPr>
            <w:r>
              <w:rPr>
                <w:sz w:val="20"/>
              </w:rPr>
              <w:t>Attendees:</w:t>
            </w:r>
          </w:p>
        </w:tc>
        <w:tc>
          <w:tcPr>
            <w:tcW w:w="8646" w:type="dxa"/>
          </w:tcPr>
          <w:p>
            <w:pPr>
              <w:pStyle w:val="TableParagraph"/>
              <w:spacing w:line="360" w:lineRule="auto" w:before="136"/>
              <w:ind w:left="20" w:right="4460"/>
              <w:rPr>
                <w:sz w:val="20"/>
              </w:rPr>
            </w:pPr>
            <w:r>
              <w:rPr>
                <w:b/>
                <w:sz w:val="20"/>
              </w:rPr>
              <w:t>Association of Foreign Banks: </w:t>
            </w:r>
            <w:r>
              <w:rPr>
                <w:sz w:val="20"/>
              </w:rPr>
              <w:t>Nigel Brigden </w:t>
            </w:r>
            <w:r>
              <w:rPr>
                <w:b/>
                <w:sz w:val="20"/>
              </w:rPr>
              <w:t>Bank of Tokyo Mitsubishi: </w:t>
            </w:r>
            <w:r>
              <w:rPr>
                <w:sz w:val="20"/>
              </w:rPr>
              <w:t>Kerry Peacock </w:t>
            </w:r>
            <w:r>
              <w:rPr>
                <w:b/>
                <w:sz w:val="20"/>
              </w:rPr>
              <w:t>Bank of New York Mellon: </w:t>
            </w:r>
            <w:r>
              <w:rPr>
                <w:sz w:val="20"/>
              </w:rPr>
              <w:t>Jon Goddard </w:t>
            </w:r>
            <w:r>
              <w:rPr>
                <w:b/>
                <w:sz w:val="20"/>
              </w:rPr>
              <w:t>Barclays: </w:t>
            </w:r>
            <w:r>
              <w:rPr>
                <w:sz w:val="20"/>
              </w:rPr>
              <w:t>Duncan Lord</w:t>
            </w:r>
          </w:p>
          <w:p>
            <w:pPr>
              <w:pStyle w:val="TableParagraph"/>
              <w:spacing w:before="1"/>
              <w:ind w:left="20"/>
              <w:rPr>
                <w:sz w:val="20"/>
              </w:rPr>
            </w:pPr>
            <w:r>
              <w:rPr>
                <w:b/>
                <w:sz w:val="20"/>
              </w:rPr>
              <w:t>Cobalt: </w:t>
            </w:r>
            <w:r>
              <w:rPr>
                <w:sz w:val="20"/>
              </w:rPr>
              <w:t>Andy Coyne (Guest speaker)</w:t>
            </w:r>
          </w:p>
          <w:p>
            <w:pPr>
              <w:pStyle w:val="TableParagraph"/>
              <w:spacing w:before="113"/>
              <w:ind w:left="20"/>
              <w:rPr>
                <w:sz w:val="20"/>
              </w:rPr>
            </w:pPr>
            <w:r>
              <w:rPr>
                <w:b/>
                <w:sz w:val="20"/>
              </w:rPr>
              <w:t>Citigroup: </w:t>
            </w:r>
            <w:r>
              <w:rPr>
                <w:sz w:val="20"/>
              </w:rPr>
              <w:t>Daniel Horgan</w:t>
            </w:r>
          </w:p>
          <w:p>
            <w:pPr>
              <w:pStyle w:val="TableParagraph"/>
              <w:spacing w:before="116"/>
              <w:ind w:left="20"/>
              <w:rPr>
                <w:sz w:val="20"/>
              </w:rPr>
            </w:pPr>
            <w:r>
              <w:rPr>
                <w:b/>
                <w:sz w:val="20"/>
              </w:rPr>
              <w:t>CLS: </w:t>
            </w:r>
            <w:r>
              <w:rPr>
                <w:sz w:val="20"/>
              </w:rPr>
              <w:t>Amolak Roopra (Guest representative)</w:t>
            </w:r>
          </w:p>
          <w:p>
            <w:pPr>
              <w:pStyle w:val="TableParagraph"/>
              <w:spacing w:before="115"/>
              <w:ind w:left="20"/>
              <w:rPr>
                <w:sz w:val="20"/>
              </w:rPr>
            </w:pPr>
            <w:r>
              <w:rPr>
                <w:b/>
                <w:sz w:val="20"/>
              </w:rPr>
              <w:t>Deutsche Bank: </w:t>
            </w:r>
            <w:r>
              <w:rPr>
                <w:sz w:val="20"/>
              </w:rPr>
              <w:t>Darran Olive</w:t>
            </w:r>
          </w:p>
          <w:p>
            <w:pPr>
              <w:pStyle w:val="TableParagraph"/>
              <w:spacing w:before="116"/>
              <w:ind w:left="20"/>
              <w:rPr>
                <w:sz w:val="20"/>
              </w:rPr>
            </w:pPr>
            <w:r>
              <w:rPr>
                <w:b/>
                <w:sz w:val="20"/>
              </w:rPr>
              <w:t>Financial Conduct Authority: </w:t>
            </w:r>
            <w:r>
              <w:rPr>
                <w:sz w:val="20"/>
              </w:rPr>
              <w:t>Derek Young (Alternate)</w:t>
            </w:r>
          </w:p>
          <w:p>
            <w:pPr>
              <w:pStyle w:val="TableParagraph"/>
              <w:spacing w:before="113"/>
              <w:ind w:left="20"/>
              <w:rPr>
                <w:sz w:val="20"/>
              </w:rPr>
            </w:pPr>
            <w:r>
              <w:rPr>
                <w:b/>
                <w:sz w:val="20"/>
              </w:rPr>
              <w:t>Goldman Sachs: </w:t>
            </w:r>
            <w:r>
              <w:rPr>
                <w:sz w:val="20"/>
              </w:rPr>
              <w:t>John Blythe (Deputy Chair)</w:t>
            </w:r>
          </w:p>
          <w:p>
            <w:pPr>
              <w:pStyle w:val="TableParagraph"/>
              <w:spacing w:line="360" w:lineRule="auto" w:before="116"/>
              <w:ind w:left="20" w:right="4782"/>
              <w:rPr>
                <w:sz w:val="20"/>
              </w:rPr>
            </w:pPr>
            <w:r>
              <w:rPr>
                <w:b/>
                <w:sz w:val="20"/>
              </w:rPr>
              <w:t>HSBC: </w:t>
            </w:r>
            <w:r>
              <w:rPr>
                <w:sz w:val="20"/>
              </w:rPr>
              <w:t>Trevor Evans (Deputy Chair) </w:t>
            </w:r>
            <w:r>
              <w:rPr>
                <w:b/>
                <w:sz w:val="20"/>
              </w:rPr>
              <w:t>Insight Investment: </w:t>
            </w:r>
            <w:r>
              <w:rPr>
                <w:sz w:val="20"/>
              </w:rPr>
              <w:t>Gavin Platman </w:t>
            </w:r>
            <w:r>
              <w:rPr>
                <w:b/>
                <w:sz w:val="20"/>
              </w:rPr>
              <w:t>Investment Association: </w:t>
            </w:r>
            <w:r>
              <w:rPr>
                <w:sz w:val="20"/>
              </w:rPr>
              <w:t>David Broadway </w:t>
            </w:r>
            <w:r>
              <w:rPr>
                <w:b/>
                <w:sz w:val="20"/>
              </w:rPr>
              <w:t>JPMorgan Chase: </w:t>
            </w:r>
            <w:r>
              <w:rPr>
                <w:sz w:val="20"/>
              </w:rPr>
              <w:t>Phil</w:t>
            </w:r>
            <w:r>
              <w:rPr>
                <w:spacing w:val="-1"/>
                <w:sz w:val="20"/>
              </w:rPr>
              <w:t> </w:t>
            </w:r>
            <w:r>
              <w:rPr>
                <w:sz w:val="20"/>
              </w:rPr>
              <w:t>Glackin</w:t>
            </w:r>
          </w:p>
          <w:p>
            <w:pPr>
              <w:pStyle w:val="TableParagraph"/>
              <w:ind w:left="20"/>
              <w:rPr>
                <w:sz w:val="20"/>
              </w:rPr>
            </w:pPr>
            <w:r>
              <w:rPr>
                <w:b/>
                <w:sz w:val="20"/>
              </w:rPr>
              <w:t>RBC: </w:t>
            </w:r>
            <w:r>
              <w:rPr>
                <w:sz w:val="20"/>
              </w:rPr>
              <w:t>Isabelle Dennigan</w:t>
            </w:r>
            <w:r>
              <w:rPr>
                <w:spacing w:val="-11"/>
                <w:sz w:val="20"/>
              </w:rPr>
              <w:t> </w:t>
            </w:r>
            <w:r>
              <w:rPr>
                <w:sz w:val="20"/>
              </w:rPr>
              <w:t>(Chair)</w:t>
            </w:r>
          </w:p>
          <w:p>
            <w:pPr>
              <w:pStyle w:val="TableParagraph"/>
              <w:spacing w:before="116"/>
              <w:ind w:left="20"/>
              <w:rPr>
                <w:sz w:val="20"/>
              </w:rPr>
            </w:pPr>
            <w:r>
              <w:rPr>
                <w:b/>
                <w:sz w:val="20"/>
              </w:rPr>
              <w:t>Record Currency Management: </w:t>
            </w:r>
            <w:r>
              <w:rPr>
                <w:sz w:val="20"/>
              </w:rPr>
              <w:t>Joel Sleigh</w:t>
            </w:r>
          </w:p>
          <w:p>
            <w:pPr>
              <w:pStyle w:val="TableParagraph"/>
              <w:spacing w:before="113"/>
              <w:ind w:left="20"/>
              <w:rPr>
                <w:sz w:val="20"/>
              </w:rPr>
            </w:pPr>
            <w:r>
              <w:rPr>
                <w:b/>
                <w:sz w:val="20"/>
              </w:rPr>
              <w:t>Societe Generale: </w:t>
            </w:r>
            <w:r>
              <w:rPr>
                <w:sz w:val="20"/>
              </w:rPr>
              <w:t>Will Deighton</w:t>
            </w:r>
          </w:p>
          <w:p>
            <w:pPr>
              <w:pStyle w:val="TableParagraph"/>
              <w:spacing w:before="116"/>
              <w:ind w:left="20"/>
              <w:rPr>
                <w:sz w:val="20"/>
              </w:rPr>
            </w:pPr>
            <w:r>
              <w:rPr>
                <w:b/>
                <w:sz w:val="20"/>
              </w:rPr>
              <w:t>SWIFT: </w:t>
            </w:r>
            <w:r>
              <w:rPr>
                <w:sz w:val="20"/>
              </w:rPr>
              <w:t>Joe Halberstadt</w:t>
            </w:r>
          </w:p>
          <w:p>
            <w:pPr>
              <w:pStyle w:val="TableParagraph"/>
              <w:spacing w:line="362" w:lineRule="auto" w:before="115"/>
              <w:ind w:left="20"/>
              <w:rPr>
                <w:sz w:val="20"/>
              </w:rPr>
            </w:pPr>
            <w:r>
              <w:rPr>
                <w:b/>
                <w:sz w:val="20"/>
              </w:rPr>
              <w:t>Bank of England: </w:t>
            </w:r>
            <w:r>
              <w:rPr>
                <w:sz w:val="20"/>
              </w:rPr>
              <w:t>Jennifer Ashton, Grigoria Christodoulou, Thomas Lynch (Secretariat), James Manchester (Secretariat), Jonathan Keane (Legal), Andrejus Pustelnikovas (Guest speaker)</w:t>
            </w:r>
          </w:p>
        </w:tc>
      </w:tr>
      <w:tr>
        <w:trPr>
          <w:trHeight w:val="1475" w:hRule="atLeast"/>
        </w:trPr>
        <w:tc>
          <w:tcPr>
            <w:tcW w:w="975" w:type="dxa"/>
          </w:tcPr>
          <w:p>
            <w:pPr>
              <w:pStyle w:val="TableParagraph"/>
              <w:spacing w:before="10"/>
              <w:rPr>
                <w:rFonts w:ascii="Times New Roman"/>
                <w:sz w:val="17"/>
              </w:rPr>
            </w:pPr>
          </w:p>
          <w:p>
            <w:pPr>
              <w:pStyle w:val="TableParagraph"/>
              <w:rPr>
                <w:sz w:val="20"/>
              </w:rPr>
            </w:pPr>
            <w:r>
              <w:rPr>
                <w:sz w:val="20"/>
              </w:rPr>
              <w:t>Apologies:</w:t>
            </w:r>
          </w:p>
        </w:tc>
        <w:tc>
          <w:tcPr>
            <w:tcW w:w="8646" w:type="dxa"/>
          </w:tcPr>
          <w:p>
            <w:pPr>
              <w:pStyle w:val="TableParagraph"/>
              <w:spacing w:before="7"/>
              <w:rPr>
                <w:rFonts w:ascii="Times New Roman"/>
                <w:sz w:val="17"/>
              </w:rPr>
            </w:pPr>
          </w:p>
          <w:p>
            <w:pPr>
              <w:pStyle w:val="TableParagraph"/>
              <w:spacing w:before="1"/>
              <w:ind w:left="20"/>
              <w:rPr>
                <w:sz w:val="20"/>
              </w:rPr>
            </w:pPr>
            <w:r>
              <w:rPr>
                <w:b/>
                <w:sz w:val="20"/>
              </w:rPr>
              <w:t>Bank of England: </w:t>
            </w:r>
            <w:r>
              <w:rPr>
                <w:sz w:val="20"/>
              </w:rPr>
              <w:t>Jonathan Grant</w:t>
            </w:r>
          </w:p>
          <w:p>
            <w:pPr>
              <w:pStyle w:val="TableParagraph"/>
              <w:spacing w:before="113"/>
              <w:ind w:left="20"/>
              <w:rPr>
                <w:sz w:val="20"/>
              </w:rPr>
            </w:pPr>
            <w:r>
              <w:rPr>
                <w:b/>
                <w:sz w:val="20"/>
              </w:rPr>
              <w:t>CLS: </w:t>
            </w:r>
            <w:r>
              <w:rPr>
                <w:sz w:val="20"/>
              </w:rPr>
              <w:t>John Hagon</w:t>
            </w:r>
          </w:p>
          <w:p>
            <w:pPr>
              <w:pStyle w:val="TableParagraph"/>
              <w:spacing w:before="116"/>
              <w:ind w:left="20"/>
              <w:rPr>
                <w:sz w:val="20"/>
              </w:rPr>
            </w:pPr>
            <w:r>
              <w:rPr>
                <w:b/>
                <w:sz w:val="20"/>
              </w:rPr>
              <w:t>FCA: </w:t>
            </w:r>
            <w:r>
              <w:rPr>
                <w:sz w:val="20"/>
              </w:rPr>
              <w:t>Monica Rodriguez-Sanchez</w:t>
            </w:r>
          </w:p>
          <w:p>
            <w:pPr>
              <w:pStyle w:val="TableParagraph"/>
              <w:spacing w:line="218" w:lineRule="exact" w:before="115"/>
              <w:ind w:left="20"/>
              <w:rPr>
                <w:sz w:val="20"/>
              </w:rPr>
            </w:pPr>
            <w:r>
              <w:rPr>
                <w:b/>
                <w:sz w:val="20"/>
              </w:rPr>
              <w:t>UK Finance: </w:t>
            </w:r>
            <w:r>
              <w:rPr>
                <w:sz w:val="20"/>
              </w:rPr>
              <w:t>Andrew Rogan</w:t>
            </w:r>
          </w:p>
        </w:tc>
      </w:tr>
    </w:tbl>
    <w:p>
      <w:pPr>
        <w:spacing w:after="0" w:line="218" w:lineRule="exact"/>
        <w:rPr>
          <w:sz w:val="20"/>
        </w:rPr>
        <w:sectPr>
          <w:type w:val="continuous"/>
          <w:pgSz w:w="11910" w:h="16840"/>
          <w:pgMar w:top="144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7154"/>
        <w:gridCol w:w="1574"/>
      </w:tblGrid>
      <w:tr>
        <w:trPr>
          <w:trHeight w:val="688" w:hRule="atLeast"/>
        </w:trPr>
        <w:tc>
          <w:tcPr>
            <w:tcW w:w="1019"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7154" w:type="dxa"/>
          </w:tcPr>
          <w:p>
            <w:pPr>
              <w:pStyle w:val="TableParagraph"/>
              <w:spacing w:line="223" w:lineRule="exact"/>
              <w:ind w:left="174"/>
              <w:rPr>
                <w:b/>
                <w:sz w:val="20"/>
              </w:rPr>
            </w:pPr>
            <w:r>
              <w:rPr>
                <w:b/>
                <w:sz w:val="20"/>
              </w:rPr>
              <w:t>Minute</w:t>
            </w:r>
          </w:p>
        </w:tc>
        <w:tc>
          <w:tcPr>
            <w:tcW w:w="1574" w:type="dxa"/>
          </w:tcPr>
          <w:p>
            <w:pPr>
              <w:pStyle w:val="TableParagraph"/>
              <w:spacing w:line="276" w:lineRule="auto"/>
              <w:ind w:left="109" w:right="178"/>
              <w:rPr>
                <w:b/>
                <w:sz w:val="20"/>
              </w:rPr>
            </w:pPr>
            <w:r>
              <w:rPr>
                <w:b/>
                <w:sz w:val="20"/>
              </w:rPr>
              <w:t>Action owner and due date</w:t>
            </w:r>
          </w:p>
        </w:tc>
      </w:tr>
      <w:tr>
        <w:trPr>
          <w:trHeight w:val="2776" w:hRule="atLeast"/>
        </w:trPr>
        <w:tc>
          <w:tcPr>
            <w:tcW w:w="1019" w:type="dxa"/>
          </w:tcPr>
          <w:p>
            <w:pPr>
              <w:pStyle w:val="TableParagraph"/>
              <w:spacing w:before="115"/>
              <w:ind w:left="200"/>
              <w:rPr>
                <w:sz w:val="20"/>
              </w:rPr>
            </w:pPr>
            <w:r>
              <w:rPr>
                <w:sz w:val="20"/>
              </w:rPr>
              <w:t>1.</w:t>
            </w:r>
          </w:p>
        </w:tc>
        <w:tc>
          <w:tcPr>
            <w:tcW w:w="7154" w:type="dxa"/>
          </w:tcPr>
          <w:p>
            <w:pPr>
              <w:pStyle w:val="TableParagraph"/>
              <w:spacing w:before="113"/>
              <w:ind w:left="174"/>
              <w:jc w:val="both"/>
              <w:rPr>
                <w:sz w:val="20"/>
              </w:rPr>
            </w:pPr>
            <w:r>
              <w:rPr>
                <w:b/>
                <w:sz w:val="20"/>
              </w:rPr>
              <w:t>Welcome and apologies for absence </w:t>
            </w:r>
            <w:r>
              <w:rPr>
                <w:sz w:val="20"/>
              </w:rPr>
              <w:t>(</w:t>
            </w:r>
            <w:r>
              <w:rPr>
                <w:i/>
                <w:sz w:val="20"/>
              </w:rPr>
              <w:t>Chair – Isabelle Dennigan, RBC</w:t>
            </w:r>
            <w:r>
              <w:rPr>
                <w:sz w:val="20"/>
              </w:rPr>
              <w:t>)</w:t>
            </w:r>
          </w:p>
          <w:p>
            <w:pPr>
              <w:pStyle w:val="TableParagraph"/>
              <w:spacing w:before="8"/>
              <w:rPr>
                <w:rFonts w:ascii="Times New Roman"/>
                <w:sz w:val="20"/>
              </w:rPr>
            </w:pPr>
          </w:p>
          <w:p>
            <w:pPr>
              <w:pStyle w:val="TableParagraph"/>
              <w:spacing w:line="360" w:lineRule="auto"/>
              <w:ind w:left="174" w:right="110"/>
              <w:jc w:val="both"/>
              <w:rPr>
                <w:sz w:val="20"/>
              </w:rPr>
            </w:pPr>
            <w:r>
              <w:rPr>
                <w:sz w:val="20"/>
              </w:rPr>
              <w:t>Apologies were received from Jonathan Grant (Bank of England), John Hagon (CLS), Monica Rodriguez-Sanchez (FCA) and Andrew Rogan (UK Finance). The Chair welcomed guest speaker Andy Coyne</w:t>
            </w:r>
            <w:r>
              <w:rPr>
                <w:spacing w:val="-10"/>
                <w:sz w:val="20"/>
              </w:rPr>
              <w:t> </w:t>
            </w:r>
            <w:r>
              <w:rPr>
                <w:sz w:val="20"/>
              </w:rPr>
              <w:t>(Cobalt).</w:t>
            </w:r>
          </w:p>
          <w:p>
            <w:pPr>
              <w:pStyle w:val="TableParagraph"/>
              <w:spacing w:line="340" w:lineRule="atLeast" w:before="9"/>
              <w:ind w:left="174" w:right="107"/>
              <w:jc w:val="both"/>
              <w:rPr>
                <w:sz w:val="20"/>
              </w:rPr>
            </w:pPr>
            <w:r>
              <w:rPr>
                <w:sz w:val="20"/>
              </w:rPr>
              <w:t>The Chair noted that Nancy Riyad (UBS) and Steve Miller (BAML) had stepped down from the Sub-committee and that Colin Parry (UBS) would be joining the Sub-committee.</w:t>
            </w:r>
          </w:p>
        </w:tc>
        <w:tc>
          <w:tcPr>
            <w:tcW w:w="1574" w:type="dxa"/>
          </w:tcPr>
          <w:p>
            <w:pPr>
              <w:pStyle w:val="TableParagraph"/>
              <w:rPr>
                <w:rFonts w:ascii="Times New Roman"/>
                <w:sz w:val="18"/>
              </w:rPr>
            </w:pPr>
          </w:p>
        </w:tc>
      </w:tr>
      <w:tr>
        <w:trPr>
          <w:trHeight w:val="2655" w:hRule="atLeast"/>
        </w:trPr>
        <w:tc>
          <w:tcPr>
            <w:tcW w:w="1019" w:type="dxa"/>
          </w:tcPr>
          <w:p>
            <w:pPr>
              <w:pStyle w:val="TableParagraph"/>
              <w:spacing w:before="115"/>
              <w:ind w:left="200"/>
              <w:rPr>
                <w:sz w:val="20"/>
              </w:rPr>
            </w:pPr>
            <w:r>
              <w:rPr>
                <w:sz w:val="20"/>
              </w:rPr>
              <w:t>2.</w:t>
            </w:r>
          </w:p>
        </w:tc>
        <w:tc>
          <w:tcPr>
            <w:tcW w:w="7154" w:type="dxa"/>
          </w:tcPr>
          <w:p>
            <w:pPr>
              <w:pStyle w:val="TableParagraph"/>
              <w:spacing w:before="113"/>
              <w:ind w:left="174"/>
              <w:jc w:val="both"/>
              <w:rPr>
                <w:i/>
                <w:sz w:val="20"/>
              </w:rPr>
            </w:pPr>
            <w:r>
              <w:rPr>
                <w:b/>
                <w:sz w:val="20"/>
              </w:rPr>
              <w:t>Presentation from Cobalt </w:t>
            </w:r>
            <w:r>
              <w:rPr>
                <w:i/>
                <w:sz w:val="20"/>
              </w:rPr>
              <w:t>(Andy Coyne – Cobalt)</w:t>
            </w:r>
          </w:p>
          <w:p>
            <w:pPr>
              <w:pStyle w:val="TableParagraph"/>
              <w:spacing w:before="6"/>
              <w:rPr>
                <w:rFonts w:ascii="Times New Roman"/>
                <w:sz w:val="20"/>
              </w:rPr>
            </w:pPr>
          </w:p>
          <w:p>
            <w:pPr>
              <w:pStyle w:val="TableParagraph"/>
              <w:spacing w:line="360" w:lineRule="auto"/>
              <w:ind w:left="174" w:right="103"/>
              <w:jc w:val="both"/>
              <w:rPr>
                <w:sz w:val="20"/>
              </w:rPr>
            </w:pPr>
            <w:r>
              <w:rPr>
                <w:sz w:val="20"/>
              </w:rPr>
              <w:t>Andy Coyne delivered a presentation on shared post trade infrastructure. In particular he outlined how concepts such as blockchain and shared distributed ledger infrastructure could be used to help overcome some industry challenges, by providing greater transparency, and improving conduct. It was also discussed how such concepts could be used to</w:t>
            </w:r>
            <w:r>
              <w:rPr>
                <w:spacing w:val="38"/>
                <w:sz w:val="20"/>
              </w:rPr>
              <w:t> </w:t>
            </w:r>
            <w:r>
              <w:rPr>
                <w:sz w:val="20"/>
              </w:rPr>
              <w:t>reduce</w:t>
            </w:r>
          </w:p>
          <w:p>
            <w:pPr>
              <w:pStyle w:val="TableParagraph"/>
              <w:spacing w:before="1"/>
              <w:ind w:left="174"/>
              <w:jc w:val="both"/>
              <w:rPr>
                <w:sz w:val="20"/>
              </w:rPr>
            </w:pPr>
            <w:r>
              <w:rPr>
                <w:sz w:val="20"/>
              </w:rPr>
              <w:t>costs to FX post trade.</w:t>
            </w:r>
          </w:p>
        </w:tc>
        <w:tc>
          <w:tcPr>
            <w:tcW w:w="1574" w:type="dxa"/>
          </w:tcPr>
          <w:p>
            <w:pPr>
              <w:pStyle w:val="TableParagraph"/>
              <w:rPr>
                <w:rFonts w:ascii="Times New Roman"/>
                <w:sz w:val="18"/>
              </w:rPr>
            </w:pPr>
          </w:p>
        </w:tc>
      </w:tr>
      <w:tr>
        <w:trPr>
          <w:trHeight w:val="1620" w:hRule="atLeast"/>
        </w:trPr>
        <w:tc>
          <w:tcPr>
            <w:tcW w:w="1019" w:type="dxa"/>
          </w:tcPr>
          <w:p>
            <w:pPr>
              <w:pStyle w:val="TableParagraph"/>
              <w:spacing w:before="115"/>
              <w:ind w:left="200"/>
              <w:rPr>
                <w:sz w:val="20"/>
              </w:rPr>
            </w:pPr>
            <w:r>
              <w:rPr>
                <w:sz w:val="20"/>
              </w:rPr>
              <w:t>3.</w:t>
            </w:r>
          </w:p>
        </w:tc>
        <w:tc>
          <w:tcPr>
            <w:tcW w:w="7154" w:type="dxa"/>
          </w:tcPr>
          <w:p>
            <w:pPr>
              <w:pStyle w:val="TableParagraph"/>
              <w:spacing w:line="360" w:lineRule="auto" w:before="113"/>
              <w:ind w:left="174"/>
              <w:rPr>
                <w:sz w:val="20"/>
              </w:rPr>
            </w:pPr>
            <w:r>
              <w:rPr>
                <w:b/>
                <w:sz w:val="20"/>
              </w:rPr>
              <w:t>Minutes of 3 May 2017 meeting and matters arising </w:t>
            </w:r>
            <w:r>
              <w:rPr>
                <w:sz w:val="20"/>
              </w:rPr>
              <w:t>(</w:t>
            </w:r>
            <w:r>
              <w:rPr>
                <w:i/>
                <w:sz w:val="20"/>
              </w:rPr>
              <w:t>Chair – Isabelle </w:t>
            </w:r>
            <w:r>
              <w:rPr>
                <w:i/>
                <w:sz w:val="20"/>
              </w:rPr>
              <w:t>Dennigan, RBC</w:t>
            </w:r>
            <w:r>
              <w:rPr>
                <w:sz w:val="20"/>
              </w:rPr>
              <w:t>)</w:t>
            </w:r>
          </w:p>
          <w:p>
            <w:pPr>
              <w:pStyle w:val="TableParagraph"/>
              <w:spacing w:line="340" w:lineRule="atLeast" w:before="11"/>
              <w:ind w:left="174"/>
              <w:rPr>
                <w:sz w:val="20"/>
              </w:rPr>
            </w:pPr>
            <w:r>
              <w:rPr>
                <w:sz w:val="20"/>
              </w:rPr>
              <w:t>The minutes of the May 2017 meeting were agreed. There were no further matters arising.</w:t>
            </w:r>
          </w:p>
        </w:tc>
        <w:tc>
          <w:tcPr>
            <w:tcW w:w="1574" w:type="dxa"/>
          </w:tcPr>
          <w:p>
            <w:pPr>
              <w:pStyle w:val="TableParagraph"/>
              <w:rPr>
                <w:rFonts w:ascii="Times New Roman"/>
                <w:sz w:val="18"/>
              </w:rPr>
            </w:pPr>
          </w:p>
        </w:tc>
      </w:tr>
      <w:tr>
        <w:trPr>
          <w:trHeight w:val="5325" w:hRule="atLeast"/>
        </w:trPr>
        <w:tc>
          <w:tcPr>
            <w:tcW w:w="1019" w:type="dxa"/>
          </w:tcPr>
          <w:p>
            <w:pPr>
              <w:pStyle w:val="TableParagraph"/>
              <w:spacing w:before="115"/>
              <w:ind w:left="200"/>
              <w:rPr>
                <w:sz w:val="20"/>
              </w:rPr>
            </w:pPr>
            <w:r>
              <w:rPr>
                <w:sz w:val="20"/>
              </w:rPr>
              <w:t>4.</w:t>
            </w:r>
          </w:p>
        </w:tc>
        <w:tc>
          <w:tcPr>
            <w:tcW w:w="7154" w:type="dxa"/>
          </w:tcPr>
          <w:p>
            <w:pPr>
              <w:pStyle w:val="TableParagraph"/>
              <w:spacing w:before="113"/>
              <w:ind w:left="174"/>
              <w:jc w:val="both"/>
              <w:rPr>
                <w:i/>
                <w:sz w:val="20"/>
              </w:rPr>
            </w:pPr>
            <w:r>
              <w:rPr>
                <w:b/>
                <w:sz w:val="20"/>
              </w:rPr>
              <w:t>Committee administration </w:t>
            </w:r>
            <w:r>
              <w:rPr>
                <w:i/>
                <w:sz w:val="20"/>
              </w:rPr>
              <w:t>(FXJSC Secretariat – Bank of England)</w:t>
            </w:r>
          </w:p>
          <w:p>
            <w:pPr>
              <w:pStyle w:val="TableParagraph"/>
              <w:spacing w:before="3"/>
              <w:rPr>
                <w:rFonts w:ascii="Times New Roman"/>
                <w:sz w:val="20"/>
              </w:rPr>
            </w:pPr>
          </w:p>
          <w:p>
            <w:pPr>
              <w:pStyle w:val="TableParagraph"/>
              <w:numPr>
                <w:ilvl w:val="0"/>
                <w:numId w:val="1"/>
              </w:numPr>
              <w:tabs>
                <w:tab w:pos="895" w:val="left" w:leader="none"/>
              </w:tabs>
              <w:spacing w:line="240" w:lineRule="auto" w:before="0" w:after="0"/>
              <w:ind w:left="894" w:right="0" w:hanging="361"/>
              <w:jc w:val="both"/>
              <w:rPr>
                <w:b/>
                <w:sz w:val="20"/>
              </w:rPr>
            </w:pPr>
            <w:r>
              <w:rPr>
                <w:b/>
                <w:sz w:val="20"/>
              </w:rPr>
              <w:t>2018 meetings</w:t>
            </w:r>
          </w:p>
          <w:p>
            <w:pPr>
              <w:pStyle w:val="TableParagraph"/>
              <w:spacing w:before="8"/>
              <w:rPr>
                <w:rFonts w:ascii="Times New Roman"/>
                <w:sz w:val="20"/>
              </w:rPr>
            </w:pPr>
          </w:p>
          <w:p>
            <w:pPr>
              <w:pStyle w:val="TableParagraph"/>
              <w:spacing w:line="360" w:lineRule="auto"/>
              <w:ind w:left="174" w:right="108"/>
              <w:jc w:val="both"/>
              <w:rPr>
                <w:sz w:val="20"/>
              </w:rPr>
            </w:pPr>
            <w:r>
              <w:rPr>
                <w:sz w:val="20"/>
              </w:rPr>
              <w:t>The Secretariat noted that four three-hour Sub-committee meetings will be scheduled for 2018. The meeting details would be sent to all members before the 13 November meeting.</w:t>
            </w:r>
          </w:p>
          <w:p>
            <w:pPr>
              <w:pStyle w:val="TableParagraph"/>
              <w:numPr>
                <w:ilvl w:val="0"/>
                <w:numId w:val="1"/>
              </w:numPr>
              <w:tabs>
                <w:tab w:pos="895" w:val="left" w:leader="none"/>
              </w:tabs>
              <w:spacing w:line="240" w:lineRule="auto" w:before="117" w:after="0"/>
              <w:ind w:left="894" w:right="0" w:hanging="361"/>
              <w:jc w:val="both"/>
              <w:rPr>
                <w:b/>
                <w:sz w:val="20"/>
              </w:rPr>
            </w:pPr>
            <w:r>
              <w:rPr>
                <w:b/>
                <w:sz w:val="20"/>
              </w:rPr>
              <w:t>Terms of</w:t>
            </w:r>
            <w:r>
              <w:rPr>
                <w:b/>
                <w:spacing w:val="-2"/>
                <w:sz w:val="20"/>
              </w:rPr>
              <w:t> </w:t>
            </w:r>
            <w:r>
              <w:rPr>
                <w:b/>
                <w:sz w:val="20"/>
              </w:rPr>
              <w:t>Reference</w:t>
            </w:r>
          </w:p>
          <w:p>
            <w:pPr>
              <w:pStyle w:val="TableParagraph"/>
              <w:spacing w:before="8"/>
              <w:rPr>
                <w:rFonts w:ascii="Times New Roman"/>
                <w:sz w:val="20"/>
              </w:rPr>
            </w:pPr>
          </w:p>
          <w:p>
            <w:pPr>
              <w:pStyle w:val="TableParagraph"/>
              <w:spacing w:line="360" w:lineRule="auto"/>
              <w:ind w:left="174" w:right="107"/>
              <w:jc w:val="both"/>
              <w:rPr>
                <w:sz w:val="20"/>
              </w:rPr>
            </w:pPr>
            <w:r>
              <w:rPr>
                <w:sz w:val="20"/>
              </w:rPr>
              <w:t>The Secretariat noted that the Sub-committee’s Terms of Reference had been reviewed to reflect the expectation of FX Global Code adherence for FXJSC members after an agreed upon transition</w:t>
            </w:r>
            <w:r>
              <w:rPr>
                <w:spacing w:val="-5"/>
                <w:sz w:val="20"/>
              </w:rPr>
              <w:t> </w:t>
            </w:r>
            <w:r>
              <w:rPr>
                <w:sz w:val="20"/>
              </w:rPr>
              <w:t>period.</w:t>
            </w:r>
          </w:p>
          <w:p>
            <w:pPr>
              <w:pStyle w:val="TableParagraph"/>
              <w:spacing w:before="120"/>
              <w:ind w:left="174"/>
              <w:jc w:val="both"/>
              <w:rPr>
                <w:sz w:val="20"/>
              </w:rPr>
            </w:pPr>
            <w:r>
              <w:rPr>
                <w:sz w:val="20"/>
              </w:rPr>
              <w:t>The update Sub-committee Terms of Reference were agreed by members.</w:t>
            </w:r>
          </w:p>
          <w:p>
            <w:pPr>
              <w:pStyle w:val="TableParagraph"/>
              <w:spacing w:line="340" w:lineRule="atLeast" w:before="126"/>
              <w:ind w:left="174" w:right="106"/>
              <w:jc w:val="both"/>
              <w:rPr>
                <w:sz w:val="20"/>
              </w:rPr>
            </w:pPr>
            <w:r>
              <w:rPr>
                <w:sz w:val="20"/>
              </w:rPr>
              <w:t>The Secretariat noted that the Sub-committee’s Terms of Reference, membership list and minutes will be published on the FXJSC website going forward.</w:t>
            </w:r>
          </w:p>
        </w:tc>
        <w:tc>
          <w:tcPr>
            <w:tcW w:w="1574" w:type="dxa"/>
          </w:tcPr>
          <w:p>
            <w:pPr>
              <w:pStyle w:val="TableParagraph"/>
              <w:spacing w:before="113"/>
              <w:ind w:left="109"/>
              <w:rPr>
                <w:b/>
                <w:sz w:val="20"/>
              </w:rPr>
            </w:pPr>
            <w:r>
              <w:rPr>
                <w:b/>
                <w:sz w:val="20"/>
              </w:rPr>
              <w:t>ACT FXJSC</w:t>
            </w:r>
          </w:p>
          <w:p>
            <w:pPr>
              <w:pStyle w:val="TableParagraph"/>
              <w:spacing w:line="360" w:lineRule="auto" w:before="113"/>
              <w:ind w:left="109" w:right="244"/>
              <w:rPr>
                <w:sz w:val="20"/>
              </w:rPr>
            </w:pPr>
            <w:r>
              <w:rPr>
                <w:b/>
                <w:sz w:val="20"/>
              </w:rPr>
              <w:t>Secretariat </w:t>
            </w:r>
            <w:r>
              <w:rPr>
                <w:sz w:val="20"/>
              </w:rPr>
              <w:t>– to send meeting details for 2018 to members.</w:t>
            </w:r>
          </w:p>
        </w:tc>
      </w:tr>
      <w:tr>
        <w:trPr>
          <w:trHeight w:val="344" w:hRule="atLeast"/>
        </w:trPr>
        <w:tc>
          <w:tcPr>
            <w:tcW w:w="1019" w:type="dxa"/>
          </w:tcPr>
          <w:p>
            <w:pPr>
              <w:pStyle w:val="TableParagraph"/>
              <w:spacing w:line="210" w:lineRule="exact" w:before="114"/>
              <w:ind w:left="200"/>
              <w:rPr>
                <w:sz w:val="20"/>
              </w:rPr>
            </w:pPr>
            <w:r>
              <w:rPr>
                <w:sz w:val="20"/>
              </w:rPr>
              <w:t>5.</w:t>
            </w:r>
          </w:p>
        </w:tc>
        <w:tc>
          <w:tcPr>
            <w:tcW w:w="7154" w:type="dxa"/>
          </w:tcPr>
          <w:p>
            <w:pPr>
              <w:pStyle w:val="TableParagraph"/>
              <w:spacing w:line="212" w:lineRule="exact" w:before="112"/>
              <w:ind w:left="174"/>
              <w:rPr>
                <w:i/>
                <w:sz w:val="20"/>
              </w:rPr>
            </w:pPr>
            <w:r>
              <w:rPr>
                <w:b/>
                <w:sz w:val="20"/>
              </w:rPr>
              <w:t>Sub-committee composition </w:t>
            </w:r>
            <w:r>
              <w:rPr>
                <w:i/>
                <w:sz w:val="20"/>
              </w:rPr>
              <w:t>(Chair – Isabelle Dennigan, RBC)</w:t>
            </w:r>
          </w:p>
        </w:tc>
        <w:tc>
          <w:tcPr>
            <w:tcW w:w="1574" w:type="dxa"/>
          </w:tcPr>
          <w:p>
            <w:pPr>
              <w:pStyle w:val="TableParagraph"/>
              <w:rPr>
                <w:rFonts w:ascii="Times New Roman"/>
                <w:sz w:val="18"/>
              </w:rPr>
            </w:pPr>
          </w:p>
        </w:tc>
      </w:tr>
    </w:tbl>
    <w:p>
      <w:pPr>
        <w:spacing w:after="0"/>
        <w:rPr>
          <w:rFonts w:ascii="Times New Roman"/>
          <w:sz w:val="18"/>
        </w:rPr>
        <w:sectPr>
          <w:pgSz w:w="11910" w:h="16840"/>
          <w:pgMar w:top="142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394"/>
        <w:gridCol w:w="1505"/>
      </w:tblGrid>
      <w:tr>
        <w:trPr>
          <w:trHeight w:val="1377" w:hRule="atLeast"/>
        </w:trPr>
        <w:tc>
          <w:tcPr>
            <w:tcW w:w="779" w:type="dxa"/>
          </w:tcPr>
          <w:p>
            <w:pPr>
              <w:pStyle w:val="TableParagraph"/>
              <w:rPr>
                <w:rFonts w:ascii="Times New Roman"/>
                <w:sz w:val="18"/>
              </w:rPr>
            </w:pPr>
          </w:p>
        </w:tc>
        <w:tc>
          <w:tcPr>
            <w:tcW w:w="7394" w:type="dxa"/>
          </w:tcPr>
          <w:p>
            <w:pPr>
              <w:pStyle w:val="TableParagraph"/>
              <w:spacing w:line="360" w:lineRule="auto"/>
              <w:ind w:left="414" w:right="104"/>
              <w:jc w:val="both"/>
              <w:rPr>
                <w:sz w:val="20"/>
              </w:rPr>
            </w:pPr>
            <w:r>
              <w:rPr>
                <w:sz w:val="20"/>
              </w:rPr>
              <w:t>Members discussed the sub-committee’s composition with the view to ensure that it remained representative of the FX industry in the UK. Members concluded that the composition was appropriate but would continue to</w:t>
            </w:r>
          </w:p>
          <w:p>
            <w:pPr>
              <w:pStyle w:val="TableParagraph"/>
              <w:ind w:left="414"/>
              <w:rPr>
                <w:sz w:val="20"/>
              </w:rPr>
            </w:pPr>
            <w:r>
              <w:rPr>
                <w:sz w:val="20"/>
              </w:rPr>
              <w:t>monitor.</w:t>
            </w:r>
          </w:p>
        </w:tc>
        <w:tc>
          <w:tcPr>
            <w:tcW w:w="1505" w:type="dxa"/>
          </w:tcPr>
          <w:p>
            <w:pPr>
              <w:pStyle w:val="TableParagraph"/>
              <w:rPr>
                <w:rFonts w:ascii="Times New Roman"/>
                <w:sz w:val="18"/>
              </w:rPr>
            </w:pPr>
          </w:p>
        </w:tc>
      </w:tr>
      <w:tr>
        <w:trPr>
          <w:trHeight w:val="3000" w:hRule="atLeast"/>
        </w:trPr>
        <w:tc>
          <w:tcPr>
            <w:tcW w:w="779" w:type="dxa"/>
          </w:tcPr>
          <w:p>
            <w:pPr>
              <w:pStyle w:val="TableParagraph"/>
              <w:spacing w:before="115"/>
              <w:ind w:left="200"/>
              <w:rPr>
                <w:sz w:val="20"/>
              </w:rPr>
            </w:pPr>
            <w:r>
              <w:rPr>
                <w:sz w:val="20"/>
              </w:rPr>
              <w:t>6.</w:t>
            </w:r>
          </w:p>
        </w:tc>
        <w:tc>
          <w:tcPr>
            <w:tcW w:w="7394" w:type="dxa"/>
          </w:tcPr>
          <w:p>
            <w:pPr>
              <w:pStyle w:val="TableParagraph"/>
              <w:spacing w:before="113"/>
              <w:ind w:left="414"/>
              <w:jc w:val="both"/>
              <w:rPr>
                <w:i/>
                <w:sz w:val="20"/>
              </w:rPr>
            </w:pPr>
            <w:r>
              <w:rPr>
                <w:b/>
                <w:sz w:val="20"/>
              </w:rPr>
              <w:t>Infrastructure Resiliency </w:t>
            </w:r>
            <w:r>
              <w:rPr>
                <w:i/>
                <w:sz w:val="20"/>
              </w:rPr>
              <w:t>(Jon Goddard, BoNY)</w:t>
            </w:r>
          </w:p>
          <w:p>
            <w:pPr>
              <w:pStyle w:val="TableParagraph"/>
              <w:spacing w:before="8"/>
              <w:rPr>
                <w:rFonts w:ascii="Times New Roman"/>
                <w:sz w:val="20"/>
              </w:rPr>
            </w:pPr>
          </w:p>
          <w:p>
            <w:pPr>
              <w:pStyle w:val="TableParagraph"/>
              <w:spacing w:line="360" w:lineRule="auto"/>
              <w:ind w:left="414" w:right="104"/>
              <w:jc w:val="both"/>
              <w:rPr>
                <w:sz w:val="20"/>
              </w:rPr>
            </w:pPr>
            <w:r>
              <w:rPr>
                <w:sz w:val="20"/>
              </w:rPr>
              <w:t>Jon Goddard noted that a sub-working group of the FXJSC Operations Sub- committee were the authors of the FX Settlement Crisis Management playbook, and summarised the document’s objective and its scope. Members discussed the potential benefits of producing a further resiliency playbook on cyber-attack, using the FX Settlement Crisis Management playbook as a baseline. It was agreed that it would be beneficial to liaise with the Bank of</w:t>
            </w:r>
          </w:p>
          <w:p>
            <w:pPr>
              <w:pStyle w:val="TableParagraph"/>
              <w:spacing w:line="229" w:lineRule="exact"/>
              <w:ind w:left="414"/>
              <w:jc w:val="both"/>
              <w:rPr>
                <w:sz w:val="20"/>
              </w:rPr>
            </w:pPr>
            <w:r>
              <w:rPr>
                <w:sz w:val="20"/>
              </w:rPr>
              <w:t>England’s Sector Resiliency team.</w:t>
            </w:r>
          </w:p>
        </w:tc>
        <w:tc>
          <w:tcPr>
            <w:tcW w:w="1505" w:type="dxa"/>
          </w:tcPr>
          <w:p>
            <w:pPr>
              <w:pStyle w:val="TableParagraph"/>
              <w:spacing w:before="113"/>
              <w:ind w:left="109"/>
              <w:rPr>
                <w:b/>
                <w:sz w:val="20"/>
              </w:rPr>
            </w:pPr>
            <w:r>
              <w:rPr>
                <w:b/>
                <w:sz w:val="20"/>
              </w:rPr>
              <w:t>ACT FXJSC</w:t>
            </w:r>
          </w:p>
          <w:p>
            <w:pPr>
              <w:pStyle w:val="TableParagraph"/>
              <w:spacing w:line="360" w:lineRule="auto" w:before="115"/>
              <w:ind w:left="109" w:right="175"/>
              <w:rPr>
                <w:sz w:val="20"/>
              </w:rPr>
            </w:pPr>
            <w:r>
              <w:rPr>
                <w:b/>
                <w:sz w:val="20"/>
              </w:rPr>
              <w:t>Secretariat – </w:t>
            </w:r>
            <w:r>
              <w:rPr>
                <w:sz w:val="20"/>
              </w:rPr>
              <w:t>to liaise with the Sector Resiliency team.</w:t>
            </w:r>
          </w:p>
        </w:tc>
      </w:tr>
      <w:tr>
        <w:trPr>
          <w:trHeight w:val="3464" w:hRule="atLeast"/>
        </w:trPr>
        <w:tc>
          <w:tcPr>
            <w:tcW w:w="779" w:type="dxa"/>
          </w:tcPr>
          <w:p>
            <w:pPr>
              <w:pStyle w:val="TableParagraph"/>
              <w:spacing w:before="115"/>
              <w:ind w:left="200"/>
              <w:rPr>
                <w:sz w:val="20"/>
              </w:rPr>
            </w:pPr>
            <w:r>
              <w:rPr>
                <w:sz w:val="20"/>
              </w:rPr>
              <w:t>7.</w:t>
            </w:r>
          </w:p>
        </w:tc>
        <w:tc>
          <w:tcPr>
            <w:tcW w:w="7394" w:type="dxa"/>
          </w:tcPr>
          <w:p>
            <w:pPr>
              <w:pStyle w:val="TableParagraph"/>
              <w:spacing w:line="360" w:lineRule="auto" w:before="113"/>
              <w:ind w:left="414" w:right="122"/>
              <w:jc w:val="both"/>
              <w:rPr>
                <w:i/>
                <w:sz w:val="20"/>
              </w:rPr>
            </w:pPr>
            <w:r>
              <w:rPr>
                <w:b/>
                <w:sz w:val="20"/>
              </w:rPr>
              <w:t>RTGS extended settlement day feedback </w:t>
            </w:r>
            <w:r>
              <w:rPr>
                <w:i/>
                <w:sz w:val="20"/>
              </w:rPr>
              <w:t>(Andrejus Pustelnikovas, Bank</w:t>
            </w:r>
            <w:r>
              <w:rPr>
                <w:i/>
                <w:spacing w:val="-19"/>
                <w:sz w:val="20"/>
              </w:rPr>
              <w:t> </w:t>
            </w:r>
            <w:r>
              <w:rPr>
                <w:i/>
                <w:sz w:val="20"/>
              </w:rPr>
              <w:t>of </w:t>
            </w:r>
            <w:r>
              <w:rPr>
                <w:i/>
                <w:sz w:val="20"/>
              </w:rPr>
              <w:t>England)</w:t>
            </w:r>
          </w:p>
          <w:p>
            <w:pPr>
              <w:pStyle w:val="TableParagraph"/>
              <w:spacing w:line="360" w:lineRule="auto" w:before="121"/>
              <w:ind w:left="414" w:right="103"/>
              <w:jc w:val="both"/>
              <w:rPr>
                <w:sz w:val="20"/>
              </w:rPr>
            </w:pPr>
            <w:r>
              <w:rPr>
                <w:sz w:val="20"/>
              </w:rPr>
              <w:t>Andrejus Pustelnikovas noted that the CHAPS operational day had been extended by 100 minutes in June 2016, and outlined some of the intended benefits from this change. He was interested to hear about members’ experiences since the extended settlement day.</w:t>
            </w:r>
          </w:p>
          <w:p>
            <w:pPr>
              <w:pStyle w:val="TableParagraph"/>
              <w:spacing w:line="340" w:lineRule="atLeast" w:before="10"/>
              <w:ind w:left="414" w:right="110"/>
              <w:jc w:val="both"/>
              <w:rPr>
                <w:sz w:val="20"/>
              </w:rPr>
            </w:pPr>
            <w:r>
              <w:rPr>
                <w:sz w:val="20"/>
              </w:rPr>
              <w:t>It was noted that while the extension has not affected the timings of FX trades, it allowed more FX trades to settle during the day and benefitted their treasury functions.</w:t>
            </w:r>
          </w:p>
        </w:tc>
        <w:tc>
          <w:tcPr>
            <w:tcW w:w="1505" w:type="dxa"/>
          </w:tcPr>
          <w:p>
            <w:pPr>
              <w:pStyle w:val="TableParagraph"/>
              <w:rPr>
                <w:rFonts w:ascii="Times New Roman"/>
                <w:sz w:val="18"/>
              </w:rPr>
            </w:pPr>
          </w:p>
        </w:tc>
      </w:tr>
      <w:tr>
        <w:trPr>
          <w:trHeight w:val="3344" w:hRule="atLeast"/>
        </w:trPr>
        <w:tc>
          <w:tcPr>
            <w:tcW w:w="779" w:type="dxa"/>
          </w:tcPr>
          <w:p>
            <w:pPr>
              <w:pStyle w:val="TableParagraph"/>
              <w:spacing w:before="114"/>
              <w:ind w:left="200"/>
              <w:rPr>
                <w:sz w:val="20"/>
              </w:rPr>
            </w:pPr>
            <w:r>
              <w:rPr>
                <w:sz w:val="20"/>
              </w:rPr>
              <w:t>8.</w:t>
            </w:r>
          </w:p>
        </w:tc>
        <w:tc>
          <w:tcPr>
            <w:tcW w:w="7394" w:type="dxa"/>
          </w:tcPr>
          <w:p>
            <w:pPr>
              <w:pStyle w:val="TableParagraph"/>
              <w:spacing w:line="360" w:lineRule="auto" w:before="112"/>
              <w:ind w:left="414" w:right="107"/>
              <w:jc w:val="both"/>
              <w:rPr>
                <w:i/>
                <w:sz w:val="20"/>
              </w:rPr>
            </w:pPr>
            <w:r>
              <w:rPr>
                <w:b/>
                <w:sz w:val="20"/>
              </w:rPr>
              <w:t>Update on the Global Foreign Exchange Committee </w:t>
            </w:r>
            <w:r>
              <w:rPr>
                <w:i/>
                <w:sz w:val="20"/>
              </w:rPr>
              <w:t>(Grigoria </w:t>
            </w:r>
            <w:r>
              <w:rPr>
                <w:i/>
                <w:sz w:val="20"/>
              </w:rPr>
              <w:t>Christodoulou, Bank of England)</w:t>
            </w:r>
          </w:p>
          <w:p>
            <w:pPr>
              <w:pStyle w:val="TableParagraph"/>
              <w:spacing w:line="360" w:lineRule="auto" w:before="123"/>
              <w:ind w:left="414" w:right="106"/>
              <w:jc w:val="both"/>
              <w:rPr>
                <w:sz w:val="20"/>
              </w:rPr>
            </w:pPr>
            <w:r>
              <w:rPr>
                <w:sz w:val="20"/>
              </w:rPr>
              <w:t>Grigoria Christodoulou provided an update on developments around the FX Global Code following its publication in May 2017, and the newly established Global Foreign Exchange Committee (GFXC). Key priorities for the GFXC this year included considering market feedback received on certain last look practices; conducting a survey to measure the baseline level of awareness and</w:t>
            </w:r>
            <w:r>
              <w:rPr>
                <w:spacing w:val="14"/>
                <w:sz w:val="20"/>
              </w:rPr>
              <w:t> </w:t>
            </w:r>
            <w:r>
              <w:rPr>
                <w:sz w:val="20"/>
              </w:rPr>
              <w:t>adoption</w:t>
            </w:r>
            <w:r>
              <w:rPr>
                <w:spacing w:val="14"/>
                <w:sz w:val="20"/>
              </w:rPr>
              <w:t> </w:t>
            </w:r>
            <w:r>
              <w:rPr>
                <w:sz w:val="20"/>
              </w:rPr>
              <w:t>of</w:t>
            </w:r>
            <w:r>
              <w:rPr>
                <w:spacing w:val="15"/>
                <w:sz w:val="20"/>
              </w:rPr>
              <w:t> </w:t>
            </w:r>
            <w:r>
              <w:rPr>
                <w:sz w:val="20"/>
              </w:rPr>
              <w:t>the</w:t>
            </w:r>
            <w:r>
              <w:rPr>
                <w:spacing w:val="14"/>
                <w:sz w:val="20"/>
              </w:rPr>
              <w:t> </w:t>
            </w:r>
            <w:r>
              <w:rPr>
                <w:sz w:val="20"/>
              </w:rPr>
              <w:t>FX</w:t>
            </w:r>
            <w:r>
              <w:rPr>
                <w:spacing w:val="16"/>
                <w:sz w:val="20"/>
              </w:rPr>
              <w:t> </w:t>
            </w:r>
            <w:r>
              <w:rPr>
                <w:sz w:val="20"/>
              </w:rPr>
              <w:t>Global</w:t>
            </w:r>
            <w:r>
              <w:rPr>
                <w:spacing w:val="14"/>
                <w:sz w:val="20"/>
              </w:rPr>
              <w:t> </w:t>
            </w:r>
            <w:r>
              <w:rPr>
                <w:sz w:val="20"/>
              </w:rPr>
              <w:t>Code</w:t>
            </w:r>
            <w:r>
              <w:rPr>
                <w:spacing w:val="14"/>
                <w:sz w:val="20"/>
              </w:rPr>
              <w:t> </w:t>
            </w:r>
            <w:r>
              <w:rPr>
                <w:sz w:val="20"/>
              </w:rPr>
              <w:t>by</w:t>
            </w:r>
            <w:r>
              <w:rPr>
                <w:spacing w:val="12"/>
                <w:sz w:val="20"/>
              </w:rPr>
              <w:t> </w:t>
            </w:r>
            <w:r>
              <w:rPr>
                <w:sz w:val="20"/>
              </w:rPr>
              <w:t>Market</w:t>
            </w:r>
            <w:r>
              <w:rPr>
                <w:spacing w:val="14"/>
                <w:sz w:val="20"/>
              </w:rPr>
              <w:t> </w:t>
            </w:r>
            <w:r>
              <w:rPr>
                <w:sz w:val="20"/>
              </w:rPr>
              <w:t>Participants;</w:t>
            </w:r>
            <w:r>
              <w:rPr>
                <w:spacing w:val="15"/>
                <w:sz w:val="20"/>
              </w:rPr>
              <w:t> </w:t>
            </w:r>
            <w:r>
              <w:rPr>
                <w:sz w:val="20"/>
              </w:rPr>
              <w:t>and</w:t>
            </w:r>
            <w:r>
              <w:rPr>
                <w:spacing w:val="14"/>
                <w:sz w:val="20"/>
              </w:rPr>
              <w:t> </w:t>
            </w:r>
            <w:r>
              <w:rPr>
                <w:sz w:val="20"/>
              </w:rPr>
              <w:t>developing</w:t>
            </w:r>
          </w:p>
          <w:p>
            <w:pPr>
              <w:pStyle w:val="TableParagraph"/>
              <w:spacing w:line="229" w:lineRule="exact"/>
              <w:ind w:left="414"/>
              <w:jc w:val="both"/>
              <w:rPr>
                <w:sz w:val="20"/>
              </w:rPr>
            </w:pPr>
            <w:r>
              <w:rPr>
                <w:sz w:val="20"/>
              </w:rPr>
              <w:t>further the Committee’s membership and outreach arrangements.</w:t>
            </w:r>
          </w:p>
        </w:tc>
        <w:tc>
          <w:tcPr>
            <w:tcW w:w="1505" w:type="dxa"/>
          </w:tcPr>
          <w:p>
            <w:pPr>
              <w:pStyle w:val="TableParagraph"/>
              <w:rPr>
                <w:rFonts w:ascii="Times New Roman"/>
                <w:sz w:val="18"/>
              </w:rPr>
            </w:pPr>
          </w:p>
        </w:tc>
      </w:tr>
      <w:tr>
        <w:trPr>
          <w:trHeight w:val="2311" w:hRule="atLeast"/>
        </w:trPr>
        <w:tc>
          <w:tcPr>
            <w:tcW w:w="779" w:type="dxa"/>
          </w:tcPr>
          <w:p>
            <w:pPr>
              <w:pStyle w:val="TableParagraph"/>
              <w:spacing w:before="115"/>
              <w:ind w:left="200"/>
              <w:rPr>
                <w:sz w:val="20"/>
              </w:rPr>
            </w:pPr>
            <w:r>
              <w:rPr>
                <w:sz w:val="20"/>
              </w:rPr>
              <w:t>9.</w:t>
            </w:r>
          </w:p>
        </w:tc>
        <w:tc>
          <w:tcPr>
            <w:tcW w:w="7394" w:type="dxa"/>
          </w:tcPr>
          <w:p>
            <w:pPr>
              <w:pStyle w:val="TableParagraph"/>
              <w:spacing w:before="113"/>
              <w:ind w:left="414"/>
              <w:jc w:val="both"/>
              <w:rPr>
                <w:b/>
                <w:sz w:val="20"/>
              </w:rPr>
            </w:pPr>
            <w:r>
              <w:rPr>
                <w:b/>
                <w:sz w:val="20"/>
              </w:rPr>
              <w:t>Education and Outreach</w:t>
            </w:r>
          </w:p>
          <w:p>
            <w:pPr>
              <w:pStyle w:val="TableParagraph"/>
              <w:spacing w:before="8"/>
              <w:rPr>
                <w:rFonts w:ascii="Times New Roman"/>
                <w:sz w:val="20"/>
              </w:rPr>
            </w:pPr>
          </w:p>
          <w:p>
            <w:pPr>
              <w:pStyle w:val="TableParagraph"/>
              <w:spacing w:line="360" w:lineRule="auto"/>
              <w:ind w:left="414" w:right="111"/>
              <w:jc w:val="both"/>
              <w:rPr>
                <w:sz w:val="20"/>
              </w:rPr>
            </w:pPr>
            <w:r>
              <w:rPr>
                <w:sz w:val="20"/>
              </w:rPr>
              <w:t>Will Deighton provided an update on the recent ECB Operations Managers Working Group meeting, noting a focus on MIFID II and the applications of blockchain technology.</w:t>
            </w:r>
          </w:p>
          <w:p>
            <w:pPr>
              <w:pStyle w:val="TableParagraph"/>
              <w:spacing w:line="340" w:lineRule="atLeast" w:before="10"/>
              <w:ind w:left="414" w:right="108"/>
              <w:jc w:val="both"/>
              <w:rPr>
                <w:sz w:val="20"/>
              </w:rPr>
            </w:pPr>
            <w:r>
              <w:rPr>
                <w:sz w:val="20"/>
              </w:rPr>
              <w:t>David Broadway and Nigel Brigden provided written updates from the Investment Association and Association of Foreign Banks, respectively,</w:t>
            </w:r>
          </w:p>
        </w:tc>
        <w:tc>
          <w:tcPr>
            <w:tcW w:w="1505" w:type="dxa"/>
          </w:tcPr>
          <w:p>
            <w:pPr>
              <w:pStyle w:val="TableParagraph"/>
              <w:rPr>
                <w:rFonts w:ascii="Times New Roman"/>
                <w:sz w:val="18"/>
              </w:rPr>
            </w:pPr>
          </w:p>
        </w:tc>
      </w:tr>
    </w:tbl>
    <w:p>
      <w:pPr>
        <w:spacing w:after="0"/>
        <w:rPr>
          <w:rFonts w:ascii="Times New Roman"/>
          <w:sz w:val="18"/>
        </w:rPr>
        <w:sectPr>
          <w:pgSz w:w="11910" w:h="16840"/>
          <w:pgMar w:top="142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426"/>
      </w:tblGrid>
      <w:tr>
        <w:trPr>
          <w:trHeight w:val="349" w:hRule="atLeast"/>
        </w:trPr>
        <w:tc>
          <w:tcPr>
            <w:tcW w:w="835" w:type="dxa"/>
          </w:tcPr>
          <w:p>
            <w:pPr>
              <w:pStyle w:val="TableParagraph"/>
              <w:rPr>
                <w:rFonts w:ascii="Times New Roman"/>
                <w:sz w:val="18"/>
              </w:rPr>
            </w:pPr>
          </w:p>
        </w:tc>
        <w:tc>
          <w:tcPr>
            <w:tcW w:w="7426" w:type="dxa"/>
          </w:tcPr>
          <w:p>
            <w:pPr>
              <w:pStyle w:val="TableParagraph"/>
              <w:spacing w:line="223" w:lineRule="exact"/>
              <w:ind w:left="358"/>
              <w:rPr>
                <w:sz w:val="20"/>
              </w:rPr>
            </w:pPr>
            <w:r>
              <w:rPr>
                <w:sz w:val="20"/>
              </w:rPr>
              <w:t>ahead of the meeting which were shared with the Sub-committee.</w:t>
            </w:r>
          </w:p>
        </w:tc>
      </w:tr>
      <w:tr>
        <w:trPr>
          <w:trHeight w:val="1850" w:hRule="atLeast"/>
        </w:trPr>
        <w:tc>
          <w:tcPr>
            <w:tcW w:w="835" w:type="dxa"/>
          </w:tcPr>
          <w:p>
            <w:pPr>
              <w:pStyle w:val="TableParagraph"/>
              <w:spacing w:before="121"/>
              <w:ind w:left="200"/>
              <w:rPr>
                <w:sz w:val="20"/>
              </w:rPr>
            </w:pPr>
            <w:r>
              <w:rPr>
                <w:sz w:val="20"/>
              </w:rPr>
              <w:t>10.</w:t>
            </w:r>
          </w:p>
        </w:tc>
        <w:tc>
          <w:tcPr>
            <w:tcW w:w="7426" w:type="dxa"/>
          </w:tcPr>
          <w:p>
            <w:pPr>
              <w:pStyle w:val="TableParagraph"/>
              <w:spacing w:before="119"/>
              <w:ind w:left="358"/>
              <w:jc w:val="both"/>
              <w:rPr>
                <w:i/>
                <w:sz w:val="20"/>
              </w:rPr>
            </w:pPr>
            <w:r>
              <w:rPr>
                <w:b/>
                <w:sz w:val="20"/>
              </w:rPr>
              <w:t>MIFID II general discussion </w:t>
            </w:r>
            <w:r>
              <w:rPr>
                <w:i/>
                <w:sz w:val="20"/>
              </w:rPr>
              <w:t>(Chair – Isabelle Dennigan, RBC)</w:t>
            </w:r>
          </w:p>
          <w:p>
            <w:pPr>
              <w:pStyle w:val="TableParagraph"/>
              <w:spacing w:line="340" w:lineRule="atLeast" w:before="6"/>
              <w:ind w:left="358" w:right="198"/>
              <w:jc w:val="both"/>
              <w:rPr>
                <w:sz w:val="20"/>
              </w:rPr>
            </w:pPr>
            <w:r>
              <w:rPr>
                <w:sz w:val="20"/>
              </w:rPr>
              <w:t>Members noted that the introduction of MiFID II in early 2018 remained a significant area of focus for them. They expressed the wish to receive more information from the FCA around the post-execution client reporting requirements and the application of Legal Entity Identifiers (LEIs).</w:t>
            </w:r>
          </w:p>
        </w:tc>
      </w:tr>
      <w:tr>
        <w:trPr>
          <w:trHeight w:val="1724" w:hRule="atLeast"/>
        </w:trPr>
        <w:tc>
          <w:tcPr>
            <w:tcW w:w="835" w:type="dxa"/>
          </w:tcPr>
          <w:p>
            <w:pPr>
              <w:pStyle w:val="TableParagraph"/>
              <w:spacing w:before="114"/>
              <w:ind w:left="200"/>
              <w:rPr>
                <w:sz w:val="20"/>
              </w:rPr>
            </w:pPr>
            <w:r>
              <w:rPr>
                <w:sz w:val="20"/>
              </w:rPr>
              <w:t>11.</w:t>
            </w:r>
          </w:p>
        </w:tc>
        <w:tc>
          <w:tcPr>
            <w:tcW w:w="7426" w:type="dxa"/>
          </w:tcPr>
          <w:p>
            <w:pPr>
              <w:pStyle w:val="TableParagraph"/>
              <w:spacing w:before="112"/>
              <w:ind w:left="358"/>
              <w:rPr>
                <w:i/>
                <w:sz w:val="20"/>
              </w:rPr>
            </w:pPr>
            <w:r>
              <w:rPr>
                <w:b/>
                <w:sz w:val="20"/>
              </w:rPr>
              <w:t>Any other business </w:t>
            </w:r>
            <w:r>
              <w:rPr>
                <w:i/>
                <w:sz w:val="20"/>
              </w:rPr>
              <w:t>(Chair – Isabelle Dennigan, RBC)</w:t>
            </w:r>
          </w:p>
          <w:p>
            <w:pPr>
              <w:pStyle w:val="TableParagraph"/>
              <w:spacing w:line="360" w:lineRule="auto" w:before="118"/>
              <w:ind w:left="358"/>
              <w:rPr>
                <w:sz w:val="20"/>
              </w:rPr>
            </w:pPr>
            <w:r>
              <w:rPr>
                <w:sz w:val="20"/>
              </w:rPr>
              <w:t>The Chair noted that if members had any ideas for presentations, to forward them to the Secretariat to consider for future meetings.</w:t>
            </w:r>
          </w:p>
          <w:p>
            <w:pPr>
              <w:pStyle w:val="TableParagraph"/>
              <w:spacing w:before="1"/>
              <w:ind w:left="358"/>
              <w:rPr>
                <w:sz w:val="20"/>
              </w:rPr>
            </w:pPr>
            <w:r>
              <w:rPr>
                <w:sz w:val="20"/>
              </w:rPr>
              <w:t>The next meeting of the FXJSC Operations Sub-committee will be held on 13</w:t>
            </w:r>
          </w:p>
          <w:p>
            <w:pPr>
              <w:pStyle w:val="TableParagraph"/>
              <w:spacing w:line="210" w:lineRule="exact" w:before="113"/>
              <w:ind w:left="358"/>
              <w:rPr>
                <w:sz w:val="20"/>
              </w:rPr>
            </w:pPr>
            <w:r>
              <w:rPr>
                <w:sz w:val="20"/>
              </w:rPr>
              <w:t>November 2017 at the Bank of England.</w:t>
            </w:r>
          </w:p>
        </w:tc>
      </w:tr>
    </w:tbl>
    <w:sectPr>
      <w:pgSz w:w="11910" w:h="16840"/>
      <w:pgMar w:top="142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94"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25" w:hanging="360"/>
      </w:pPr>
      <w:rPr>
        <w:rFonts w:hint="default"/>
        <w:lang w:val="en-gb" w:eastAsia="en-gb" w:bidi="en-gb"/>
      </w:rPr>
    </w:lvl>
    <w:lvl w:ilvl="2">
      <w:start w:val="0"/>
      <w:numFmt w:val="bullet"/>
      <w:lvlText w:val="•"/>
      <w:lvlJc w:val="left"/>
      <w:pPr>
        <w:ind w:left="2150" w:hanging="360"/>
      </w:pPr>
      <w:rPr>
        <w:rFonts w:hint="default"/>
        <w:lang w:val="en-gb" w:eastAsia="en-gb" w:bidi="en-gb"/>
      </w:rPr>
    </w:lvl>
    <w:lvl w:ilvl="3">
      <w:start w:val="0"/>
      <w:numFmt w:val="bullet"/>
      <w:lvlText w:val="•"/>
      <w:lvlJc w:val="left"/>
      <w:pPr>
        <w:ind w:left="2776" w:hanging="360"/>
      </w:pPr>
      <w:rPr>
        <w:rFonts w:hint="default"/>
        <w:lang w:val="en-gb" w:eastAsia="en-gb" w:bidi="en-gb"/>
      </w:rPr>
    </w:lvl>
    <w:lvl w:ilvl="4">
      <w:start w:val="0"/>
      <w:numFmt w:val="bullet"/>
      <w:lvlText w:val="•"/>
      <w:lvlJc w:val="left"/>
      <w:pPr>
        <w:ind w:left="3401" w:hanging="360"/>
      </w:pPr>
      <w:rPr>
        <w:rFonts w:hint="default"/>
        <w:lang w:val="en-gb" w:eastAsia="en-gb" w:bidi="en-gb"/>
      </w:rPr>
    </w:lvl>
    <w:lvl w:ilvl="5">
      <w:start w:val="0"/>
      <w:numFmt w:val="bullet"/>
      <w:lvlText w:val="•"/>
      <w:lvlJc w:val="left"/>
      <w:pPr>
        <w:ind w:left="4027" w:hanging="360"/>
      </w:pPr>
      <w:rPr>
        <w:rFonts w:hint="default"/>
        <w:lang w:val="en-gb" w:eastAsia="en-gb" w:bidi="en-gb"/>
      </w:rPr>
    </w:lvl>
    <w:lvl w:ilvl="6">
      <w:start w:val="0"/>
      <w:numFmt w:val="bullet"/>
      <w:lvlText w:val="•"/>
      <w:lvlJc w:val="left"/>
      <w:pPr>
        <w:ind w:left="4652" w:hanging="360"/>
      </w:pPr>
      <w:rPr>
        <w:rFonts w:hint="default"/>
        <w:lang w:val="en-gb" w:eastAsia="en-gb" w:bidi="en-gb"/>
      </w:rPr>
    </w:lvl>
    <w:lvl w:ilvl="7">
      <w:start w:val="0"/>
      <w:numFmt w:val="bullet"/>
      <w:lvlText w:val="•"/>
      <w:lvlJc w:val="left"/>
      <w:pPr>
        <w:ind w:left="5277" w:hanging="360"/>
      </w:pPr>
      <w:rPr>
        <w:rFonts w:hint="default"/>
        <w:lang w:val="en-gb" w:eastAsia="en-gb" w:bidi="en-gb"/>
      </w:rPr>
    </w:lvl>
    <w:lvl w:ilvl="8">
      <w:start w:val="0"/>
      <w:numFmt w:val="bullet"/>
      <w:lvlText w:val="•"/>
      <w:lvlJc w:val="left"/>
      <w:pPr>
        <w:ind w:left="590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Minutes sub-committee</dc:subject>
  <dc:title>FXJSC Minutes sub-committee minutes 12.09.2017</dc:title>
  <dcterms:created xsi:type="dcterms:W3CDTF">2020-06-01T02:01:36Z</dcterms:created>
  <dcterms:modified xsi:type="dcterms:W3CDTF">2020-06-01T02:01:36Z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LastSaved">
    <vt:filetime>2020-06-01T00:00:00Z</vt:filetime>
  </property>
</Properties>
</file>