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spacing w:before="86"/>
        <w:ind w:left="111" w:right="0" w:firstLine="0"/>
        <w:jc w:val="left"/>
        <w:rPr>
          <w:sz w:val="44"/>
        </w:rPr>
      </w:pPr>
      <w:r>
        <w:rPr>
          <w:sz w:val="44"/>
        </w:rPr>
        <w:t>Minutes</w:t>
      </w:r>
    </w:p>
    <w:p>
      <w:pPr>
        <w:spacing w:before="339"/>
        <w:ind w:left="111" w:right="0" w:firstLine="0"/>
        <w:jc w:val="left"/>
        <w:rPr>
          <w:b/>
          <w:sz w:val="24"/>
        </w:rPr>
      </w:pPr>
      <w:r>
        <w:rPr>
          <w:b/>
          <w:sz w:val="24"/>
        </w:rPr>
        <w:t>FOREIGN EXCHANGE JOINT STANDING COMMITTEE</w:t>
      </w:r>
    </w:p>
    <w:p>
      <w:pPr>
        <w:spacing w:before="41"/>
        <w:ind w:left="111" w:right="0" w:firstLine="0"/>
        <w:jc w:val="left"/>
        <w:rPr>
          <w:sz w:val="24"/>
        </w:rPr>
      </w:pPr>
      <w:r>
        <w:rPr>
          <w:sz w:val="24"/>
        </w:rPr>
        <w:t>19 December 2016</w:t>
      </w:r>
    </w:p>
    <w:p>
      <w:pPr>
        <w:pStyle w:val="BodyText"/>
        <w:spacing w:before="3"/>
      </w:pPr>
      <w:r>
        <w:rPr/>
        <w:pict>
          <v:shape style="position:absolute;margin-left:56.580002pt;margin-top:13.855186pt;width:482.1pt;height:.1pt;mso-position-horizontal-relative:page;mso-position-vertical-relative:paragraph;z-index:-251658240;mso-wrap-distance-left:0;mso-wrap-distance-right:0" coordorigin="1132,277" coordsize="9642,0" path="m1132,277l10774,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11"/>
      </w:pPr>
      <w:r>
        <w:rPr/>
        <w:t>Location: Prudential Regulation Authority, 20 Moorgate, London, EC2R 6DA</w:t>
      </w:r>
    </w:p>
    <w:p>
      <w:pPr>
        <w:pStyle w:val="BodyText"/>
        <w:rPr>
          <w:sz w:val="23"/>
        </w:rPr>
      </w:pPr>
    </w:p>
    <w:p>
      <w:pPr>
        <w:spacing w:before="0"/>
        <w:ind w:left="111" w:right="0" w:firstLine="0"/>
        <w:jc w:val="left"/>
        <w:rPr>
          <w:sz w:val="20"/>
        </w:rPr>
      </w:pPr>
      <w:r>
        <w:rPr>
          <w:sz w:val="20"/>
        </w:rPr>
        <w:t>Attendees: </w:t>
      </w:r>
      <w:r>
        <w:rPr>
          <w:b/>
          <w:sz w:val="20"/>
        </w:rPr>
        <w:t>Association of Corporate Treasurers</w:t>
      </w:r>
      <w:r>
        <w:rPr>
          <w:sz w:val="20"/>
        </w:rPr>
        <w:t>: Sarah Boyce</w:t>
      </w:r>
    </w:p>
    <w:p>
      <w:pPr>
        <w:spacing w:before="34"/>
        <w:ind w:left="1106" w:right="0" w:firstLine="0"/>
        <w:jc w:val="left"/>
        <w:rPr>
          <w:sz w:val="20"/>
        </w:rPr>
      </w:pPr>
      <w:r>
        <w:rPr>
          <w:b/>
          <w:sz w:val="20"/>
        </w:rPr>
        <w:t>Bank of China</w:t>
      </w:r>
      <w:r>
        <w:rPr>
          <w:sz w:val="20"/>
        </w:rPr>
        <w:t>: Wang Yan</w:t>
      </w:r>
    </w:p>
    <w:p>
      <w:pPr>
        <w:spacing w:before="36"/>
        <w:ind w:left="1106" w:right="0" w:firstLine="0"/>
        <w:jc w:val="left"/>
        <w:rPr>
          <w:sz w:val="20"/>
        </w:rPr>
      </w:pPr>
      <w:r>
        <w:rPr>
          <w:b/>
          <w:sz w:val="20"/>
        </w:rPr>
        <w:t>Bank of Tokyo-Mitsubishi UFJ: </w:t>
      </w:r>
      <w:r>
        <w:rPr>
          <w:sz w:val="20"/>
        </w:rPr>
        <w:t>Tetsuro Kono</w:t>
      </w:r>
    </w:p>
    <w:p>
      <w:pPr>
        <w:spacing w:before="34"/>
        <w:ind w:left="1106" w:right="0" w:firstLine="0"/>
        <w:jc w:val="left"/>
        <w:rPr>
          <w:sz w:val="20"/>
        </w:rPr>
      </w:pPr>
      <w:r>
        <w:rPr>
          <w:b/>
          <w:sz w:val="20"/>
        </w:rPr>
        <w:t>Barclays: </w:t>
      </w:r>
      <w:r>
        <w:rPr>
          <w:sz w:val="20"/>
        </w:rPr>
        <w:t>James Hassett</w:t>
      </w:r>
    </w:p>
    <w:p>
      <w:pPr>
        <w:spacing w:before="35"/>
        <w:ind w:left="1106" w:right="0" w:firstLine="0"/>
        <w:jc w:val="left"/>
        <w:rPr>
          <w:sz w:val="20"/>
        </w:rPr>
      </w:pPr>
      <w:r>
        <w:rPr>
          <w:b/>
          <w:sz w:val="20"/>
        </w:rPr>
        <w:t>British Bankers’ Association: </w:t>
      </w:r>
      <w:r>
        <w:rPr>
          <w:sz w:val="20"/>
        </w:rPr>
        <w:t>Ronald Kent</w:t>
      </w:r>
    </w:p>
    <w:p>
      <w:pPr>
        <w:spacing w:before="34"/>
        <w:ind w:left="1106" w:right="0" w:firstLine="0"/>
        <w:jc w:val="left"/>
        <w:rPr>
          <w:sz w:val="20"/>
        </w:rPr>
      </w:pPr>
      <w:r>
        <w:rPr>
          <w:b/>
          <w:sz w:val="20"/>
        </w:rPr>
        <w:t>Citigroup: </w:t>
      </w:r>
      <w:r>
        <w:rPr>
          <w:sz w:val="20"/>
        </w:rPr>
        <w:t>James Bindler</w:t>
      </w:r>
    </w:p>
    <w:p>
      <w:pPr>
        <w:spacing w:before="34"/>
        <w:ind w:left="1106" w:right="0" w:firstLine="0"/>
        <w:jc w:val="left"/>
        <w:rPr>
          <w:sz w:val="20"/>
        </w:rPr>
      </w:pPr>
      <w:r>
        <w:rPr>
          <w:b/>
          <w:sz w:val="20"/>
        </w:rPr>
        <w:t>CLS: </w:t>
      </w:r>
      <w:r>
        <w:rPr>
          <w:sz w:val="20"/>
        </w:rPr>
        <w:t>David Puth</w:t>
      </w:r>
    </w:p>
    <w:p>
      <w:pPr>
        <w:spacing w:before="35"/>
        <w:ind w:left="1106" w:right="0" w:firstLine="0"/>
        <w:jc w:val="left"/>
        <w:rPr>
          <w:sz w:val="20"/>
        </w:rPr>
      </w:pPr>
      <w:r>
        <w:rPr>
          <w:b/>
          <w:sz w:val="20"/>
        </w:rPr>
        <w:t>FICC Markets Standards Board: </w:t>
      </w:r>
      <w:r>
        <w:rPr>
          <w:sz w:val="20"/>
        </w:rPr>
        <w:t>James Kemp</w:t>
      </w:r>
    </w:p>
    <w:p>
      <w:pPr>
        <w:spacing w:before="34"/>
        <w:ind w:left="1106" w:right="0" w:firstLine="0"/>
        <w:jc w:val="left"/>
        <w:rPr>
          <w:sz w:val="20"/>
        </w:rPr>
      </w:pPr>
      <w:r>
        <w:rPr>
          <w:b/>
          <w:sz w:val="20"/>
        </w:rPr>
        <w:t>Financial Conduct Authority: </w:t>
      </w:r>
      <w:r>
        <w:rPr>
          <w:sz w:val="20"/>
        </w:rPr>
        <w:t>Jamie Black, Edwin Schooling Latter</w:t>
      </w:r>
    </w:p>
    <w:p>
      <w:pPr>
        <w:pStyle w:val="BodyText"/>
        <w:spacing w:before="35"/>
        <w:ind w:left="1106"/>
      </w:pPr>
      <w:r>
        <w:rPr>
          <w:b/>
        </w:rPr>
        <w:t>Goldman Sachs: </w:t>
      </w:r>
      <w:r>
        <w:rPr/>
        <w:t>Dan Parker (Guest Representative), Michael Weiss (Guest Representative)</w:t>
      </w:r>
    </w:p>
    <w:p>
      <w:pPr>
        <w:spacing w:before="34"/>
        <w:ind w:left="1106" w:right="0" w:firstLine="0"/>
        <w:jc w:val="left"/>
        <w:rPr>
          <w:sz w:val="20"/>
        </w:rPr>
      </w:pPr>
      <w:r>
        <w:rPr>
          <w:b/>
          <w:sz w:val="20"/>
        </w:rPr>
        <w:t>HSBC: </w:t>
      </w:r>
      <w:r>
        <w:rPr>
          <w:sz w:val="20"/>
        </w:rPr>
        <w:t>Frederic Boillereau</w:t>
      </w:r>
    </w:p>
    <w:p>
      <w:pPr>
        <w:spacing w:before="34"/>
        <w:ind w:left="1106" w:right="0" w:firstLine="0"/>
        <w:jc w:val="left"/>
        <w:rPr>
          <w:sz w:val="20"/>
        </w:rPr>
      </w:pPr>
      <w:r>
        <w:rPr>
          <w:b/>
          <w:sz w:val="20"/>
        </w:rPr>
        <w:t>Legal &amp; General Investment Management: </w:t>
      </w:r>
      <w:r>
        <w:rPr>
          <w:sz w:val="20"/>
        </w:rPr>
        <w:t>Stephen Grady</w:t>
      </w:r>
    </w:p>
    <w:p>
      <w:pPr>
        <w:spacing w:before="36"/>
        <w:ind w:left="1106" w:right="0" w:firstLine="0"/>
        <w:jc w:val="left"/>
        <w:rPr>
          <w:sz w:val="20"/>
        </w:rPr>
      </w:pPr>
      <w:r>
        <w:rPr>
          <w:b/>
          <w:sz w:val="20"/>
        </w:rPr>
        <w:t>Millennium Global Investments: </w:t>
      </w:r>
      <w:r>
        <w:rPr>
          <w:sz w:val="20"/>
        </w:rPr>
        <w:t>Lisa Scott-Smith</w:t>
      </w:r>
    </w:p>
    <w:p>
      <w:pPr>
        <w:spacing w:before="34"/>
        <w:ind w:left="1106" w:right="0" w:firstLine="0"/>
        <w:jc w:val="left"/>
        <w:rPr>
          <w:sz w:val="20"/>
        </w:rPr>
      </w:pPr>
      <w:r>
        <w:rPr>
          <w:b/>
          <w:sz w:val="20"/>
        </w:rPr>
        <w:t>Royal Bank of Canada: </w:t>
      </w:r>
      <w:r>
        <w:rPr>
          <w:sz w:val="20"/>
        </w:rPr>
        <w:t>Isabelle Dennigan (Chair Operations Sub-Committee)</w:t>
      </w:r>
    </w:p>
    <w:p>
      <w:pPr>
        <w:spacing w:line="276" w:lineRule="auto" w:before="35"/>
        <w:ind w:left="1106" w:right="5809" w:firstLine="0"/>
        <w:jc w:val="left"/>
        <w:rPr>
          <w:sz w:val="20"/>
        </w:rPr>
      </w:pPr>
      <w:r>
        <w:rPr>
          <w:b/>
          <w:sz w:val="20"/>
        </w:rPr>
        <w:t>Saxo Bank: </w:t>
      </w:r>
      <w:r>
        <w:rPr>
          <w:sz w:val="20"/>
        </w:rPr>
        <w:t>Kurt Vom Scheidt </w:t>
      </w:r>
      <w:r>
        <w:rPr>
          <w:b/>
          <w:sz w:val="20"/>
        </w:rPr>
        <w:t>Shell: </w:t>
      </w:r>
      <w:r>
        <w:rPr>
          <w:sz w:val="20"/>
        </w:rPr>
        <w:t>Frances Hinden </w:t>
      </w:r>
      <w:r>
        <w:rPr>
          <w:b/>
          <w:sz w:val="20"/>
        </w:rPr>
        <w:t>Thomson Reuters: </w:t>
      </w:r>
      <w:r>
        <w:rPr>
          <w:sz w:val="20"/>
        </w:rPr>
        <w:t>Neill Penney </w:t>
      </w:r>
      <w:r>
        <w:rPr>
          <w:b/>
          <w:sz w:val="20"/>
        </w:rPr>
        <w:t>Tullett Prebon: </w:t>
      </w:r>
      <w:r>
        <w:rPr>
          <w:sz w:val="20"/>
        </w:rPr>
        <w:t>James Potter </w:t>
      </w:r>
      <w:r>
        <w:rPr>
          <w:b/>
          <w:sz w:val="20"/>
        </w:rPr>
        <w:t>UBS: </w:t>
      </w:r>
      <w:r>
        <w:rPr>
          <w:sz w:val="20"/>
        </w:rPr>
        <w:t>Chris Purves</w:t>
      </w:r>
      <w:r>
        <w:rPr>
          <w:spacing w:val="-5"/>
          <w:sz w:val="20"/>
        </w:rPr>
        <w:t> </w:t>
      </w:r>
      <w:r>
        <w:rPr>
          <w:sz w:val="20"/>
        </w:rPr>
        <w:t>(Alternate)</w:t>
      </w:r>
    </w:p>
    <w:p>
      <w:pPr>
        <w:spacing w:before="0"/>
        <w:ind w:left="1106" w:right="0" w:firstLine="0"/>
        <w:jc w:val="left"/>
        <w:rPr>
          <w:sz w:val="20"/>
        </w:rPr>
      </w:pPr>
      <w:r>
        <w:rPr>
          <w:b/>
          <w:sz w:val="20"/>
        </w:rPr>
        <w:t>Wholesale Markets Brokers’ Association</w:t>
      </w:r>
      <w:r>
        <w:rPr>
          <w:sz w:val="20"/>
        </w:rPr>
        <w:t>: David Clark</w:t>
      </w:r>
    </w:p>
    <w:p>
      <w:pPr>
        <w:spacing w:before="34"/>
        <w:ind w:left="1106" w:right="0" w:firstLine="0"/>
        <w:jc w:val="left"/>
        <w:rPr>
          <w:sz w:val="20"/>
        </w:rPr>
      </w:pPr>
      <w:r>
        <w:rPr>
          <w:b/>
          <w:sz w:val="20"/>
        </w:rPr>
        <w:t>XTX Markets: </w:t>
      </w:r>
      <w:r>
        <w:rPr>
          <w:sz w:val="20"/>
        </w:rPr>
        <w:t>Sunil Samani (Guest Representative)</w:t>
      </w:r>
    </w:p>
    <w:p>
      <w:pPr>
        <w:pStyle w:val="BodyText"/>
        <w:spacing w:line="276" w:lineRule="auto" w:before="34"/>
        <w:ind w:left="1106" w:right="106"/>
        <w:jc w:val="both"/>
      </w:pPr>
      <w:r>
        <w:rPr>
          <w:b/>
        </w:rPr>
        <w:t>Bank of England: </w:t>
      </w:r>
      <w:r>
        <w:rPr/>
        <w:t>Chris Salmon (Chair), Grigoria Christodoulou (Secretariat), Lisa Gupta (Secretariat), Jonathan Grant (Legal), Jonathan Keane (Legal), Liam Crowley-Reidy (Speaker), Chris Cox, David Edmunds, Yanina Gonzalez, Alex Hutton, Rebecca Jackson, James O’Connor, Thomas Lynch</w:t>
      </w:r>
    </w:p>
    <w:p>
      <w:pPr>
        <w:pStyle w:val="BodyText"/>
        <w:rPr>
          <w:sz w:val="22"/>
        </w:rPr>
      </w:pPr>
    </w:p>
    <w:p>
      <w:pPr>
        <w:pStyle w:val="BodyText"/>
        <w:rPr>
          <w:sz w:val="21"/>
        </w:rPr>
      </w:pPr>
    </w:p>
    <w:p>
      <w:pPr>
        <w:spacing w:before="0"/>
        <w:ind w:left="111" w:right="0" w:firstLine="0"/>
        <w:jc w:val="left"/>
        <w:rPr>
          <w:sz w:val="20"/>
        </w:rPr>
      </w:pPr>
      <w:r>
        <w:rPr>
          <w:sz w:val="20"/>
        </w:rPr>
        <w:t>Apologies: </w:t>
      </w:r>
      <w:r>
        <w:rPr>
          <w:b/>
          <w:sz w:val="20"/>
        </w:rPr>
        <w:t>AXA Investment Managers: </w:t>
      </w:r>
      <w:r>
        <w:rPr>
          <w:sz w:val="20"/>
        </w:rPr>
        <w:t>Lee Sanders</w:t>
      </w:r>
    </w:p>
    <w:p>
      <w:pPr>
        <w:spacing w:before="34"/>
        <w:ind w:left="1106" w:right="0" w:firstLine="0"/>
        <w:jc w:val="left"/>
        <w:rPr>
          <w:sz w:val="20"/>
        </w:rPr>
      </w:pPr>
      <w:r>
        <w:rPr>
          <w:b/>
          <w:sz w:val="20"/>
        </w:rPr>
        <w:t>Bank of New York Mellon: </w:t>
      </w:r>
      <w:r>
        <w:rPr>
          <w:sz w:val="20"/>
        </w:rPr>
        <w:t>Richard Gill</w:t>
      </w:r>
    </w:p>
    <w:p>
      <w:pPr>
        <w:pStyle w:val="BodyText"/>
        <w:spacing w:before="36"/>
        <w:ind w:left="1106"/>
      </w:pPr>
      <w:r>
        <w:rPr>
          <w:b/>
        </w:rPr>
        <w:t>Barclays: </w:t>
      </w:r>
      <w:r>
        <w:rPr/>
        <w:t>Chris Allen (Chair Legal Sub- Committee)</w:t>
      </w:r>
    </w:p>
    <w:p>
      <w:pPr>
        <w:spacing w:line="276" w:lineRule="auto" w:before="34"/>
        <w:ind w:left="1106" w:right="5409" w:firstLine="0"/>
        <w:jc w:val="left"/>
        <w:rPr>
          <w:sz w:val="20"/>
        </w:rPr>
      </w:pPr>
      <w:r>
        <w:rPr>
          <w:b/>
          <w:sz w:val="20"/>
        </w:rPr>
        <w:t>BNP Paribas: </w:t>
      </w:r>
      <w:r>
        <w:rPr>
          <w:sz w:val="20"/>
        </w:rPr>
        <w:t>Adrian Boehler </w:t>
      </w:r>
      <w:r>
        <w:rPr>
          <w:b/>
          <w:sz w:val="20"/>
        </w:rPr>
        <w:t>Deutsche Bank: </w:t>
      </w:r>
      <w:r>
        <w:rPr>
          <w:sz w:val="20"/>
        </w:rPr>
        <w:t>Russell Lascala </w:t>
      </w:r>
      <w:r>
        <w:rPr>
          <w:b/>
          <w:sz w:val="20"/>
        </w:rPr>
        <w:t>Goldman Sachs: </w:t>
      </w:r>
      <w:r>
        <w:rPr>
          <w:sz w:val="20"/>
        </w:rPr>
        <w:t>Kayhan Mirza </w:t>
      </w:r>
      <w:r>
        <w:rPr>
          <w:b/>
          <w:sz w:val="20"/>
        </w:rPr>
        <w:t>Insight Investment: </w:t>
      </w:r>
      <w:r>
        <w:rPr>
          <w:sz w:val="20"/>
        </w:rPr>
        <w:t>Richard Purssell </w:t>
      </w:r>
      <w:r>
        <w:rPr>
          <w:b/>
          <w:sz w:val="20"/>
        </w:rPr>
        <w:t>Rolls-Royce: </w:t>
      </w:r>
      <w:r>
        <w:rPr>
          <w:sz w:val="20"/>
        </w:rPr>
        <w:t>James Harvey</w:t>
      </w:r>
    </w:p>
    <w:p>
      <w:pPr>
        <w:pStyle w:val="BodyText"/>
        <w:ind w:left="1106"/>
      </w:pPr>
      <w:r>
        <w:rPr>
          <w:b/>
        </w:rPr>
        <w:t>UBS: </w:t>
      </w:r>
      <w:r>
        <w:rPr/>
        <w:t>George Athanasopoulos</w:t>
      </w:r>
    </w:p>
    <w:p>
      <w:pPr>
        <w:spacing w:before="35"/>
        <w:ind w:left="1106" w:right="0" w:firstLine="0"/>
        <w:jc w:val="left"/>
        <w:rPr>
          <w:sz w:val="20"/>
        </w:rPr>
      </w:pPr>
      <w:r>
        <w:rPr>
          <w:b/>
          <w:sz w:val="20"/>
        </w:rPr>
        <w:t>XTX Markets: </w:t>
      </w:r>
      <w:r>
        <w:rPr>
          <w:sz w:val="20"/>
        </w:rPr>
        <w:t>Zar Amrolia</w:t>
      </w:r>
    </w:p>
    <w:p>
      <w:pPr>
        <w:pStyle w:val="BodyText"/>
      </w:pPr>
    </w:p>
    <w:p>
      <w:pPr>
        <w:pStyle w:val="BodyText"/>
      </w:pPr>
    </w:p>
    <w:p>
      <w:pPr>
        <w:pStyle w:val="BodyText"/>
      </w:pPr>
    </w:p>
    <w:p>
      <w:pPr>
        <w:pStyle w:val="BodyText"/>
        <w:spacing w:before="5"/>
        <w:rPr>
          <w:sz w:val="28"/>
        </w:rPr>
      </w:pPr>
      <w:r>
        <w:rPr/>
        <w:pict>
          <v:shape style="position:absolute;margin-left:56.580002pt;margin-top:18.468697pt;width:482.1pt;height:.1pt;mso-position-horizontal-relative:page;mso-position-vertical-relative:paragraph;z-index:-251657216;mso-wrap-distance-left:0;mso-wrap-distance-right:0" coordorigin="1132,369" coordsize="9642,0" path="m1132,369l10774,369e" filled="false" stroked="true" strokeweight=".23999pt" strokecolor="#000000">
            <v:path arrowok="t"/>
            <v:stroke dashstyle="solid"/>
            <w10:wrap type="topAndBottom"/>
          </v:shape>
        </w:pict>
      </w:r>
    </w:p>
    <w:p>
      <w:pPr>
        <w:spacing w:after="0"/>
        <w:rPr>
          <w:sz w:val="28"/>
        </w:rPr>
        <w:sectPr>
          <w:type w:val="continuous"/>
          <w:pgSz w:w="11910" w:h="16840"/>
          <w:pgMar w:top="1600" w:bottom="280" w:left="1020" w:right="1020"/>
        </w:sectPr>
      </w:pPr>
    </w:p>
    <w:p>
      <w:pPr>
        <w:pStyle w:val="BodyText"/>
        <w:spacing w:line="20" w:lineRule="exact"/>
        <w:ind w:left="108"/>
        <w:rPr>
          <w:sz w:val="2"/>
        </w:rPr>
      </w:pPr>
      <w:r>
        <w:rPr>
          <w:sz w:val="2"/>
        </w:rPr>
        <w:pict>
          <v:group style="width:482.1pt;height:.25pt;mso-position-horizontal-relative:char;mso-position-vertical-relative:line" coordorigin="0,0" coordsize="9642,5">
            <v:line style="position:absolute" from="0,2" to="9642,2" stroked="true" strokeweight=".23999pt" strokecolor="#000000">
              <v:stroke dashstyle="solid"/>
            </v:line>
          </v:group>
        </w:pict>
      </w:r>
      <w:r>
        <w:rPr>
          <w:sz w:val="2"/>
        </w:rPr>
      </w:r>
    </w:p>
    <w:p>
      <w:pPr>
        <w:pStyle w:val="BodyText"/>
        <w:spacing w:before="10"/>
        <w:rPr>
          <w:sz w:val="9"/>
        </w:rPr>
      </w:pPr>
    </w:p>
    <w:p>
      <w:pPr>
        <w:spacing w:after="0"/>
        <w:rPr>
          <w:sz w:val="9"/>
        </w:rPr>
        <w:sectPr>
          <w:pgSz w:w="11910" w:h="16840"/>
          <w:pgMar w:top="1140" w:bottom="280" w:left="1020" w:right="1020"/>
        </w:sectPr>
      </w:pPr>
    </w:p>
    <w:p>
      <w:pPr>
        <w:pStyle w:val="Heading1"/>
        <w:spacing w:before="94"/>
        <w:ind w:left="219" w:right="22" w:firstLine="0"/>
        <w:jc w:val="left"/>
      </w:pPr>
      <w:r>
        <w:rPr/>
        <w:t>Minute no.</w:t>
      </w:r>
    </w:p>
    <w:p>
      <w:pPr>
        <w:tabs>
          <w:tab w:pos="7085" w:val="left" w:leader="none"/>
        </w:tabs>
        <w:spacing w:line="230" w:lineRule="exact" w:before="94"/>
        <w:ind w:left="0" w:right="295" w:firstLine="0"/>
        <w:jc w:val="right"/>
        <w:rPr>
          <w:b/>
          <w:sz w:val="20"/>
        </w:rPr>
      </w:pPr>
      <w:r>
        <w:rPr/>
        <w:br w:type="column"/>
      </w:r>
      <w:r>
        <w:rPr>
          <w:b/>
          <w:sz w:val="20"/>
        </w:rPr>
        <w:t>Minute</w:t>
        <w:tab/>
        <w:t>Action</w:t>
      </w:r>
      <w:r>
        <w:rPr>
          <w:b/>
          <w:spacing w:val="-8"/>
          <w:sz w:val="20"/>
        </w:rPr>
        <w:t> </w:t>
      </w:r>
      <w:r>
        <w:rPr>
          <w:b/>
          <w:sz w:val="20"/>
        </w:rPr>
        <w:t>owner</w:t>
      </w:r>
    </w:p>
    <w:p>
      <w:pPr>
        <w:spacing w:line="230" w:lineRule="exact" w:before="0"/>
        <w:ind w:left="0" w:right="328" w:firstLine="0"/>
        <w:jc w:val="right"/>
        <w:rPr>
          <w:b/>
          <w:sz w:val="20"/>
        </w:rPr>
      </w:pPr>
      <w:r>
        <w:rPr>
          <w:b/>
          <w:sz w:val="20"/>
        </w:rPr>
        <w:t>and due</w:t>
      </w:r>
      <w:r>
        <w:rPr>
          <w:b/>
          <w:spacing w:val="-9"/>
          <w:sz w:val="20"/>
        </w:rPr>
        <w:t> </w:t>
      </w:r>
      <w:r>
        <w:rPr>
          <w:b/>
          <w:sz w:val="20"/>
        </w:rPr>
        <w:t>date</w:t>
      </w:r>
    </w:p>
    <w:p>
      <w:pPr>
        <w:spacing w:after="0" w:line="230" w:lineRule="exact"/>
        <w:jc w:val="right"/>
        <w:rPr>
          <w:sz w:val="20"/>
        </w:rPr>
        <w:sectPr>
          <w:type w:val="continuous"/>
          <w:pgSz w:w="11910" w:h="16840"/>
          <w:pgMar w:top="1600" w:bottom="280" w:left="1020" w:right="1020"/>
          <w:cols w:num="2" w:equalWidth="0">
            <w:col w:w="906" w:space="89"/>
            <w:col w:w="8875"/>
          </w:cols>
        </w:sectPr>
      </w:pPr>
    </w:p>
    <w:p>
      <w:pPr>
        <w:pStyle w:val="BodyText"/>
        <w:spacing w:before="6"/>
        <w:rPr>
          <w:b/>
          <w:sz w:val="12"/>
        </w:rPr>
      </w:pPr>
    </w:p>
    <w:p>
      <w:pPr>
        <w:pStyle w:val="ListParagraph"/>
        <w:numPr>
          <w:ilvl w:val="0"/>
          <w:numId w:val="1"/>
        </w:numPr>
        <w:tabs>
          <w:tab w:pos="1214" w:val="left" w:leader="none"/>
          <w:tab w:pos="1215" w:val="left" w:leader="none"/>
        </w:tabs>
        <w:spacing w:line="230" w:lineRule="exact" w:before="95" w:after="0"/>
        <w:ind w:left="1214" w:right="0" w:hanging="996"/>
        <w:jc w:val="both"/>
        <w:rPr>
          <w:b/>
          <w:sz w:val="20"/>
        </w:rPr>
      </w:pPr>
      <w:r>
        <w:rPr>
          <w:b/>
          <w:sz w:val="20"/>
        </w:rPr>
        <w:t>Welcome and apologies for</w:t>
      </w:r>
      <w:r>
        <w:rPr>
          <w:b/>
          <w:spacing w:val="-5"/>
          <w:sz w:val="20"/>
        </w:rPr>
        <w:t> </w:t>
      </w:r>
      <w:r>
        <w:rPr>
          <w:b/>
          <w:sz w:val="20"/>
        </w:rPr>
        <w:t>absence</w:t>
      </w:r>
    </w:p>
    <w:p>
      <w:pPr>
        <w:pStyle w:val="BodyText"/>
        <w:ind w:left="1214" w:right="1775"/>
        <w:jc w:val="both"/>
      </w:pPr>
      <w:r>
        <w:rPr/>
        <w:t>The Chair welcomed all attendees and informed them that Phil Weisberg (Thomson Reuters) had left the Committee and Lee Sanders (AXA Investment Managers) and Neill Penney (Thomson Reuters) had joined the Committee. The Chair also noted that Lisa Gupta (Secretariat) would be stepping down at the start of 2017 and a replacement would be announced in due course.</w:t>
      </w:r>
    </w:p>
    <w:p>
      <w:pPr>
        <w:pStyle w:val="BodyText"/>
        <w:spacing w:before="10"/>
      </w:pPr>
    </w:p>
    <w:p>
      <w:pPr>
        <w:pStyle w:val="BodyText"/>
        <w:ind w:left="1214" w:right="1775"/>
        <w:jc w:val="both"/>
      </w:pPr>
      <w:r>
        <w:rPr/>
        <w:t>The Chair reminded attendees that whilst this was primarily an additional FXJSC meeting convened to discuss and agree the FXJSC comments on the draft FX Global Code (the ‘Code’), the meeting duration had been extended to allow time for some regular updates and discussion of market developments. However given the majority of the meeting was focused on  the Code, nominated alternates and guest representatives had been allowed to attend where the main Committee member was unable to do so in line with the process adopted for other additional FXJSC</w:t>
      </w:r>
      <w:r>
        <w:rPr>
          <w:spacing w:val="-9"/>
        </w:rPr>
        <w:t> </w:t>
      </w:r>
      <w:r>
        <w:rPr/>
        <w:t>meetings.</w:t>
      </w:r>
    </w:p>
    <w:p>
      <w:pPr>
        <w:pStyle w:val="BodyText"/>
        <w:spacing w:before="10"/>
      </w:pPr>
    </w:p>
    <w:p>
      <w:pPr>
        <w:pStyle w:val="BodyText"/>
        <w:ind w:left="1214" w:right="1775"/>
        <w:jc w:val="both"/>
      </w:pPr>
      <w:r>
        <w:rPr/>
        <w:t>Apologies were received from Lee Sanders, Richard Gill, Adrian Boehler, Russell Lascala, Kayhan Mirza, Richard Purssell, James Harvey, George Athanasopoulos, Zar Amrolia and Chris Allen.</w:t>
      </w:r>
    </w:p>
    <w:p>
      <w:pPr>
        <w:pStyle w:val="BodyText"/>
        <w:rPr>
          <w:sz w:val="21"/>
        </w:rPr>
      </w:pPr>
    </w:p>
    <w:p>
      <w:pPr>
        <w:pStyle w:val="Heading1"/>
        <w:numPr>
          <w:ilvl w:val="0"/>
          <w:numId w:val="1"/>
        </w:numPr>
        <w:tabs>
          <w:tab w:pos="1214" w:val="left" w:leader="none"/>
          <w:tab w:pos="1215" w:val="left" w:leader="none"/>
        </w:tabs>
        <w:spacing w:line="229" w:lineRule="exact" w:before="0" w:after="0"/>
        <w:ind w:left="1214" w:right="0" w:hanging="996"/>
        <w:jc w:val="both"/>
      </w:pPr>
      <w:r>
        <w:rPr/>
        <w:t>Minutes of 14 September and 19 October meetings and matters</w:t>
      </w:r>
      <w:r>
        <w:rPr>
          <w:spacing w:val="-19"/>
        </w:rPr>
        <w:t> </w:t>
      </w:r>
      <w:r>
        <w:rPr/>
        <w:t>arising</w:t>
      </w:r>
    </w:p>
    <w:p>
      <w:pPr>
        <w:pStyle w:val="BodyText"/>
        <w:spacing w:line="229" w:lineRule="exact"/>
        <w:ind w:left="1214"/>
        <w:jc w:val="both"/>
      </w:pPr>
      <w:r>
        <w:rPr/>
        <w:t>The minutes of the September and October meetings were agreed.</w:t>
      </w:r>
    </w:p>
    <w:p>
      <w:pPr>
        <w:pStyle w:val="BodyText"/>
        <w:rPr>
          <w:sz w:val="21"/>
        </w:rPr>
      </w:pPr>
    </w:p>
    <w:p>
      <w:pPr>
        <w:pStyle w:val="Heading1"/>
        <w:numPr>
          <w:ilvl w:val="0"/>
          <w:numId w:val="1"/>
        </w:numPr>
        <w:tabs>
          <w:tab w:pos="1214" w:val="left" w:leader="none"/>
          <w:tab w:pos="1215" w:val="left" w:leader="none"/>
        </w:tabs>
        <w:spacing w:line="230" w:lineRule="exact" w:before="0" w:after="0"/>
        <w:ind w:left="1214" w:right="0" w:hanging="996"/>
        <w:jc w:val="both"/>
      </w:pPr>
      <w:r>
        <w:rPr/>
        <w:t>Regulatory</w:t>
      </w:r>
      <w:r>
        <w:rPr>
          <w:spacing w:val="-2"/>
        </w:rPr>
        <w:t> </w:t>
      </w:r>
      <w:r>
        <w:rPr/>
        <w:t>Update</w:t>
      </w:r>
    </w:p>
    <w:p>
      <w:pPr>
        <w:pStyle w:val="BodyText"/>
        <w:ind w:left="1214" w:right="1778"/>
        <w:jc w:val="both"/>
      </w:pPr>
      <w:r>
        <w:rPr/>
        <w:t>Jamie Black (Financial Conduct Authority) provided an update on a number of regulatory matters related to FX</w:t>
      </w:r>
      <w:r>
        <w:rPr>
          <w:spacing w:val="-10"/>
        </w:rPr>
        <w:t> </w:t>
      </w:r>
      <w:r>
        <w:rPr/>
        <w:t>including:</w:t>
      </w:r>
    </w:p>
    <w:p>
      <w:pPr>
        <w:pStyle w:val="BodyText"/>
        <w:spacing w:before="11"/>
        <w:rPr>
          <w:sz w:val="19"/>
        </w:rPr>
      </w:pPr>
    </w:p>
    <w:p>
      <w:pPr>
        <w:pStyle w:val="ListParagraph"/>
        <w:numPr>
          <w:ilvl w:val="1"/>
          <w:numId w:val="1"/>
        </w:numPr>
        <w:tabs>
          <w:tab w:pos="1935" w:val="left" w:leader="none"/>
        </w:tabs>
        <w:spacing w:line="240" w:lineRule="auto" w:before="0" w:after="0"/>
        <w:ind w:left="1934" w:right="1777" w:hanging="472"/>
        <w:jc w:val="both"/>
        <w:rPr>
          <w:sz w:val="20"/>
        </w:rPr>
      </w:pPr>
      <w:r>
        <w:rPr>
          <w:sz w:val="20"/>
        </w:rPr>
        <w:t>The MiFID II Delegated Regulation on which the FCA had published an implementation consultation paper on 29 September 2016 </w:t>
      </w:r>
      <w:r>
        <w:rPr>
          <w:spacing w:val="-4"/>
          <w:sz w:val="20"/>
        </w:rPr>
        <w:t>for </w:t>
      </w:r>
      <w:r>
        <w:rPr>
          <w:sz w:val="20"/>
        </w:rPr>
        <w:t>comment by 4 January 2017. The consultation paper proposed to issue guidance on the scope of the expanded definition of foreign exchange derivative</w:t>
      </w:r>
      <w:r>
        <w:rPr>
          <w:spacing w:val="-3"/>
          <w:sz w:val="20"/>
        </w:rPr>
        <w:t> </w:t>
      </w:r>
      <w:r>
        <w:rPr>
          <w:sz w:val="20"/>
        </w:rPr>
        <w:t>instruments.</w:t>
      </w:r>
    </w:p>
    <w:p>
      <w:pPr>
        <w:pStyle w:val="BodyText"/>
      </w:pPr>
    </w:p>
    <w:p>
      <w:pPr>
        <w:pStyle w:val="ListParagraph"/>
        <w:numPr>
          <w:ilvl w:val="1"/>
          <w:numId w:val="1"/>
        </w:numPr>
        <w:tabs>
          <w:tab w:pos="1935" w:val="left" w:leader="none"/>
        </w:tabs>
        <w:spacing w:line="240" w:lineRule="auto" w:before="0" w:after="0"/>
        <w:ind w:left="1934" w:right="1777" w:hanging="527"/>
        <w:jc w:val="both"/>
        <w:rPr>
          <w:sz w:val="20"/>
        </w:rPr>
      </w:pPr>
      <w:r>
        <w:rPr>
          <w:sz w:val="20"/>
        </w:rPr>
        <w:t>Margin requirements for non-cleared derivatives trades noting that the EMIR Regulatory Technical Standards (RTS) would be effective from 4 January 2017. Following efforts from the European authorities to bring the timing of the RTS in line with the implementation schedule set out in the BCBS/IOSCO global standards in the EU, the updated margin requirements for large financial institutions would be effective from 4 February 2017 and all other financial counterparties and systemically important non financials would be effective from 1 March</w:t>
      </w:r>
      <w:r>
        <w:rPr>
          <w:spacing w:val="-1"/>
          <w:sz w:val="20"/>
        </w:rPr>
        <w:t> </w:t>
      </w:r>
      <w:r>
        <w:rPr>
          <w:sz w:val="20"/>
        </w:rPr>
        <w:t>2017.</w:t>
      </w:r>
    </w:p>
    <w:p>
      <w:pPr>
        <w:pStyle w:val="BodyText"/>
        <w:spacing w:before="11"/>
        <w:rPr>
          <w:sz w:val="19"/>
        </w:rPr>
      </w:pPr>
    </w:p>
    <w:p>
      <w:pPr>
        <w:pStyle w:val="ListParagraph"/>
        <w:numPr>
          <w:ilvl w:val="1"/>
          <w:numId w:val="1"/>
        </w:numPr>
        <w:tabs>
          <w:tab w:pos="1936" w:val="left" w:leader="none"/>
        </w:tabs>
        <w:spacing w:line="240" w:lineRule="auto" w:before="0" w:after="0"/>
        <w:ind w:left="1934" w:right="1776" w:hanging="582"/>
        <w:jc w:val="both"/>
        <w:rPr>
          <w:sz w:val="20"/>
        </w:rPr>
      </w:pPr>
      <w:r>
        <w:rPr>
          <w:sz w:val="20"/>
        </w:rPr>
        <w:t>In response to evidence of poor conduct and investor protection concerns in relation to Contract for Difference products for retail clients, on 6 December 2016 the FCA released a consultation paper, for comment by 7 March 2017, which proposed a range of enhanced disclosure requirements for firms providing these products to retail clients. The consultation paper also outlined the FCA’s policy considerations for binary</w:t>
      </w:r>
      <w:r>
        <w:rPr>
          <w:spacing w:val="-4"/>
          <w:sz w:val="20"/>
        </w:rPr>
        <w:t> </w:t>
      </w:r>
      <w:r>
        <w:rPr>
          <w:sz w:val="20"/>
        </w:rPr>
        <w:t>bets.</w:t>
      </w:r>
    </w:p>
    <w:p>
      <w:pPr>
        <w:pStyle w:val="BodyText"/>
        <w:spacing w:before="1"/>
      </w:pPr>
    </w:p>
    <w:p>
      <w:pPr>
        <w:pStyle w:val="Heading1"/>
        <w:numPr>
          <w:ilvl w:val="0"/>
          <w:numId w:val="1"/>
        </w:numPr>
        <w:tabs>
          <w:tab w:pos="1214" w:val="left" w:leader="none"/>
          <w:tab w:pos="1215" w:val="left" w:leader="none"/>
        </w:tabs>
        <w:spacing w:line="240" w:lineRule="auto" w:before="0" w:after="0"/>
        <w:ind w:left="1214" w:right="0" w:hanging="996"/>
        <w:jc w:val="both"/>
      </w:pPr>
      <w:r>
        <w:rPr/>
        <w:t>Updates from the</w:t>
      </w:r>
      <w:r>
        <w:rPr>
          <w:spacing w:val="-5"/>
        </w:rPr>
        <w:t> </w:t>
      </w:r>
      <w:r>
        <w:rPr/>
        <w:t>sub-committees</w:t>
      </w:r>
    </w:p>
    <w:p>
      <w:pPr>
        <w:spacing w:line="230" w:lineRule="exact" w:before="0"/>
        <w:ind w:left="1214" w:right="0" w:firstLine="0"/>
        <w:jc w:val="both"/>
        <w:rPr>
          <w:i/>
          <w:sz w:val="20"/>
        </w:rPr>
      </w:pPr>
      <w:r>
        <w:rPr>
          <w:i/>
          <w:sz w:val="20"/>
        </w:rPr>
        <w:t>Operations sub-committee</w:t>
      </w:r>
    </w:p>
    <w:p>
      <w:pPr>
        <w:pStyle w:val="BodyText"/>
        <w:ind w:left="1214" w:right="1776"/>
        <w:jc w:val="both"/>
      </w:pPr>
      <w:r>
        <w:rPr/>
        <w:t>Isabelle Dennigan (Chair of Operations Sub-committee) provided  an overview of work being undertaken by the sub-committee. Isabelle Dennigan also noted that the sub-committee would review and agree its 2017 work priorities at its first meeting in 2017 and would seek the FXJSC Main Committee approval shortly</w:t>
      </w:r>
      <w:r>
        <w:rPr>
          <w:spacing w:val="-6"/>
        </w:rPr>
        <w:t> </w:t>
      </w:r>
      <w:r>
        <w:rPr/>
        <w:t>thereafter.</w:t>
      </w:r>
    </w:p>
    <w:p>
      <w:pPr>
        <w:spacing w:after="0"/>
        <w:jc w:val="both"/>
        <w:sectPr>
          <w:type w:val="continuous"/>
          <w:pgSz w:w="11910" w:h="16840"/>
          <w:pgMar w:top="1600" w:bottom="280" w:left="1020" w:right="1020"/>
        </w:sectPr>
      </w:pPr>
    </w:p>
    <w:p>
      <w:pPr>
        <w:pStyle w:val="BodyText"/>
        <w:spacing w:before="81"/>
        <w:ind w:left="1214" w:right="1776"/>
        <w:jc w:val="both"/>
      </w:pPr>
      <w:r>
        <w:rPr/>
        <w:t>The Operations sub-committee met on 24 November 2016 and received two presentations: (i) on FX clearing by LCH which covered how the FX product landscape was evolving such as increased NDF volumes and the impact of this on the services LCH offered their clients and; (ii) on the RTGS Strategy Review undertaken by the Bank of England with the publication of a consultation paper in September 2016 setting out the Bank of England’s vision for the next generation of its Real-Time Gross Settlement (RTGS) service.</w:t>
      </w:r>
      <w:r>
        <w:rPr>
          <w:vertAlign w:val="superscript"/>
        </w:rPr>
        <w:t>1</w:t>
      </w:r>
    </w:p>
    <w:p>
      <w:pPr>
        <w:pStyle w:val="BodyText"/>
        <w:spacing w:before="230"/>
        <w:ind w:left="1214" w:right="1778"/>
        <w:jc w:val="both"/>
      </w:pPr>
      <w:r>
        <w:rPr/>
        <w:t>Isabelle Dennigan provided an update on recent membership changes undertaken to ensure that the overall sub-committee composition continued to reflect the diversity of the wholesale FX</w:t>
      </w:r>
      <w:r>
        <w:rPr>
          <w:spacing w:val="-15"/>
        </w:rPr>
        <w:t> </w:t>
      </w:r>
      <w:r>
        <w:rPr/>
        <w:t>market.</w:t>
      </w:r>
    </w:p>
    <w:p>
      <w:pPr>
        <w:pStyle w:val="BodyText"/>
        <w:spacing w:before="1"/>
      </w:pPr>
    </w:p>
    <w:p>
      <w:pPr>
        <w:spacing w:line="230" w:lineRule="exact" w:before="0"/>
        <w:ind w:left="1214" w:right="0" w:firstLine="0"/>
        <w:jc w:val="both"/>
        <w:rPr>
          <w:i/>
          <w:sz w:val="20"/>
        </w:rPr>
      </w:pPr>
      <w:r>
        <w:rPr>
          <w:i/>
          <w:sz w:val="20"/>
        </w:rPr>
        <w:t>Legal sub-committee</w:t>
      </w:r>
    </w:p>
    <w:p>
      <w:pPr>
        <w:pStyle w:val="BodyText"/>
        <w:ind w:left="1214" w:right="1780"/>
        <w:jc w:val="both"/>
      </w:pPr>
      <w:r>
        <w:rPr/>
        <w:t>Jonathan Grant (Secretariat of Legal Sub-committee) provided an overview  of work being undertaken by the</w:t>
      </w:r>
      <w:r>
        <w:rPr>
          <w:spacing w:val="-8"/>
        </w:rPr>
        <w:t> </w:t>
      </w:r>
      <w:r>
        <w:rPr/>
        <w:t>sub-committee.</w:t>
      </w:r>
    </w:p>
    <w:p>
      <w:pPr>
        <w:pStyle w:val="BodyText"/>
        <w:spacing w:before="11"/>
        <w:rPr>
          <w:sz w:val="19"/>
        </w:rPr>
      </w:pPr>
    </w:p>
    <w:p>
      <w:pPr>
        <w:pStyle w:val="BodyText"/>
        <w:ind w:left="1214" w:right="1779"/>
        <w:jc w:val="both"/>
      </w:pPr>
      <w:r>
        <w:rPr/>
        <w:t>The Legal sub-committee met on 1 November 2016 and received a presentation from Clifford Chance on recent FX regulatory developments.</w:t>
      </w:r>
    </w:p>
    <w:p>
      <w:pPr>
        <w:pStyle w:val="BodyText"/>
        <w:ind w:left="1214" w:right="1776"/>
        <w:jc w:val="both"/>
      </w:pPr>
      <w:r>
        <w:rPr/>
        <w:t>Jonathan Grant noted that the sub-committee was commencing a review of its membership composition to ensure that it reflected the diversity of the wholesale FX</w:t>
      </w:r>
      <w:r>
        <w:rPr>
          <w:spacing w:val="-4"/>
        </w:rPr>
        <w:t> </w:t>
      </w:r>
      <w:r>
        <w:rPr/>
        <w:t>market.</w:t>
      </w:r>
    </w:p>
    <w:p>
      <w:pPr>
        <w:pStyle w:val="BodyText"/>
        <w:spacing w:before="1"/>
      </w:pPr>
    </w:p>
    <w:p>
      <w:pPr>
        <w:pStyle w:val="Heading1"/>
        <w:numPr>
          <w:ilvl w:val="0"/>
          <w:numId w:val="1"/>
        </w:numPr>
        <w:tabs>
          <w:tab w:pos="1214" w:val="left" w:leader="none"/>
          <w:tab w:pos="1215" w:val="left" w:leader="none"/>
        </w:tabs>
        <w:spacing w:line="240" w:lineRule="auto" w:before="0" w:after="0"/>
        <w:ind w:left="1214" w:right="0" w:hanging="996"/>
        <w:jc w:val="both"/>
      </w:pPr>
      <w:r>
        <w:rPr/>
        <w:t>Discussion of recent market</w:t>
      </w:r>
      <w:r>
        <w:rPr>
          <w:spacing w:val="-7"/>
        </w:rPr>
        <w:t> </w:t>
      </w:r>
      <w:r>
        <w:rPr/>
        <w:t>developments</w:t>
      </w:r>
    </w:p>
    <w:p>
      <w:pPr>
        <w:pStyle w:val="BodyText"/>
        <w:spacing w:before="10"/>
        <w:rPr>
          <w:b/>
          <w:sz w:val="19"/>
        </w:rPr>
      </w:pPr>
    </w:p>
    <w:p>
      <w:pPr>
        <w:pStyle w:val="BodyText"/>
        <w:ind w:left="1214" w:right="1776"/>
        <w:jc w:val="both"/>
      </w:pPr>
      <w:r>
        <w:rPr/>
        <w:t>Liam Crowley-Reidy (Bank of England) provided an overview of FX market developments since the September 2016 FXJSC meeting, focused on the 7 October 2016 sterling flash event based on work the Bank of England had undertaken for the BIS Markets Committee.</w:t>
      </w:r>
    </w:p>
    <w:p>
      <w:pPr>
        <w:pStyle w:val="BodyText"/>
      </w:pPr>
    </w:p>
    <w:p>
      <w:pPr>
        <w:pStyle w:val="BodyText"/>
        <w:ind w:left="1214" w:right="1776"/>
        <w:jc w:val="both"/>
      </w:pPr>
      <w:r>
        <w:rPr/>
        <w:t>Attendees discussed the possible drivers behind the event, its potential impact on market structure and function and lessons learned, including any elements that the Code could seek to provide guidance on, for example transparent reference pricing policies. Whilst attendees broadly agreed that there did not appear to be a clear single trigger point for the moves there was some discussion on option-related hedging and the impact that certain order types might have on spot FX, particularly in less liquid trading periods. The general consensus was that moves in spot FX were likely to have been exaggerated by options-related hedging flows as the currency depreciated. Refinements in documentation could potentially help mitigate against</w:t>
      </w:r>
      <w:r>
        <w:rPr>
          <w:spacing w:val="-24"/>
        </w:rPr>
        <w:t> </w:t>
      </w:r>
      <w:r>
        <w:rPr/>
        <w:t>this.</w:t>
      </w:r>
    </w:p>
    <w:p>
      <w:pPr>
        <w:pStyle w:val="BodyText"/>
      </w:pPr>
    </w:p>
    <w:p>
      <w:pPr>
        <w:pStyle w:val="BodyText"/>
        <w:ind w:left="1214" w:right="1776"/>
        <w:jc w:val="both"/>
      </w:pPr>
      <w:r>
        <w:rPr/>
        <w:t>Attendees discussed how allowing for greater discretion on behalf of intermediaries could minimise the impact of flash events. Greater discretion, however, could, under certain circumstances, reduce end-investors’ willingness to leave resting orders with dealers, leading the Committee to conclude that a balance was required.</w:t>
      </w:r>
    </w:p>
    <w:p>
      <w:pPr>
        <w:pStyle w:val="BodyText"/>
      </w:pPr>
    </w:p>
    <w:p>
      <w:pPr>
        <w:pStyle w:val="BodyText"/>
        <w:ind w:left="1214" w:right="1777"/>
        <w:jc w:val="both"/>
      </w:pPr>
      <w:r>
        <w:rPr/>
        <w:t>Attendees discussed whether flash events were likely to increase in frequency with the continued growth of automated</w:t>
      </w:r>
      <w:r>
        <w:rPr>
          <w:spacing w:val="-14"/>
        </w:rPr>
        <w:t> </w:t>
      </w:r>
      <w:r>
        <w:rPr/>
        <w:t>trading.</w:t>
      </w:r>
    </w:p>
    <w:p>
      <w:pPr>
        <w:pStyle w:val="BodyText"/>
      </w:pPr>
    </w:p>
    <w:p>
      <w:pPr>
        <w:pStyle w:val="BodyText"/>
        <w:ind w:left="1214" w:right="1777"/>
        <w:jc w:val="both"/>
      </w:pPr>
      <w:r>
        <w:rPr/>
        <w:t>Attendees agreed that the Swiss franc de-peg in January 2015 had triggered a re-assessment across FX market participants in terms of how they operated and what risk management processes they had in place. This contributed to the FX market’s greater resiliency around the sterling flash event.</w:t>
      </w:r>
    </w:p>
    <w:p>
      <w:pPr>
        <w:pStyle w:val="BodyText"/>
        <w:spacing w:before="1"/>
      </w:pPr>
    </w:p>
    <w:p>
      <w:pPr>
        <w:pStyle w:val="Heading1"/>
        <w:numPr>
          <w:ilvl w:val="0"/>
          <w:numId w:val="1"/>
        </w:numPr>
        <w:tabs>
          <w:tab w:pos="1214" w:val="left" w:leader="none"/>
          <w:tab w:pos="1215" w:val="left" w:leader="none"/>
        </w:tabs>
        <w:spacing w:line="240" w:lineRule="auto" w:before="0" w:after="0"/>
        <w:ind w:left="1214" w:right="0" w:hanging="996"/>
        <w:jc w:val="both"/>
      </w:pPr>
      <w:r>
        <w:rPr/>
        <w:t>FX Global</w:t>
      </w:r>
      <w:r>
        <w:rPr>
          <w:spacing w:val="-3"/>
        </w:rPr>
        <w:t> </w:t>
      </w:r>
      <w:r>
        <w:rPr/>
        <w:t>Code</w:t>
      </w:r>
    </w:p>
    <w:p>
      <w:pPr>
        <w:spacing w:line="230" w:lineRule="exact" w:before="0"/>
        <w:ind w:left="1214" w:right="0" w:firstLine="0"/>
        <w:jc w:val="both"/>
        <w:rPr>
          <w:i/>
          <w:sz w:val="20"/>
        </w:rPr>
      </w:pPr>
      <w:r>
        <w:rPr>
          <w:i/>
          <w:sz w:val="20"/>
        </w:rPr>
        <w:t>Feedback from working groups on draft text</w:t>
      </w:r>
    </w:p>
    <w:p>
      <w:pPr>
        <w:pStyle w:val="BodyText"/>
        <w:ind w:left="1214" w:right="1776"/>
        <w:jc w:val="both"/>
      </w:pPr>
      <w:r>
        <w:rPr/>
        <w:t>The Chair reminded attendees that the aim of the agenda item was to approve the feedback the FXJSC would submit to the BIS FX Working Group (FXWG) on the draft Code text that was circulated in early</w:t>
      </w:r>
      <w:r>
        <w:rPr>
          <w:spacing w:val="-12"/>
        </w:rPr>
        <w:t> </w:t>
      </w:r>
      <w:r>
        <w:rPr/>
        <w:t>December.</w:t>
      </w:r>
    </w:p>
    <w:p>
      <w:pPr>
        <w:pStyle w:val="BodyText"/>
        <w:spacing w:before="5"/>
        <w:rPr>
          <w:sz w:val="19"/>
        </w:rPr>
      </w:pPr>
      <w:r>
        <w:rPr/>
        <w:pict>
          <v:shape style="position:absolute;margin-left:56.700001pt;margin-top:13.41668pt;width:144pt;height:.1pt;mso-position-horizontal-relative:page;mso-position-vertical-relative:paragraph;z-index:-251655168;mso-wrap-distance-left:0;mso-wrap-distance-right:0" coordorigin="1134,268" coordsize="2880,0" path="m1134,268l4014,268e" filled="false" stroked="true" strokeweight=".48001pt" strokecolor="#000000">
            <v:path arrowok="t"/>
            <v:stroke dashstyle="solid"/>
            <w10:wrap type="topAndBottom"/>
          </v:shape>
        </w:pict>
      </w:r>
    </w:p>
    <w:p>
      <w:pPr>
        <w:spacing w:before="31"/>
        <w:ind w:left="114" w:right="0" w:firstLine="0"/>
        <w:jc w:val="left"/>
        <w:rPr>
          <w:sz w:val="16"/>
        </w:rPr>
      </w:pPr>
      <w:r>
        <w:rPr>
          <w:position w:val="8"/>
          <w:sz w:val="10"/>
        </w:rPr>
        <w:t>1 </w:t>
      </w:r>
      <w:r>
        <w:rPr>
          <w:sz w:val="16"/>
        </w:rPr>
        <w:t>The RTGS Consultation Paper can be found </w:t>
      </w:r>
      <w:hyperlink r:id="rId5">
        <w:r>
          <w:rPr>
            <w:color w:val="0000FF"/>
            <w:sz w:val="16"/>
            <w:u w:val="single" w:color="0000FF"/>
          </w:rPr>
          <w:t>here</w:t>
        </w:r>
      </w:hyperlink>
      <w:r>
        <w:rPr>
          <w:sz w:val="16"/>
        </w:rPr>
        <w:t>.</w:t>
      </w:r>
    </w:p>
    <w:p>
      <w:pPr>
        <w:spacing w:after="0"/>
        <w:jc w:val="left"/>
        <w:rPr>
          <w:sz w:val="16"/>
        </w:rPr>
        <w:sectPr>
          <w:pgSz w:w="11910" w:h="16840"/>
          <w:pgMar w:top="1280" w:bottom="280" w:left="1020" w:right="1020"/>
        </w:sectPr>
      </w:pPr>
    </w:p>
    <w:p>
      <w:pPr>
        <w:pStyle w:val="BodyText"/>
        <w:spacing w:before="70"/>
        <w:ind w:left="1214" w:right="1776"/>
        <w:jc w:val="both"/>
      </w:pPr>
      <w:r>
        <w:rPr/>
        <w:t>The Chair invited representatives from each of the four working groups to provide their group’s high level themes and points for discussion. The four working groups covered: Execution (James Hassett, Barclays); Governance (Frances Hinden, Shell and Michael Weiss, Goldman Sachs); Risk Management and Compliance (Sarah Boyce, Association of Corporate Treasurers) and; a Whole Code review and the Statement of Commitment (Dan Parker, Goldman Sachs). Attendees discussed and agreed the broad themes and more detailed content of the FXJSC response, which the Bank would submit to the FXWG as requested.</w:t>
      </w:r>
    </w:p>
    <w:p>
      <w:pPr>
        <w:pStyle w:val="BodyText"/>
        <w:spacing w:before="2"/>
      </w:pPr>
    </w:p>
    <w:p>
      <w:pPr>
        <w:spacing w:line="229" w:lineRule="exact" w:before="0"/>
        <w:ind w:left="1214" w:right="0" w:firstLine="0"/>
        <w:jc w:val="both"/>
        <w:rPr>
          <w:i/>
          <w:sz w:val="20"/>
        </w:rPr>
      </w:pPr>
      <w:r>
        <w:rPr>
          <w:i/>
          <w:sz w:val="20"/>
        </w:rPr>
        <w:t>Update on adherence</w:t>
      </w:r>
    </w:p>
    <w:p>
      <w:pPr>
        <w:pStyle w:val="BodyText"/>
        <w:ind w:left="1214" w:right="1776"/>
        <w:jc w:val="both"/>
      </w:pPr>
      <w:r>
        <w:rPr/>
        <w:t>David Puth (CLS) and Lisa Scott-Smith (Millennium Global Investments) provided an update on the work of the Market Participants Group (MPG) Adherence Working Group (AWG) that had been established to consider potential market-based adherence mechanisms as part of the overall adherence workstream. The MPG AWG had reached out to the broader  MPG and had shortlisted five adherence mechanisms to continue investigating based on their feasibility, ease of implementation and scope of reach.</w:t>
      </w:r>
    </w:p>
    <w:p>
      <w:pPr>
        <w:pStyle w:val="BodyText"/>
        <w:spacing w:before="11"/>
        <w:rPr>
          <w:sz w:val="19"/>
        </w:rPr>
      </w:pPr>
    </w:p>
    <w:p>
      <w:pPr>
        <w:pStyle w:val="BodyText"/>
        <w:ind w:left="1214" w:right="1775"/>
        <w:jc w:val="both"/>
      </w:pPr>
      <w:r>
        <w:rPr/>
        <w:t>Grigoria Christodoulou (Bank of England) provided an overview of the broader adherence workstream including an update on: (i) outreach</w:t>
      </w:r>
      <w:r>
        <w:rPr>
          <w:spacing w:val="28"/>
        </w:rPr>
        <w:t> </w:t>
      </w:r>
      <w:r>
        <w:rPr/>
        <w:t>with associations and infrastructures; (ii) the work the Bank of England was doing for its own adherence to the Code and; (iii) linking Foreign Exchange Committees (FXCs) membership with Code adherence. On establishing a  link between adherence to the Code and membership of FXCs, attendees discussed the potential broad transition timeframes based on the current draft Statement of Commitment. The Chair noted that the Terms of Reference for the FXJSC would be reviewed in mid-2017 to reflect that FXJSC membership was linked to Code</w:t>
      </w:r>
      <w:r>
        <w:rPr>
          <w:spacing w:val="-5"/>
        </w:rPr>
        <w:t> </w:t>
      </w:r>
      <w:r>
        <w:rPr/>
        <w:t>adherence.</w:t>
      </w:r>
    </w:p>
    <w:p>
      <w:pPr>
        <w:pStyle w:val="BodyText"/>
      </w:pPr>
    </w:p>
    <w:p>
      <w:pPr>
        <w:pStyle w:val="BodyText"/>
        <w:ind w:left="1214" w:right="1776"/>
        <w:jc w:val="both"/>
      </w:pPr>
      <w:r>
        <w:rPr/>
        <w:t>Edwin Schooling Latter (Financial Conduct Authority) summarised some of the key points he made in his ‘Conduct Risk in FX Markets’ speech in November 2016. He noted that in the UK the Code would be a key component of market conduct standards that staff in authorised firms will have to observe under the Senior Managers</w:t>
      </w:r>
      <w:r>
        <w:rPr>
          <w:spacing w:val="-13"/>
        </w:rPr>
        <w:t> </w:t>
      </w:r>
      <w:r>
        <w:rPr/>
        <w:t>Regime.</w:t>
      </w:r>
      <w:r>
        <w:rPr>
          <w:vertAlign w:val="superscript"/>
        </w:rPr>
        <w:t>2</w:t>
      </w:r>
    </w:p>
    <w:p>
      <w:pPr>
        <w:spacing w:line="230" w:lineRule="exact" w:before="231"/>
        <w:ind w:left="1214" w:right="0" w:firstLine="0"/>
        <w:jc w:val="both"/>
        <w:rPr>
          <w:i/>
          <w:sz w:val="20"/>
        </w:rPr>
      </w:pPr>
      <w:r>
        <w:rPr>
          <w:i/>
          <w:sz w:val="20"/>
        </w:rPr>
        <w:t>Next steps</w:t>
      </w:r>
    </w:p>
    <w:p>
      <w:pPr>
        <w:pStyle w:val="BodyText"/>
        <w:ind w:left="1214" w:right="1776"/>
        <w:jc w:val="both"/>
      </w:pPr>
      <w:r>
        <w:rPr/>
        <w:t>The Chair updated attendees on the upcoming milestones including that the next FXWG meeting was scheduled to take place on 7 January 2017. The next draft of the Code would be a fatal flaw draft and was scheduled for circulation in early February, with the next meeting of the FXJSC on 10 February 2017 to be used to discuss and agree the FXJSC comments.</w:t>
      </w:r>
      <w:r>
        <w:rPr>
          <w:vertAlign w:val="superscript"/>
        </w:rPr>
        <w:t>3</w:t>
      </w:r>
    </w:p>
    <w:p>
      <w:pPr>
        <w:pStyle w:val="Heading1"/>
        <w:numPr>
          <w:ilvl w:val="0"/>
          <w:numId w:val="1"/>
        </w:numPr>
        <w:tabs>
          <w:tab w:pos="1214" w:val="left" w:leader="none"/>
          <w:tab w:pos="1215" w:val="left" w:leader="none"/>
        </w:tabs>
        <w:spacing w:line="230" w:lineRule="exact" w:before="231" w:after="0"/>
        <w:ind w:left="1214" w:right="0" w:hanging="996"/>
        <w:jc w:val="left"/>
      </w:pPr>
      <w:r>
        <w:rPr/>
        <w:t>Any Other</w:t>
      </w:r>
      <w:r>
        <w:rPr>
          <w:spacing w:val="-5"/>
        </w:rPr>
        <w:t> </w:t>
      </w:r>
      <w:r>
        <w:rPr/>
        <w:t>Business</w:t>
      </w:r>
    </w:p>
    <w:p>
      <w:pPr>
        <w:pStyle w:val="BodyText"/>
        <w:ind w:left="1214" w:right="1778"/>
        <w:jc w:val="both"/>
      </w:pPr>
      <w:r>
        <w:rPr/>
        <w:t>The Chair thanked members for their participation in the annual call test that took place on 22 November 2016 and noted a 71% participation rate.</w:t>
      </w:r>
    </w:p>
    <w:p>
      <w:pPr>
        <w:pStyle w:val="BodyText"/>
        <w:spacing w:before="1"/>
      </w:pPr>
    </w:p>
    <w:p>
      <w:pPr>
        <w:pStyle w:val="Heading1"/>
        <w:numPr>
          <w:ilvl w:val="0"/>
          <w:numId w:val="1"/>
        </w:numPr>
        <w:tabs>
          <w:tab w:pos="1214" w:val="left" w:leader="none"/>
          <w:tab w:pos="1215" w:val="left" w:leader="none"/>
        </w:tabs>
        <w:spacing w:line="240" w:lineRule="auto" w:before="0" w:after="0"/>
        <w:ind w:left="1214" w:right="1992" w:hanging="995"/>
        <w:jc w:val="left"/>
      </w:pPr>
      <w:r>
        <w:rPr/>
        <w:t>The next meeting of the FXJSC will be held on 10 February 2017 at the Bank of</w:t>
      </w:r>
      <w:r>
        <w:rPr>
          <w:spacing w:val="-2"/>
        </w:rPr>
        <w:t> </w:t>
      </w:r>
      <w:r>
        <w:rPr/>
        <w:t>England.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7"/>
        </w:rPr>
      </w:pPr>
      <w:r>
        <w:rPr/>
        <w:pict>
          <v:shape style="position:absolute;margin-left:56.700001pt;margin-top:17.917479pt;width:144pt;height:.1pt;mso-position-horizontal-relative:page;mso-position-vertical-relative:paragraph;z-index:-251654144;mso-wrap-distance-left:0;mso-wrap-distance-right:0" coordorigin="1134,358" coordsize="2880,0" path="m1134,358l4014,358e" filled="false" stroked="true" strokeweight=".47998pt" strokecolor="#000000">
            <v:path arrowok="t"/>
            <v:stroke dashstyle="solid"/>
            <w10:wrap type="topAndBottom"/>
          </v:shape>
        </w:pict>
      </w:r>
    </w:p>
    <w:p>
      <w:pPr>
        <w:spacing w:line="196" w:lineRule="exact" w:before="32"/>
        <w:ind w:left="114" w:right="0" w:firstLine="0"/>
        <w:jc w:val="left"/>
        <w:rPr>
          <w:sz w:val="16"/>
        </w:rPr>
      </w:pPr>
      <w:r>
        <w:rPr>
          <w:position w:val="8"/>
          <w:sz w:val="10"/>
        </w:rPr>
        <w:t>2 </w:t>
      </w:r>
      <w:r>
        <w:rPr>
          <w:sz w:val="16"/>
        </w:rPr>
        <w:t>The Conduct Risk in FX Markets speech can be found </w:t>
      </w:r>
      <w:hyperlink r:id="rId6">
        <w:r>
          <w:rPr>
            <w:color w:val="0000FF"/>
            <w:sz w:val="16"/>
            <w:u w:val="single" w:color="0000FF"/>
          </w:rPr>
          <w:t>here</w:t>
        </w:r>
        <w:r>
          <w:rPr>
            <w:sz w:val="16"/>
          </w:rPr>
          <w:t>.</w:t>
        </w:r>
      </w:hyperlink>
    </w:p>
    <w:p>
      <w:pPr>
        <w:spacing w:line="184" w:lineRule="exact" w:before="14"/>
        <w:ind w:left="113" w:right="0" w:firstLine="0"/>
        <w:jc w:val="left"/>
        <w:rPr>
          <w:sz w:val="16"/>
        </w:rPr>
      </w:pPr>
      <w:r>
        <w:rPr>
          <w:position w:val="8"/>
          <w:sz w:val="10"/>
        </w:rPr>
        <w:t>3 </w:t>
      </w:r>
      <w:r>
        <w:rPr>
          <w:sz w:val="16"/>
        </w:rPr>
        <w:t>At time of writing the next FXJSC meeting was scheduled for 9 February 2017, but has subsequently been moved to 10 February 2017 due to the extension of the FX Global Code fatal flaw feedback window to allow FXJSC members maximum time for this review.</w:t>
      </w:r>
    </w:p>
    <w:sectPr>
      <w:pgSz w:w="11910" w:h="16840"/>
      <w:pgMar w:top="15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14" w:hanging="995"/>
        <w:jc w:val="left"/>
      </w:pPr>
      <w:rPr>
        <w:rFonts w:hint="default" w:ascii="Arial" w:hAnsi="Arial" w:eastAsia="Arial" w:cs="Arial"/>
        <w:spacing w:val="-1"/>
        <w:w w:val="100"/>
        <w:sz w:val="20"/>
        <w:szCs w:val="20"/>
      </w:rPr>
    </w:lvl>
    <w:lvl w:ilvl="1">
      <w:start w:val="1"/>
      <w:numFmt w:val="upperRoman"/>
      <w:lvlText w:val="%2."/>
      <w:lvlJc w:val="left"/>
      <w:pPr>
        <w:ind w:left="1934" w:hanging="472"/>
        <w:jc w:val="right"/>
      </w:pPr>
      <w:rPr>
        <w:rFonts w:hint="default" w:ascii="Arial" w:hAnsi="Arial" w:eastAsia="Arial" w:cs="Arial"/>
        <w:w w:val="100"/>
        <w:sz w:val="20"/>
        <w:szCs w:val="20"/>
      </w:rPr>
    </w:lvl>
    <w:lvl w:ilvl="2">
      <w:start w:val="0"/>
      <w:numFmt w:val="bullet"/>
      <w:lvlText w:val="•"/>
      <w:lvlJc w:val="left"/>
      <w:pPr>
        <w:ind w:left="2820" w:hanging="472"/>
      </w:pPr>
      <w:rPr>
        <w:rFonts w:hint="default"/>
      </w:rPr>
    </w:lvl>
    <w:lvl w:ilvl="3">
      <w:start w:val="0"/>
      <w:numFmt w:val="bullet"/>
      <w:lvlText w:val="•"/>
      <w:lvlJc w:val="left"/>
      <w:pPr>
        <w:ind w:left="3700" w:hanging="472"/>
      </w:pPr>
      <w:rPr>
        <w:rFonts w:hint="default"/>
      </w:rPr>
    </w:lvl>
    <w:lvl w:ilvl="4">
      <w:start w:val="0"/>
      <w:numFmt w:val="bullet"/>
      <w:lvlText w:val="•"/>
      <w:lvlJc w:val="left"/>
      <w:pPr>
        <w:ind w:left="4581" w:hanging="472"/>
      </w:pPr>
      <w:rPr>
        <w:rFonts w:hint="default"/>
      </w:rPr>
    </w:lvl>
    <w:lvl w:ilvl="5">
      <w:start w:val="0"/>
      <w:numFmt w:val="bullet"/>
      <w:lvlText w:val="•"/>
      <w:lvlJc w:val="left"/>
      <w:pPr>
        <w:ind w:left="5461" w:hanging="472"/>
      </w:pPr>
      <w:rPr>
        <w:rFonts w:hint="default"/>
      </w:rPr>
    </w:lvl>
    <w:lvl w:ilvl="6">
      <w:start w:val="0"/>
      <w:numFmt w:val="bullet"/>
      <w:lvlText w:val="•"/>
      <w:lvlJc w:val="left"/>
      <w:pPr>
        <w:ind w:left="6342" w:hanging="472"/>
      </w:pPr>
      <w:rPr>
        <w:rFonts w:hint="default"/>
      </w:rPr>
    </w:lvl>
    <w:lvl w:ilvl="7">
      <w:start w:val="0"/>
      <w:numFmt w:val="bullet"/>
      <w:lvlText w:val="•"/>
      <w:lvlJc w:val="left"/>
      <w:pPr>
        <w:ind w:left="7222" w:hanging="472"/>
      </w:pPr>
      <w:rPr>
        <w:rFonts w:hint="default"/>
      </w:rPr>
    </w:lvl>
    <w:lvl w:ilvl="8">
      <w:start w:val="0"/>
      <w:numFmt w:val="bullet"/>
      <w:lvlText w:val="•"/>
      <w:lvlJc w:val="left"/>
      <w:pPr>
        <w:ind w:left="8103" w:hanging="4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14" w:hanging="996"/>
      <w:jc w:val="both"/>
      <w:outlineLvl w:val="1"/>
    </w:pPr>
    <w:rPr>
      <w:rFonts w:ascii="Arial" w:hAnsi="Arial" w:eastAsia="Arial" w:cs="Arial"/>
      <w:b/>
      <w:bCs/>
      <w:sz w:val="20"/>
      <w:szCs w:val="20"/>
    </w:rPr>
  </w:style>
  <w:style w:styleId="ListParagraph" w:type="paragraph">
    <w:name w:val="List Paragraph"/>
    <w:basedOn w:val="Normal"/>
    <w:uiPriority w:val="1"/>
    <w:qFormat/>
    <w:pPr>
      <w:ind w:left="1214" w:hanging="99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paymentsystem/cp160916.pdf" TargetMode="External"/><Relationship Id="rId6" Type="http://schemas.openxmlformats.org/officeDocument/2006/relationships/hyperlink" Target="https://www.fca.org.uk/news/speeches/conduct-risk-fx-market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London FXJSC meeting minutes - December 2016</dc:subject>
  <dc:title>London FXJSC meeting minutes - December 2016</dc:title>
  <dcterms:created xsi:type="dcterms:W3CDTF">2020-06-01T02:00:59Z</dcterms:created>
  <dcterms:modified xsi:type="dcterms:W3CDTF">2020-06-01T02:00:59Z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2017-03-13T00:00:00Z</vt:filetime>
  </property>
  <property fmtid="{D5CDD505-2E9C-101B-9397-08002B2CF9AE}" pid="3" name="Creator">
    <vt:lpwstr>PScript5.dll Version 5.2.2</vt:lpwstr>
  </property>
  <property fmtid="{D5CDD505-2E9C-101B-9397-08002B2CF9AE}" pid="4" name="LastSaved">
    <vt:filetime>2020-06-01T00:00:00Z</vt:filetime>
  </property>
</Properties>
</file>