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79"/>
        <w:ind w:left="1351" w:right="1351"/>
        <w:jc w:val="center"/>
      </w:pPr>
      <w:r>
        <w:rPr>
          <w:w w:val="105"/>
        </w:rPr>
        <w:t>FOREIGN EXCHANGE JOINT STANDING COMMITTEE</w:t>
      </w:r>
    </w:p>
    <w:p>
      <w:pPr>
        <w:pStyle w:val="BodyText"/>
        <w:spacing w:before="2"/>
        <w:rPr>
          <w:b/>
          <w:sz w:val="23"/>
        </w:rPr>
      </w:pPr>
    </w:p>
    <w:p>
      <w:pPr>
        <w:spacing w:before="0"/>
        <w:ind w:left="1351" w:right="1350" w:firstLine="0"/>
        <w:jc w:val="center"/>
        <w:rPr>
          <w:b/>
          <w:sz w:val="22"/>
        </w:rPr>
      </w:pPr>
      <w:r>
        <w:rPr>
          <w:b/>
          <w:w w:val="105"/>
          <w:sz w:val="22"/>
        </w:rPr>
        <w:t>Tuesday 31 March 2015</w:t>
      </w:r>
    </w:p>
    <w:p>
      <w:pPr>
        <w:pStyle w:val="BodyText"/>
        <w:spacing w:before="1"/>
        <w:rPr>
          <w:b/>
          <w:sz w:val="23"/>
        </w:rPr>
      </w:pPr>
    </w:p>
    <w:p>
      <w:pPr>
        <w:pStyle w:val="BodyText"/>
        <w:ind w:left="1350" w:right="1351"/>
        <w:jc w:val="center"/>
      </w:pPr>
      <w:r>
        <w:rPr>
          <w:w w:val="105"/>
        </w:rPr>
        <w:t>Barclays, Churchill Place, E14 5HP</w:t>
      </w:r>
    </w:p>
    <w:p>
      <w:pPr>
        <w:pStyle w:val="BodyText"/>
        <w:spacing w:before="2"/>
        <w:rPr>
          <w:sz w:val="23"/>
        </w:rPr>
      </w:pPr>
    </w:p>
    <w:p>
      <w:pPr>
        <w:spacing w:before="0"/>
        <w:ind w:left="1351" w:right="675" w:firstLine="0"/>
        <w:jc w:val="center"/>
        <w:rPr>
          <w:b/>
          <w:sz w:val="22"/>
        </w:rPr>
      </w:pPr>
      <w:r>
        <w:rPr>
          <w:b/>
          <w:w w:val="105"/>
          <w:sz w:val="22"/>
          <w:u w:val="thick"/>
        </w:rPr>
        <w:t>MINUTES</w:t>
      </w:r>
    </w:p>
    <w:p>
      <w:pPr>
        <w:pStyle w:val="BodyText"/>
        <w:spacing w:before="10"/>
        <w:rPr>
          <w:b/>
          <w:sz w:val="14"/>
        </w:rPr>
      </w:pPr>
    </w:p>
    <w:p>
      <w:pPr>
        <w:spacing w:before="96"/>
        <w:ind w:left="492" w:right="0" w:firstLine="0"/>
        <w:jc w:val="left"/>
        <w:rPr>
          <w:b/>
          <w:sz w:val="22"/>
        </w:rPr>
      </w:pPr>
      <w:r>
        <w:rPr>
          <w:b/>
          <w:w w:val="105"/>
          <w:sz w:val="22"/>
        </w:rPr>
        <w:t>In Attendance</w:t>
      </w:r>
    </w:p>
    <w:p>
      <w:pPr>
        <w:pStyle w:val="BodyText"/>
        <w:spacing w:before="9"/>
        <w:rPr>
          <w:b/>
        </w:rPr>
      </w:pPr>
    </w:p>
    <w:tbl>
      <w:tblPr>
        <w:tblW w:w="0" w:type="auto"/>
        <w:jc w:val="left"/>
        <w:tblInd w:w="3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24"/>
        <w:gridCol w:w="3995"/>
      </w:tblGrid>
      <w:tr>
        <w:trPr>
          <w:trHeight w:val="290" w:hRule="atLeast"/>
        </w:trPr>
        <w:tc>
          <w:tcPr>
            <w:tcW w:w="4024" w:type="dxa"/>
          </w:tcPr>
          <w:p>
            <w:pPr>
              <w:pStyle w:val="TableParagraph"/>
              <w:spacing w:before="35"/>
              <w:rPr>
                <w:b/>
                <w:i/>
                <w:sz w:val="19"/>
              </w:rPr>
            </w:pPr>
            <w:r>
              <w:rPr>
                <w:b/>
                <w:i/>
                <w:sz w:val="19"/>
              </w:rPr>
              <w:t>Chris Salmon</w:t>
            </w:r>
          </w:p>
        </w:tc>
        <w:tc>
          <w:tcPr>
            <w:tcW w:w="3995" w:type="dxa"/>
          </w:tcPr>
          <w:p>
            <w:pPr>
              <w:pStyle w:val="TableParagraph"/>
              <w:spacing w:before="35"/>
              <w:ind w:left="101"/>
              <w:rPr>
                <w:b/>
                <w:i/>
                <w:sz w:val="19"/>
              </w:rPr>
            </w:pPr>
            <w:r>
              <w:rPr>
                <w:b/>
                <w:i/>
                <w:sz w:val="19"/>
              </w:rPr>
              <w:t>Bank of England (Guest speaker)</w:t>
            </w:r>
          </w:p>
        </w:tc>
      </w:tr>
      <w:tr>
        <w:trPr>
          <w:trHeight w:val="291" w:hRule="atLeast"/>
        </w:trPr>
        <w:tc>
          <w:tcPr>
            <w:tcW w:w="4024" w:type="dxa"/>
          </w:tcPr>
          <w:p>
            <w:pPr>
              <w:pStyle w:val="TableParagraph"/>
              <w:spacing w:before="36"/>
              <w:rPr>
                <w:b/>
                <w:i/>
                <w:sz w:val="19"/>
              </w:rPr>
            </w:pPr>
            <w:r>
              <w:rPr>
                <w:b/>
                <w:i/>
                <w:sz w:val="19"/>
              </w:rPr>
              <w:t>Michael Cross</w:t>
            </w:r>
          </w:p>
        </w:tc>
        <w:tc>
          <w:tcPr>
            <w:tcW w:w="3995" w:type="dxa"/>
          </w:tcPr>
          <w:p>
            <w:pPr>
              <w:pStyle w:val="TableParagraph"/>
              <w:spacing w:before="36"/>
              <w:ind w:left="99"/>
              <w:rPr>
                <w:b/>
                <w:i/>
                <w:sz w:val="19"/>
              </w:rPr>
            </w:pPr>
            <w:r>
              <w:rPr>
                <w:b/>
                <w:i/>
                <w:sz w:val="19"/>
              </w:rPr>
              <w:t>Bank of England (Chair)</w:t>
            </w:r>
          </w:p>
        </w:tc>
      </w:tr>
      <w:tr>
        <w:trPr>
          <w:trHeight w:val="291" w:hRule="atLeast"/>
        </w:trPr>
        <w:tc>
          <w:tcPr>
            <w:tcW w:w="4024" w:type="dxa"/>
          </w:tcPr>
          <w:p>
            <w:pPr>
              <w:pStyle w:val="TableParagraph"/>
              <w:spacing w:before="36"/>
              <w:rPr>
                <w:b/>
                <w:i/>
                <w:sz w:val="19"/>
              </w:rPr>
            </w:pPr>
            <w:r>
              <w:rPr>
                <w:b/>
                <w:i/>
                <w:sz w:val="19"/>
              </w:rPr>
              <w:t>Robert Spillett</w:t>
            </w:r>
          </w:p>
        </w:tc>
        <w:tc>
          <w:tcPr>
            <w:tcW w:w="3995" w:type="dxa"/>
          </w:tcPr>
          <w:p>
            <w:pPr>
              <w:pStyle w:val="TableParagraph"/>
              <w:spacing w:before="36"/>
              <w:rPr>
                <w:b/>
                <w:i/>
                <w:sz w:val="19"/>
              </w:rPr>
            </w:pPr>
            <w:r>
              <w:rPr>
                <w:b/>
                <w:i/>
                <w:sz w:val="19"/>
              </w:rPr>
              <w:t>Bank of England (Secretariat)</w:t>
            </w:r>
          </w:p>
        </w:tc>
      </w:tr>
      <w:tr>
        <w:trPr>
          <w:trHeight w:val="290" w:hRule="atLeast"/>
        </w:trPr>
        <w:tc>
          <w:tcPr>
            <w:tcW w:w="4024" w:type="dxa"/>
          </w:tcPr>
          <w:p>
            <w:pPr>
              <w:pStyle w:val="TableParagraph"/>
              <w:spacing w:before="35"/>
              <w:rPr>
                <w:b/>
                <w:i/>
                <w:sz w:val="19"/>
              </w:rPr>
            </w:pPr>
            <w:r>
              <w:rPr>
                <w:b/>
                <w:i/>
                <w:sz w:val="19"/>
              </w:rPr>
              <w:t>Chris Cox</w:t>
            </w:r>
          </w:p>
        </w:tc>
        <w:tc>
          <w:tcPr>
            <w:tcW w:w="3995" w:type="dxa"/>
          </w:tcPr>
          <w:p>
            <w:pPr>
              <w:pStyle w:val="TableParagraph"/>
              <w:spacing w:before="35"/>
              <w:ind w:left="101"/>
              <w:rPr>
                <w:b/>
                <w:i/>
                <w:sz w:val="19"/>
              </w:rPr>
            </w:pPr>
            <w:r>
              <w:rPr>
                <w:b/>
                <w:i/>
                <w:sz w:val="19"/>
              </w:rPr>
              <w:t>Bank of England (Guest speaker)</w:t>
            </w:r>
          </w:p>
        </w:tc>
      </w:tr>
      <w:tr>
        <w:trPr>
          <w:trHeight w:val="291" w:hRule="atLeast"/>
        </w:trPr>
        <w:tc>
          <w:tcPr>
            <w:tcW w:w="4024" w:type="dxa"/>
          </w:tcPr>
          <w:p>
            <w:pPr>
              <w:pStyle w:val="TableParagraph"/>
              <w:spacing w:before="36"/>
              <w:rPr>
                <w:b/>
                <w:i/>
                <w:sz w:val="19"/>
              </w:rPr>
            </w:pPr>
            <w:r>
              <w:rPr>
                <w:b/>
                <w:i/>
                <w:sz w:val="19"/>
              </w:rPr>
              <w:t>Amy Lee</w:t>
            </w:r>
          </w:p>
        </w:tc>
        <w:tc>
          <w:tcPr>
            <w:tcW w:w="3995" w:type="dxa"/>
          </w:tcPr>
          <w:p>
            <w:pPr>
              <w:pStyle w:val="TableParagraph"/>
              <w:spacing w:before="36"/>
              <w:rPr>
                <w:b/>
                <w:i/>
                <w:sz w:val="19"/>
              </w:rPr>
            </w:pPr>
            <w:r>
              <w:rPr>
                <w:b/>
                <w:i/>
                <w:sz w:val="19"/>
              </w:rPr>
              <w:t>Bank of England (Secretariat)</w:t>
            </w:r>
          </w:p>
        </w:tc>
      </w:tr>
      <w:tr>
        <w:trPr>
          <w:trHeight w:val="291" w:hRule="atLeast"/>
        </w:trPr>
        <w:tc>
          <w:tcPr>
            <w:tcW w:w="4024" w:type="dxa"/>
          </w:tcPr>
          <w:p>
            <w:pPr>
              <w:pStyle w:val="TableParagraph"/>
              <w:rPr>
                <w:sz w:val="19"/>
              </w:rPr>
            </w:pPr>
            <w:r>
              <w:rPr>
                <w:sz w:val="19"/>
              </w:rPr>
              <w:t>Rob Loewy</w:t>
            </w:r>
          </w:p>
        </w:tc>
        <w:tc>
          <w:tcPr>
            <w:tcW w:w="3995" w:type="dxa"/>
          </w:tcPr>
          <w:p>
            <w:pPr>
              <w:pStyle w:val="TableParagraph"/>
              <w:ind w:left="101"/>
              <w:rPr>
                <w:sz w:val="19"/>
              </w:rPr>
            </w:pPr>
            <w:r>
              <w:rPr>
                <w:sz w:val="19"/>
              </w:rPr>
              <w:t>Bank of China</w:t>
            </w:r>
          </w:p>
        </w:tc>
      </w:tr>
      <w:tr>
        <w:trPr>
          <w:trHeight w:val="290" w:hRule="atLeast"/>
        </w:trPr>
        <w:tc>
          <w:tcPr>
            <w:tcW w:w="4024" w:type="dxa"/>
          </w:tcPr>
          <w:p>
            <w:pPr>
              <w:pStyle w:val="TableParagraph"/>
              <w:rPr>
                <w:sz w:val="19"/>
              </w:rPr>
            </w:pPr>
            <w:r>
              <w:rPr>
                <w:sz w:val="19"/>
              </w:rPr>
              <w:t>Fujio Nishio</w:t>
            </w:r>
          </w:p>
        </w:tc>
        <w:tc>
          <w:tcPr>
            <w:tcW w:w="3995" w:type="dxa"/>
          </w:tcPr>
          <w:p>
            <w:pPr>
              <w:pStyle w:val="TableParagraph"/>
              <w:rPr>
                <w:sz w:val="19"/>
              </w:rPr>
            </w:pPr>
            <w:r>
              <w:rPr>
                <w:sz w:val="19"/>
              </w:rPr>
              <w:t>Bank of Tokyo-Mitsubishi</w:t>
            </w:r>
          </w:p>
        </w:tc>
      </w:tr>
      <w:tr>
        <w:trPr>
          <w:trHeight w:val="291" w:hRule="atLeast"/>
        </w:trPr>
        <w:tc>
          <w:tcPr>
            <w:tcW w:w="4024" w:type="dxa"/>
          </w:tcPr>
          <w:p>
            <w:pPr>
              <w:pStyle w:val="TableParagraph"/>
              <w:spacing w:before="34"/>
              <w:rPr>
                <w:sz w:val="19"/>
              </w:rPr>
            </w:pPr>
            <w:r>
              <w:rPr>
                <w:sz w:val="19"/>
              </w:rPr>
              <w:t>Chris Allen</w:t>
            </w:r>
          </w:p>
        </w:tc>
        <w:tc>
          <w:tcPr>
            <w:tcW w:w="3995" w:type="dxa"/>
          </w:tcPr>
          <w:p>
            <w:pPr>
              <w:pStyle w:val="TableParagraph"/>
              <w:spacing w:before="34"/>
              <w:ind w:left="99"/>
              <w:rPr>
                <w:sz w:val="19"/>
              </w:rPr>
            </w:pPr>
            <w:r>
              <w:rPr>
                <w:sz w:val="19"/>
              </w:rPr>
              <w:t>Barclays (Legal)</w:t>
            </w:r>
          </w:p>
        </w:tc>
      </w:tr>
      <w:tr>
        <w:trPr>
          <w:trHeight w:val="291" w:hRule="atLeast"/>
        </w:trPr>
        <w:tc>
          <w:tcPr>
            <w:tcW w:w="4024" w:type="dxa"/>
          </w:tcPr>
          <w:p>
            <w:pPr>
              <w:pStyle w:val="TableParagraph"/>
              <w:rPr>
                <w:sz w:val="19"/>
              </w:rPr>
            </w:pPr>
            <w:r>
              <w:rPr>
                <w:sz w:val="19"/>
              </w:rPr>
              <w:t>Adrian McGowan</w:t>
            </w:r>
          </w:p>
        </w:tc>
        <w:tc>
          <w:tcPr>
            <w:tcW w:w="3995" w:type="dxa"/>
          </w:tcPr>
          <w:p>
            <w:pPr>
              <w:pStyle w:val="TableParagraph"/>
              <w:rPr>
                <w:sz w:val="19"/>
              </w:rPr>
            </w:pPr>
            <w:r>
              <w:rPr>
                <w:sz w:val="19"/>
              </w:rPr>
              <w:t>Barclays</w:t>
            </w:r>
          </w:p>
        </w:tc>
      </w:tr>
      <w:tr>
        <w:trPr>
          <w:trHeight w:val="290" w:hRule="atLeast"/>
        </w:trPr>
        <w:tc>
          <w:tcPr>
            <w:tcW w:w="4024" w:type="dxa"/>
          </w:tcPr>
          <w:p>
            <w:pPr>
              <w:pStyle w:val="TableParagraph"/>
              <w:rPr>
                <w:sz w:val="19"/>
              </w:rPr>
            </w:pPr>
            <w:r>
              <w:rPr>
                <w:sz w:val="19"/>
              </w:rPr>
              <w:t>James Bindler</w:t>
            </w:r>
          </w:p>
        </w:tc>
        <w:tc>
          <w:tcPr>
            <w:tcW w:w="3995" w:type="dxa"/>
          </w:tcPr>
          <w:p>
            <w:pPr>
              <w:pStyle w:val="TableParagraph"/>
              <w:rPr>
                <w:sz w:val="19"/>
              </w:rPr>
            </w:pPr>
            <w:r>
              <w:rPr>
                <w:sz w:val="19"/>
              </w:rPr>
              <w:t>Citi</w:t>
            </w:r>
          </w:p>
        </w:tc>
      </w:tr>
      <w:tr>
        <w:trPr>
          <w:trHeight w:val="291" w:hRule="atLeast"/>
        </w:trPr>
        <w:tc>
          <w:tcPr>
            <w:tcW w:w="4024" w:type="dxa"/>
          </w:tcPr>
          <w:p>
            <w:pPr>
              <w:pStyle w:val="TableParagraph"/>
              <w:spacing w:before="35"/>
              <w:rPr>
                <w:sz w:val="19"/>
              </w:rPr>
            </w:pPr>
            <w:r>
              <w:rPr>
                <w:sz w:val="19"/>
              </w:rPr>
              <w:t>Heather Pilley</w:t>
            </w:r>
          </w:p>
        </w:tc>
        <w:tc>
          <w:tcPr>
            <w:tcW w:w="3995" w:type="dxa"/>
          </w:tcPr>
          <w:p>
            <w:pPr>
              <w:pStyle w:val="TableParagraph"/>
              <w:spacing w:before="35"/>
              <w:rPr>
                <w:sz w:val="19"/>
              </w:rPr>
            </w:pPr>
            <w:r>
              <w:rPr>
                <w:sz w:val="19"/>
              </w:rPr>
              <w:t>FCA</w:t>
            </w:r>
          </w:p>
        </w:tc>
      </w:tr>
      <w:tr>
        <w:trPr>
          <w:trHeight w:val="291" w:hRule="atLeast"/>
        </w:trPr>
        <w:tc>
          <w:tcPr>
            <w:tcW w:w="4024" w:type="dxa"/>
          </w:tcPr>
          <w:p>
            <w:pPr>
              <w:pStyle w:val="TableParagraph"/>
              <w:rPr>
                <w:sz w:val="19"/>
              </w:rPr>
            </w:pPr>
            <w:r>
              <w:rPr>
                <w:sz w:val="19"/>
              </w:rPr>
              <w:t>Frederic Boillereau</w:t>
            </w:r>
          </w:p>
        </w:tc>
        <w:tc>
          <w:tcPr>
            <w:tcW w:w="3995" w:type="dxa"/>
          </w:tcPr>
          <w:p>
            <w:pPr>
              <w:pStyle w:val="TableParagraph"/>
              <w:rPr>
                <w:sz w:val="19"/>
              </w:rPr>
            </w:pPr>
            <w:r>
              <w:rPr>
                <w:sz w:val="19"/>
              </w:rPr>
              <w:t>HSBC</w:t>
            </w:r>
          </w:p>
        </w:tc>
      </w:tr>
      <w:tr>
        <w:trPr>
          <w:trHeight w:val="290" w:hRule="atLeast"/>
        </w:trPr>
        <w:tc>
          <w:tcPr>
            <w:tcW w:w="4024" w:type="dxa"/>
          </w:tcPr>
          <w:p>
            <w:pPr>
              <w:pStyle w:val="TableParagraph"/>
              <w:rPr>
                <w:sz w:val="19"/>
              </w:rPr>
            </w:pPr>
            <w:r>
              <w:rPr>
                <w:sz w:val="19"/>
              </w:rPr>
              <w:t>Richard Metcalfe</w:t>
            </w:r>
          </w:p>
        </w:tc>
        <w:tc>
          <w:tcPr>
            <w:tcW w:w="3995" w:type="dxa"/>
          </w:tcPr>
          <w:p>
            <w:pPr>
              <w:pStyle w:val="TableParagraph"/>
              <w:rPr>
                <w:sz w:val="19"/>
              </w:rPr>
            </w:pPr>
            <w:r>
              <w:rPr>
                <w:sz w:val="19"/>
              </w:rPr>
              <w:t>The Investment Association</w:t>
            </w:r>
          </w:p>
        </w:tc>
      </w:tr>
      <w:tr>
        <w:trPr>
          <w:trHeight w:val="291" w:hRule="atLeast"/>
        </w:trPr>
        <w:tc>
          <w:tcPr>
            <w:tcW w:w="4024" w:type="dxa"/>
          </w:tcPr>
          <w:p>
            <w:pPr>
              <w:pStyle w:val="TableParagraph"/>
              <w:spacing w:before="34"/>
              <w:rPr>
                <w:sz w:val="19"/>
              </w:rPr>
            </w:pPr>
            <w:r>
              <w:rPr>
                <w:sz w:val="19"/>
              </w:rPr>
              <w:t>Troy Rohrbaugh</w:t>
            </w:r>
          </w:p>
        </w:tc>
        <w:tc>
          <w:tcPr>
            <w:tcW w:w="3995" w:type="dxa"/>
          </w:tcPr>
          <w:p>
            <w:pPr>
              <w:pStyle w:val="TableParagraph"/>
              <w:spacing w:before="34"/>
              <w:rPr>
                <w:sz w:val="19"/>
              </w:rPr>
            </w:pPr>
            <w:r>
              <w:rPr>
                <w:sz w:val="19"/>
              </w:rPr>
              <w:t>JP Morgan Chase</w:t>
            </w:r>
          </w:p>
        </w:tc>
      </w:tr>
      <w:tr>
        <w:trPr>
          <w:trHeight w:val="291" w:hRule="atLeast"/>
        </w:trPr>
        <w:tc>
          <w:tcPr>
            <w:tcW w:w="4024" w:type="dxa"/>
          </w:tcPr>
          <w:p>
            <w:pPr>
              <w:pStyle w:val="TableParagraph"/>
              <w:rPr>
                <w:sz w:val="19"/>
              </w:rPr>
            </w:pPr>
            <w:r>
              <w:rPr>
                <w:sz w:val="19"/>
              </w:rPr>
              <w:t>Tim Carrington</w:t>
            </w:r>
          </w:p>
        </w:tc>
        <w:tc>
          <w:tcPr>
            <w:tcW w:w="3995" w:type="dxa"/>
          </w:tcPr>
          <w:p>
            <w:pPr>
              <w:pStyle w:val="TableParagraph"/>
              <w:ind w:left="101"/>
              <w:rPr>
                <w:sz w:val="19"/>
              </w:rPr>
            </w:pPr>
            <w:r>
              <w:rPr>
                <w:sz w:val="19"/>
              </w:rPr>
              <w:t>RBS</w:t>
            </w:r>
          </w:p>
        </w:tc>
      </w:tr>
      <w:tr>
        <w:trPr>
          <w:trHeight w:val="290" w:hRule="atLeast"/>
        </w:trPr>
        <w:tc>
          <w:tcPr>
            <w:tcW w:w="4024" w:type="dxa"/>
          </w:tcPr>
          <w:p>
            <w:pPr>
              <w:pStyle w:val="TableParagraph"/>
              <w:rPr>
                <w:sz w:val="19"/>
              </w:rPr>
            </w:pPr>
            <w:r>
              <w:rPr>
                <w:sz w:val="19"/>
              </w:rPr>
              <w:t>Phil Weisberg</w:t>
            </w:r>
          </w:p>
        </w:tc>
        <w:tc>
          <w:tcPr>
            <w:tcW w:w="3995" w:type="dxa"/>
          </w:tcPr>
          <w:p>
            <w:pPr>
              <w:pStyle w:val="TableParagraph"/>
              <w:rPr>
                <w:sz w:val="19"/>
              </w:rPr>
            </w:pPr>
            <w:r>
              <w:rPr>
                <w:sz w:val="19"/>
              </w:rPr>
              <w:t>Thomson Reuters</w:t>
            </w:r>
          </w:p>
        </w:tc>
      </w:tr>
      <w:tr>
        <w:trPr>
          <w:trHeight w:val="291" w:hRule="atLeast"/>
        </w:trPr>
        <w:tc>
          <w:tcPr>
            <w:tcW w:w="4024" w:type="dxa"/>
          </w:tcPr>
          <w:p>
            <w:pPr>
              <w:pStyle w:val="TableParagraph"/>
              <w:spacing w:before="34"/>
              <w:rPr>
                <w:sz w:val="19"/>
              </w:rPr>
            </w:pPr>
            <w:r>
              <w:rPr>
                <w:sz w:val="19"/>
              </w:rPr>
              <w:t>Brian Welch</w:t>
            </w:r>
          </w:p>
        </w:tc>
        <w:tc>
          <w:tcPr>
            <w:tcW w:w="3995" w:type="dxa"/>
          </w:tcPr>
          <w:p>
            <w:pPr>
              <w:pStyle w:val="TableParagraph"/>
              <w:spacing w:before="34"/>
              <w:ind w:left="98"/>
              <w:rPr>
                <w:sz w:val="19"/>
              </w:rPr>
            </w:pPr>
            <w:r>
              <w:rPr>
                <w:sz w:val="19"/>
              </w:rPr>
              <w:t>Treasury Consultancy</w:t>
            </w:r>
          </w:p>
        </w:tc>
      </w:tr>
      <w:tr>
        <w:trPr>
          <w:trHeight w:val="291" w:hRule="atLeast"/>
        </w:trPr>
        <w:tc>
          <w:tcPr>
            <w:tcW w:w="4024" w:type="dxa"/>
          </w:tcPr>
          <w:p>
            <w:pPr>
              <w:pStyle w:val="TableParagraph"/>
              <w:rPr>
                <w:sz w:val="19"/>
              </w:rPr>
            </w:pPr>
            <w:r>
              <w:rPr>
                <w:sz w:val="19"/>
              </w:rPr>
              <w:t>James Potter</w:t>
            </w:r>
          </w:p>
        </w:tc>
        <w:tc>
          <w:tcPr>
            <w:tcW w:w="3995" w:type="dxa"/>
          </w:tcPr>
          <w:p>
            <w:pPr>
              <w:pStyle w:val="TableParagraph"/>
              <w:ind w:left="101"/>
              <w:rPr>
                <w:sz w:val="19"/>
              </w:rPr>
            </w:pPr>
            <w:r>
              <w:rPr>
                <w:sz w:val="19"/>
              </w:rPr>
              <w:t>Tullet Prebon</w:t>
            </w:r>
          </w:p>
        </w:tc>
      </w:tr>
      <w:tr>
        <w:trPr>
          <w:trHeight w:val="290" w:hRule="atLeast"/>
        </w:trPr>
        <w:tc>
          <w:tcPr>
            <w:tcW w:w="4024" w:type="dxa"/>
          </w:tcPr>
          <w:p>
            <w:pPr>
              <w:pStyle w:val="TableParagraph"/>
              <w:rPr>
                <w:sz w:val="19"/>
              </w:rPr>
            </w:pPr>
            <w:r>
              <w:rPr>
                <w:sz w:val="19"/>
              </w:rPr>
              <w:t>Richard Gill</w:t>
            </w:r>
          </w:p>
        </w:tc>
        <w:tc>
          <w:tcPr>
            <w:tcW w:w="3995" w:type="dxa"/>
          </w:tcPr>
          <w:p>
            <w:pPr>
              <w:pStyle w:val="TableParagraph"/>
              <w:ind w:left="93"/>
              <w:rPr>
                <w:sz w:val="19"/>
              </w:rPr>
            </w:pPr>
            <w:r>
              <w:rPr>
                <w:sz w:val="19"/>
              </w:rPr>
              <w:t>Bank of New York Mellon</w:t>
            </w:r>
          </w:p>
        </w:tc>
      </w:tr>
      <w:tr>
        <w:trPr>
          <w:trHeight w:val="291" w:hRule="atLeast"/>
        </w:trPr>
        <w:tc>
          <w:tcPr>
            <w:tcW w:w="4024" w:type="dxa"/>
          </w:tcPr>
          <w:p>
            <w:pPr>
              <w:pStyle w:val="TableParagraph"/>
              <w:rPr>
                <w:sz w:val="19"/>
              </w:rPr>
            </w:pPr>
            <w:r>
              <w:rPr>
                <w:sz w:val="19"/>
              </w:rPr>
              <w:t>George Athanasopoulos</w:t>
            </w:r>
          </w:p>
        </w:tc>
        <w:tc>
          <w:tcPr>
            <w:tcW w:w="3995" w:type="dxa"/>
          </w:tcPr>
          <w:p>
            <w:pPr>
              <w:pStyle w:val="TableParagraph"/>
              <w:ind w:left="94"/>
              <w:rPr>
                <w:sz w:val="19"/>
              </w:rPr>
            </w:pPr>
            <w:r>
              <w:rPr>
                <w:sz w:val="19"/>
              </w:rPr>
              <w:t>UBS</w:t>
            </w:r>
          </w:p>
        </w:tc>
      </w:tr>
      <w:tr>
        <w:trPr>
          <w:trHeight w:val="291" w:hRule="atLeast"/>
        </w:trPr>
        <w:tc>
          <w:tcPr>
            <w:tcW w:w="4024" w:type="dxa"/>
          </w:tcPr>
          <w:p>
            <w:pPr>
              <w:pStyle w:val="TableParagraph"/>
              <w:rPr>
                <w:sz w:val="19"/>
              </w:rPr>
            </w:pPr>
            <w:r>
              <w:rPr>
                <w:sz w:val="19"/>
              </w:rPr>
              <w:t>David Puth</w:t>
            </w:r>
          </w:p>
        </w:tc>
        <w:tc>
          <w:tcPr>
            <w:tcW w:w="3995" w:type="dxa"/>
          </w:tcPr>
          <w:p>
            <w:pPr>
              <w:pStyle w:val="TableParagraph"/>
              <w:ind w:left="94"/>
              <w:rPr>
                <w:sz w:val="19"/>
              </w:rPr>
            </w:pPr>
            <w:r>
              <w:rPr>
                <w:sz w:val="19"/>
              </w:rPr>
              <w:t>CLS Bank</w:t>
            </w:r>
          </w:p>
        </w:tc>
      </w:tr>
    </w:tbl>
    <w:p>
      <w:pPr>
        <w:pStyle w:val="BodyText"/>
        <w:rPr>
          <w:b/>
          <w:sz w:val="24"/>
        </w:rPr>
      </w:pPr>
    </w:p>
    <w:p>
      <w:pPr>
        <w:pStyle w:val="BodyText"/>
        <w:spacing w:before="6"/>
        <w:rPr>
          <w:b/>
          <w:sz w:val="21"/>
        </w:rPr>
      </w:pPr>
    </w:p>
    <w:p>
      <w:pPr>
        <w:spacing w:before="0"/>
        <w:ind w:left="492" w:right="0" w:firstLine="0"/>
        <w:jc w:val="left"/>
        <w:rPr>
          <w:b/>
          <w:sz w:val="22"/>
        </w:rPr>
      </w:pPr>
      <w:r>
        <w:rPr>
          <w:b/>
          <w:w w:val="105"/>
          <w:sz w:val="22"/>
        </w:rPr>
        <w:t>Apologies</w:t>
      </w:r>
    </w:p>
    <w:p>
      <w:pPr>
        <w:pStyle w:val="BodyText"/>
        <w:spacing w:before="9"/>
        <w:rPr>
          <w:b/>
        </w:rPr>
      </w:pPr>
    </w:p>
    <w:tbl>
      <w:tblPr>
        <w:tblW w:w="0" w:type="auto"/>
        <w:jc w:val="left"/>
        <w:tblInd w:w="3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17"/>
        <w:gridCol w:w="4001"/>
      </w:tblGrid>
      <w:tr>
        <w:trPr>
          <w:trHeight w:val="290" w:hRule="atLeast"/>
        </w:trPr>
        <w:tc>
          <w:tcPr>
            <w:tcW w:w="4017" w:type="dxa"/>
          </w:tcPr>
          <w:p>
            <w:pPr>
              <w:pStyle w:val="TableParagraph"/>
              <w:rPr>
                <w:sz w:val="19"/>
              </w:rPr>
            </w:pPr>
            <w:r>
              <w:rPr>
                <w:sz w:val="19"/>
              </w:rPr>
              <w:t>Jacqueline Joyston-Bechal</w:t>
            </w:r>
          </w:p>
        </w:tc>
        <w:tc>
          <w:tcPr>
            <w:tcW w:w="4001" w:type="dxa"/>
          </w:tcPr>
          <w:p>
            <w:pPr>
              <w:pStyle w:val="TableParagraph"/>
              <w:rPr>
                <w:sz w:val="19"/>
              </w:rPr>
            </w:pPr>
            <w:r>
              <w:rPr>
                <w:sz w:val="19"/>
              </w:rPr>
              <w:t>Bank of England</w:t>
            </w:r>
          </w:p>
        </w:tc>
      </w:tr>
      <w:tr>
        <w:trPr>
          <w:trHeight w:val="291" w:hRule="atLeast"/>
        </w:trPr>
        <w:tc>
          <w:tcPr>
            <w:tcW w:w="4017" w:type="dxa"/>
          </w:tcPr>
          <w:p>
            <w:pPr>
              <w:pStyle w:val="TableParagraph"/>
              <w:spacing w:before="34"/>
              <w:rPr>
                <w:sz w:val="19"/>
              </w:rPr>
            </w:pPr>
            <w:r>
              <w:rPr>
                <w:sz w:val="19"/>
              </w:rPr>
              <w:t>Joanna West</w:t>
            </w:r>
          </w:p>
        </w:tc>
        <w:tc>
          <w:tcPr>
            <w:tcW w:w="4001" w:type="dxa"/>
          </w:tcPr>
          <w:p>
            <w:pPr>
              <w:pStyle w:val="TableParagraph"/>
              <w:spacing w:before="34"/>
              <w:rPr>
                <w:sz w:val="19"/>
              </w:rPr>
            </w:pPr>
            <w:r>
              <w:rPr>
                <w:sz w:val="19"/>
              </w:rPr>
              <w:t>Bank of England</w:t>
            </w:r>
          </w:p>
        </w:tc>
      </w:tr>
      <w:tr>
        <w:trPr>
          <w:trHeight w:val="291" w:hRule="atLeast"/>
        </w:trPr>
        <w:tc>
          <w:tcPr>
            <w:tcW w:w="4017" w:type="dxa"/>
          </w:tcPr>
          <w:p>
            <w:pPr>
              <w:pStyle w:val="TableParagraph"/>
              <w:rPr>
                <w:sz w:val="19"/>
              </w:rPr>
            </w:pPr>
            <w:r>
              <w:rPr>
                <w:sz w:val="19"/>
              </w:rPr>
              <w:t>David Clark</w:t>
            </w:r>
          </w:p>
        </w:tc>
        <w:tc>
          <w:tcPr>
            <w:tcW w:w="4001" w:type="dxa"/>
          </w:tcPr>
          <w:p>
            <w:pPr>
              <w:pStyle w:val="TableParagraph"/>
              <w:ind w:left="101"/>
              <w:rPr>
                <w:sz w:val="19"/>
              </w:rPr>
            </w:pPr>
            <w:r>
              <w:rPr>
                <w:sz w:val="19"/>
              </w:rPr>
              <w:t>WMBA</w:t>
            </w:r>
          </w:p>
        </w:tc>
      </w:tr>
      <w:tr>
        <w:trPr>
          <w:trHeight w:val="290" w:hRule="atLeast"/>
        </w:trPr>
        <w:tc>
          <w:tcPr>
            <w:tcW w:w="4017" w:type="dxa"/>
          </w:tcPr>
          <w:p>
            <w:pPr>
              <w:pStyle w:val="TableParagraph"/>
              <w:rPr>
                <w:sz w:val="19"/>
              </w:rPr>
            </w:pPr>
            <w:r>
              <w:rPr>
                <w:sz w:val="19"/>
              </w:rPr>
              <w:t>Alex McDonald</w:t>
            </w:r>
          </w:p>
        </w:tc>
        <w:tc>
          <w:tcPr>
            <w:tcW w:w="4001" w:type="dxa"/>
          </w:tcPr>
          <w:p>
            <w:pPr>
              <w:pStyle w:val="TableParagraph"/>
              <w:rPr>
                <w:sz w:val="19"/>
              </w:rPr>
            </w:pPr>
            <w:r>
              <w:rPr>
                <w:sz w:val="19"/>
              </w:rPr>
              <w:t>WMBA</w:t>
            </w:r>
          </w:p>
        </w:tc>
      </w:tr>
      <w:tr>
        <w:trPr>
          <w:trHeight w:val="291" w:hRule="atLeast"/>
        </w:trPr>
        <w:tc>
          <w:tcPr>
            <w:tcW w:w="4017" w:type="dxa"/>
          </w:tcPr>
          <w:p>
            <w:pPr>
              <w:pStyle w:val="TableParagraph"/>
              <w:spacing w:before="34"/>
              <w:rPr>
                <w:sz w:val="19"/>
              </w:rPr>
            </w:pPr>
            <w:r>
              <w:rPr>
                <w:sz w:val="19"/>
              </w:rPr>
              <w:t>Lisa Scott-Smith</w:t>
            </w:r>
          </w:p>
        </w:tc>
        <w:tc>
          <w:tcPr>
            <w:tcW w:w="4001" w:type="dxa"/>
          </w:tcPr>
          <w:p>
            <w:pPr>
              <w:pStyle w:val="TableParagraph"/>
              <w:spacing w:before="34"/>
              <w:ind w:left="101"/>
              <w:rPr>
                <w:sz w:val="19"/>
              </w:rPr>
            </w:pPr>
            <w:r>
              <w:rPr>
                <w:sz w:val="19"/>
              </w:rPr>
              <w:t>Millennium Global</w:t>
            </w:r>
          </w:p>
        </w:tc>
      </w:tr>
      <w:tr>
        <w:trPr>
          <w:trHeight w:val="291" w:hRule="atLeast"/>
        </w:trPr>
        <w:tc>
          <w:tcPr>
            <w:tcW w:w="4017" w:type="dxa"/>
          </w:tcPr>
          <w:p>
            <w:pPr>
              <w:pStyle w:val="TableParagraph"/>
              <w:rPr>
                <w:sz w:val="19"/>
              </w:rPr>
            </w:pPr>
            <w:r>
              <w:rPr>
                <w:sz w:val="19"/>
              </w:rPr>
              <w:t>Graeme Munro</w:t>
            </w:r>
          </w:p>
        </w:tc>
        <w:tc>
          <w:tcPr>
            <w:tcW w:w="4001" w:type="dxa"/>
          </w:tcPr>
          <w:p>
            <w:pPr>
              <w:pStyle w:val="TableParagraph"/>
              <w:ind w:left="101"/>
              <w:rPr>
                <w:sz w:val="19"/>
              </w:rPr>
            </w:pPr>
            <w:r>
              <w:rPr>
                <w:sz w:val="19"/>
              </w:rPr>
              <w:t>JP Morgan Chase</w:t>
            </w:r>
          </w:p>
        </w:tc>
      </w:tr>
      <w:tr>
        <w:trPr>
          <w:trHeight w:val="290" w:hRule="atLeast"/>
        </w:trPr>
        <w:tc>
          <w:tcPr>
            <w:tcW w:w="4017" w:type="dxa"/>
          </w:tcPr>
          <w:p>
            <w:pPr>
              <w:pStyle w:val="TableParagraph"/>
              <w:rPr>
                <w:sz w:val="19"/>
              </w:rPr>
            </w:pPr>
            <w:r>
              <w:rPr>
                <w:sz w:val="19"/>
              </w:rPr>
              <w:t>Isabelle Dennigan</w:t>
            </w:r>
          </w:p>
        </w:tc>
        <w:tc>
          <w:tcPr>
            <w:tcW w:w="4001" w:type="dxa"/>
          </w:tcPr>
          <w:p>
            <w:pPr>
              <w:pStyle w:val="TableParagraph"/>
              <w:ind w:left="101"/>
              <w:rPr>
                <w:sz w:val="19"/>
              </w:rPr>
            </w:pPr>
            <w:r>
              <w:rPr>
                <w:sz w:val="19"/>
              </w:rPr>
              <w:t>RBC</w:t>
            </w:r>
          </w:p>
        </w:tc>
      </w:tr>
      <w:tr>
        <w:trPr>
          <w:trHeight w:val="291" w:hRule="atLeast"/>
        </w:trPr>
        <w:tc>
          <w:tcPr>
            <w:tcW w:w="4017" w:type="dxa"/>
          </w:tcPr>
          <w:p>
            <w:pPr>
              <w:pStyle w:val="TableParagraph"/>
              <w:spacing w:before="35"/>
              <w:rPr>
                <w:sz w:val="19"/>
              </w:rPr>
            </w:pPr>
            <w:r>
              <w:rPr>
                <w:sz w:val="19"/>
              </w:rPr>
              <w:t>Gil Mandelzis</w:t>
            </w:r>
          </w:p>
        </w:tc>
        <w:tc>
          <w:tcPr>
            <w:tcW w:w="4001" w:type="dxa"/>
          </w:tcPr>
          <w:p>
            <w:pPr>
              <w:pStyle w:val="TableParagraph"/>
              <w:spacing w:before="35"/>
              <w:ind w:left="101"/>
              <w:rPr>
                <w:sz w:val="19"/>
              </w:rPr>
            </w:pPr>
            <w:r>
              <w:rPr>
                <w:sz w:val="19"/>
              </w:rPr>
              <w:t>EBS Broker-Tech</w:t>
            </w:r>
          </w:p>
        </w:tc>
      </w:tr>
      <w:tr>
        <w:trPr>
          <w:trHeight w:val="291" w:hRule="atLeast"/>
        </w:trPr>
        <w:tc>
          <w:tcPr>
            <w:tcW w:w="4017" w:type="dxa"/>
          </w:tcPr>
          <w:p>
            <w:pPr>
              <w:pStyle w:val="TableParagraph"/>
              <w:rPr>
                <w:sz w:val="19"/>
              </w:rPr>
            </w:pPr>
            <w:r>
              <w:rPr>
                <w:sz w:val="19"/>
              </w:rPr>
              <w:t>Andrew Rogan</w:t>
            </w:r>
          </w:p>
        </w:tc>
        <w:tc>
          <w:tcPr>
            <w:tcW w:w="4001" w:type="dxa"/>
          </w:tcPr>
          <w:p>
            <w:pPr>
              <w:pStyle w:val="TableParagraph"/>
              <w:rPr>
                <w:sz w:val="19"/>
              </w:rPr>
            </w:pPr>
            <w:r>
              <w:rPr>
                <w:sz w:val="19"/>
              </w:rPr>
              <w:t>British Bankers’ Association</w:t>
            </w:r>
          </w:p>
        </w:tc>
      </w:tr>
    </w:tbl>
    <w:p>
      <w:pPr>
        <w:spacing w:after="0"/>
        <w:rPr>
          <w:sz w:val="19"/>
        </w:rPr>
        <w:sectPr>
          <w:type w:val="continuous"/>
          <w:pgSz w:w="12240" w:h="15840"/>
          <w:pgMar w:top="1280" w:bottom="280" w:left="1720" w:right="1720"/>
        </w:sectPr>
      </w:pPr>
    </w:p>
    <w:p>
      <w:pPr>
        <w:pStyle w:val="ListParagraph"/>
        <w:numPr>
          <w:ilvl w:val="0"/>
          <w:numId w:val="1"/>
        </w:numPr>
        <w:tabs>
          <w:tab w:pos="606" w:val="left" w:leader="none"/>
        </w:tabs>
        <w:spacing w:line="240" w:lineRule="auto" w:before="118" w:after="0"/>
        <w:ind w:left="605" w:right="0" w:hanging="283"/>
        <w:jc w:val="left"/>
        <w:rPr>
          <w:b/>
          <w:sz w:val="22"/>
        </w:rPr>
      </w:pPr>
      <w:r>
        <w:rPr>
          <w:b/>
          <w:w w:val="105"/>
          <w:sz w:val="22"/>
        </w:rPr>
        <w:t>Apologies for</w:t>
      </w:r>
      <w:r>
        <w:rPr>
          <w:b/>
          <w:spacing w:val="-5"/>
          <w:w w:val="105"/>
          <w:sz w:val="22"/>
        </w:rPr>
        <w:t> </w:t>
      </w:r>
      <w:r>
        <w:rPr>
          <w:b/>
          <w:w w:val="105"/>
          <w:sz w:val="22"/>
        </w:rPr>
        <w:t>absence</w:t>
      </w:r>
    </w:p>
    <w:p>
      <w:pPr>
        <w:pStyle w:val="BodyText"/>
        <w:spacing w:before="1"/>
        <w:rPr>
          <w:b/>
          <w:sz w:val="23"/>
        </w:rPr>
      </w:pPr>
    </w:p>
    <w:p>
      <w:pPr>
        <w:pStyle w:val="BodyText"/>
        <w:spacing w:line="491" w:lineRule="auto"/>
        <w:ind w:left="492" w:right="489"/>
        <w:jc w:val="both"/>
      </w:pPr>
      <w:r>
        <w:rPr>
          <w:w w:val="105"/>
        </w:rPr>
        <w:t>Apologies were received from David Clark, Alex McDonald, Lisa Scott Smith, Graeme Munro, Isabelle Dennigan, Gil Mandelzis, Andrew Rogan, Jacqueline Joyston-Bechal and Joanna West.</w:t>
      </w:r>
    </w:p>
    <w:p>
      <w:pPr>
        <w:pStyle w:val="BodyText"/>
        <w:rPr>
          <w:sz w:val="24"/>
        </w:rPr>
      </w:pPr>
    </w:p>
    <w:p>
      <w:pPr>
        <w:pStyle w:val="BodyText"/>
        <w:spacing w:before="5"/>
        <w:rPr>
          <w:sz w:val="21"/>
        </w:rPr>
      </w:pPr>
    </w:p>
    <w:p>
      <w:pPr>
        <w:pStyle w:val="Heading1"/>
        <w:numPr>
          <w:ilvl w:val="0"/>
          <w:numId w:val="1"/>
        </w:numPr>
        <w:tabs>
          <w:tab w:pos="606" w:val="left" w:leader="none"/>
        </w:tabs>
        <w:spacing w:line="240" w:lineRule="auto" w:before="0" w:after="0"/>
        <w:ind w:left="605" w:right="0" w:hanging="283"/>
        <w:jc w:val="left"/>
      </w:pPr>
      <w:r>
        <w:rPr>
          <w:w w:val="105"/>
        </w:rPr>
        <w:t>Minutes of 27 January meeting and matters</w:t>
      </w:r>
      <w:r>
        <w:rPr>
          <w:spacing w:val="-24"/>
          <w:w w:val="105"/>
        </w:rPr>
        <w:t> </w:t>
      </w:r>
      <w:r>
        <w:rPr>
          <w:w w:val="105"/>
        </w:rPr>
        <w:t>arising</w:t>
      </w:r>
    </w:p>
    <w:p>
      <w:pPr>
        <w:pStyle w:val="BodyText"/>
        <w:spacing w:before="1"/>
        <w:rPr>
          <w:b/>
          <w:sz w:val="23"/>
        </w:rPr>
      </w:pPr>
    </w:p>
    <w:p>
      <w:pPr>
        <w:pStyle w:val="BodyText"/>
        <w:ind w:left="492"/>
        <w:jc w:val="both"/>
      </w:pPr>
      <w:r>
        <w:rPr>
          <w:w w:val="105"/>
        </w:rPr>
        <w:t>The minutes of the January meeting were agreed. There were no matters arising.</w:t>
      </w:r>
    </w:p>
    <w:p>
      <w:pPr>
        <w:pStyle w:val="BodyText"/>
        <w:rPr>
          <w:sz w:val="24"/>
        </w:rPr>
      </w:pPr>
    </w:p>
    <w:p>
      <w:pPr>
        <w:pStyle w:val="BodyText"/>
        <w:rPr>
          <w:sz w:val="24"/>
        </w:rPr>
      </w:pPr>
    </w:p>
    <w:p>
      <w:pPr>
        <w:pStyle w:val="BodyText"/>
        <w:spacing w:before="6"/>
        <w:rPr>
          <w:sz w:val="20"/>
        </w:rPr>
      </w:pPr>
    </w:p>
    <w:p>
      <w:pPr>
        <w:pStyle w:val="Heading1"/>
        <w:numPr>
          <w:ilvl w:val="0"/>
          <w:numId w:val="1"/>
        </w:numPr>
        <w:tabs>
          <w:tab w:pos="549" w:val="left" w:leader="none"/>
        </w:tabs>
        <w:spacing w:line="240" w:lineRule="auto" w:before="0" w:after="0"/>
        <w:ind w:left="548" w:right="0" w:hanging="226"/>
        <w:jc w:val="left"/>
      </w:pPr>
      <w:r>
        <w:rPr>
          <w:w w:val="105"/>
        </w:rPr>
        <w:t>Round</w:t>
      </w:r>
      <w:r>
        <w:rPr>
          <w:spacing w:val="-8"/>
          <w:w w:val="105"/>
        </w:rPr>
        <w:t> </w:t>
      </w:r>
      <w:r>
        <w:rPr>
          <w:w w:val="105"/>
        </w:rPr>
        <w:t>table</w:t>
      </w:r>
      <w:r>
        <w:rPr>
          <w:spacing w:val="-7"/>
          <w:w w:val="105"/>
        </w:rPr>
        <w:t> </w:t>
      </w:r>
      <w:r>
        <w:rPr>
          <w:w w:val="105"/>
        </w:rPr>
        <w:t>discussion</w:t>
      </w:r>
      <w:r>
        <w:rPr>
          <w:spacing w:val="-8"/>
          <w:w w:val="105"/>
        </w:rPr>
        <w:t> </w:t>
      </w:r>
      <w:r>
        <w:rPr>
          <w:w w:val="105"/>
        </w:rPr>
        <w:t>with</w:t>
      </w:r>
      <w:r>
        <w:rPr>
          <w:spacing w:val="-5"/>
          <w:w w:val="105"/>
        </w:rPr>
        <w:t> </w:t>
      </w:r>
      <w:r>
        <w:rPr>
          <w:w w:val="105"/>
        </w:rPr>
        <w:t>Chris</w:t>
      </w:r>
      <w:r>
        <w:rPr>
          <w:spacing w:val="-7"/>
          <w:w w:val="105"/>
        </w:rPr>
        <w:t> </w:t>
      </w:r>
      <w:r>
        <w:rPr>
          <w:w w:val="105"/>
        </w:rPr>
        <w:t>Salmon</w:t>
      </w:r>
      <w:r>
        <w:rPr>
          <w:spacing w:val="-7"/>
          <w:w w:val="105"/>
        </w:rPr>
        <w:t> </w:t>
      </w:r>
      <w:r>
        <w:rPr>
          <w:w w:val="105"/>
        </w:rPr>
        <w:t>–</w:t>
      </w:r>
      <w:r>
        <w:rPr>
          <w:spacing w:val="-7"/>
          <w:w w:val="105"/>
        </w:rPr>
        <w:t> </w:t>
      </w:r>
      <w:r>
        <w:rPr>
          <w:w w:val="105"/>
        </w:rPr>
        <w:t>Executive</w:t>
      </w:r>
      <w:r>
        <w:rPr>
          <w:spacing w:val="-8"/>
          <w:w w:val="105"/>
        </w:rPr>
        <w:t> </w:t>
      </w:r>
      <w:r>
        <w:rPr>
          <w:w w:val="105"/>
        </w:rPr>
        <w:t>Director</w:t>
      </w:r>
      <w:r>
        <w:rPr>
          <w:spacing w:val="-8"/>
          <w:w w:val="105"/>
        </w:rPr>
        <w:t> </w:t>
      </w:r>
      <w:r>
        <w:rPr>
          <w:w w:val="105"/>
        </w:rPr>
        <w:t>Markets</w:t>
      </w:r>
    </w:p>
    <w:p>
      <w:pPr>
        <w:pStyle w:val="BodyText"/>
        <w:spacing w:before="1"/>
        <w:rPr>
          <w:b/>
          <w:sz w:val="23"/>
        </w:rPr>
      </w:pPr>
    </w:p>
    <w:p>
      <w:pPr>
        <w:pStyle w:val="BodyText"/>
        <w:spacing w:line="491" w:lineRule="auto"/>
        <w:ind w:left="492" w:right="489"/>
        <w:jc w:val="both"/>
      </w:pPr>
      <w:r>
        <w:rPr>
          <w:w w:val="105"/>
        </w:rPr>
        <w:t>Chris Salmon presented on the Bank’s recent review of its Market Intelligence (MI) function, the results of which were published in February 2014, alongside a new MI Charter.</w:t>
      </w:r>
      <w:r>
        <w:rPr>
          <w:spacing w:val="31"/>
          <w:w w:val="105"/>
        </w:rPr>
        <w:t> </w:t>
      </w:r>
      <w:r>
        <w:rPr>
          <w:w w:val="105"/>
        </w:rPr>
        <w:t>The</w:t>
      </w:r>
      <w:r>
        <w:rPr>
          <w:spacing w:val="-15"/>
          <w:w w:val="105"/>
        </w:rPr>
        <w:t> </w:t>
      </w:r>
      <w:r>
        <w:rPr>
          <w:w w:val="105"/>
        </w:rPr>
        <w:t>Fair</w:t>
      </w:r>
      <w:r>
        <w:rPr>
          <w:spacing w:val="-14"/>
          <w:w w:val="105"/>
        </w:rPr>
        <w:t> </w:t>
      </w:r>
      <w:r>
        <w:rPr>
          <w:w w:val="105"/>
        </w:rPr>
        <w:t>and</w:t>
      </w:r>
      <w:r>
        <w:rPr>
          <w:spacing w:val="-14"/>
          <w:w w:val="105"/>
        </w:rPr>
        <w:t> </w:t>
      </w:r>
      <w:r>
        <w:rPr>
          <w:w w:val="105"/>
        </w:rPr>
        <w:t>Effective</w:t>
      </w:r>
      <w:r>
        <w:rPr>
          <w:spacing w:val="-14"/>
          <w:w w:val="105"/>
        </w:rPr>
        <w:t> </w:t>
      </w:r>
      <w:r>
        <w:rPr>
          <w:w w:val="105"/>
        </w:rPr>
        <w:t>Markets</w:t>
      </w:r>
      <w:r>
        <w:rPr>
          <w:spacing w:val="-12"/>
          <w:w w:val="105"/>
        </w:rPr>
        <w:t> </w:t>
      </w:r>
      <w:r>
        <w:rPr>
          <w:w w:val="105"/>
        </w:rPr>
        <w:t>Review</w:t>
      </w:r>
      <w:r>
        <w:rPr>
          <w:spacing w:val="-14"/>
          <w:w w:val="105"/>
        </w:rPr>
        <w:t> </w:t>
      </w:r>
      <w:r>
        <w:rPr>
          <w:w w:val="105"/>
        </w:rPr>
        <w:t>(FEMR)</w:t>
      </w:r>
      <w:r>
        <w:rPr>
          <w:spacing w:val="-14"/>
          <w:w w:val="105"/>
        </w:rPr>
        <w:t> </w:t>
      </w:r>
      <w:r>
        <w:rPr>
          <w:w w:val="105"/>
        </w:rPr>
        <w:t>was</w:t>
      </w:r>
      <w:r>
        <w:rPr>
          <w:spacing w:val="-13"/>
          <w:w w:val="105"/>
        </w:rPr>
        <w:t> </w:t>
      </w:r>
      <w:r>
        <w:rPr>
          <w:w w:val="105"/>
        </w:rPr>
        <w:t>also</w:t>
      </w:r>
      <w:r>
        <w:rPr>
          <w:spacing w:val="-13"/>
          <w:w w:val="105"/>
        </w:rPr>
        <w:t> </w:t>
      </w:r>
      <w:r>
        <w:rPr>
          <w:w w:val="105"/>
        </w:rPr>
        <w:t>discussed.</w:t>
      </w:r>
      <w:r>
        <w:rPr>
          <w:spacing w:val="31"/>
          <w:w w:val="105"/>
        </w:rPr>
        <w:t> </w:t>
      </w:r>
      <w:r>
        <w:rPr>
          <w:w w:val="105"/>
        </w:rPr>
        <w:t>FEMR published</w:t>
      </w:r>
      <w:r>
        <w:rPr>
          <w:spacing w:val="-14"/>
          <w:w w:val="105"/>
        </w:rPr>
        <w:t> </w:t>
      </w:r>
      <w:r>
        <w:rPr>
          <w:w w:val="105"/>
        </w:rPr>
        <w:t>a</w:t>
      </w:r>
      <w:r>
        <w:rPr>
          <w:spacing w:val="-13"/>
          <w:w w:val="105"/>
        </w:rPr>
        <w:t> </w:t>
      </w:r>
      <w:r>
        <w:rPr>
          <w:w w:val="105"/>
        </w:rPr>
        <w:t>consultation</w:t>
      </w:r>
      <w:r>
        <w:rPr>
          <w:spacing w:val="-13"/>
          <w:w w:val="105"/>
        </w:rPr>
        <w:t> </w:t>
      </w:r>
      <w:r>
        <w:rPr>
          <w:w w:val="105"/>
        </w:rPr>
        <w:t>document</w:t>
      </w:r>
      <w:r>
        <w:rPr>
          <w:spacing w:val="-13"/>
          <w:w w:val="105"/>
        </w:rPr>
        <w:t> </w:t>
      </w:r>
      <w:r>
        <w:rPr>
          <w:w w:val="105"/>
        </w:rPr>
        <w:t>in</w:t>
      </w:r>
      <w:r>
        <w:rPr>
          <w:spacing w:val="-14"/>
          <w:w w:val="105"/>
        </w:rPr>
        <w:t> </w:t>
      </w:r>
      <w:r>
        <w:rPr>
          <w:w w:val="105"/>
        </w:rPr>
        <w:t>October</w:t>
      </w:r>
      <w:r>
        <w:rPr>
          <w:spacing w:val="-15"/>
          <w:w w:val="105"/>
        </w:rPr>
        <w:t> </w:t>
      </w:r>
      <w:r>
        <w:rPr>
          <w:w w:val="105"/>
        </w:rPr>
        <w:t>2014,</w:t>
      </w:r>
      <w:r>
        <w:rPr>
          <w:spacing w:val="-15"/>
          <w:w w:val="105"/>
        </w:rPr>
        <w:t> </w:t>
      </w:r>
      <w:r>
        <w:rPr>
          <w:w w:val="105"/>
        </w:rPr>
        <w:t>with</w:t>
      </w:r>
      <w:r>
        <w:rPr>
          <w:spacing w:val="-15"/>
          <w:w w:val="105"/>
        </w:rPr>
        <w:t> </w:t>
      </w:r>
      <w:r>
        <w:rPr>
          <w:w w:val="105"/>
        </w:rPr>
        <w:t>responses</w:t>
      </w:r>
      <w:r>
        <w:rPr>
          <w:spacing w:val="-14"/>
          <w:w w:val="105"/>
        </w:rPr>
        <w:t> </w:t>
      </w:r>
      <w:r>
        <w:rPr>
          <w:w w:val="105"/>
        </w:rPr>
        <w:t>sought</w:t>
      </w:r>
      <w:r>
        <w:rPr>
          <w:spacing w:val="-15"/>
          <w:w w:val="105"/>
        </w:rPr>
        <w:t> </w:t>
      </w:r>
      <w:r>
        <w:rPr>
          <w:w w:val="105"/>
        </w:rPr>
        <w:t>by</w:t>
      </w:r>
      <w:r>
        <w:rPr>
          <w:spacing w:val="-14"/>
          <w:w w:val="105"/>
        </w:rPr>
        <w:t> </w:t>
      </w:r>
      <w:r>
        <w:rPr>
          <w:w w:val="105"/>
        </w:rPr>
        <w:t>the</w:t>
      </w:r>
      <w:r>
        <w:rPr>
          <w:spacing w:val="-14"/>
          <w:w w:val="105"/>
        </w:rPr>
        <w:t> </w:t>
      </w:r>
      <w:r>
        <w:rPr>
          <w:w w:val="105"/>
        </w:rPr>
        <w:t>end of</w:t>
      </w:r>
      <w:r>
        <w:rPr>
          <w:spacing w:val="-8"/>
          <w:w w:val="105"/>
        </w:rPr>
        <w:t> </w:t>
      </w:r>
      <w:r>
        <w:rPr>
          <w:w w:val="105"/>
        </w:rPr>
        <w:t>January</w:t>
      </w:r>
      <w:r>
        <w:rPr>
          <w:spacing w:val="-6"/>
          <w:w w:val="105"/>
        </w:rPr>
        <w:t> </w:t>
      </w:r>
      <w:r>
        <w:rPr>
          <w:w w:val="105"/>
        </w:rPr>
        <w:t>2015;</w:t>
      </w:r>
      <w:r>
        <w:rPr>
          <w:spacing w:val="-8"/>
          <w:w w:val="105"/>
        </w:rPr>
        <w:t> </w:t>
      </w:r>
      <w:r>
        <w:rPr>
          <w:w w:val="105"/>
        </w:rPr>
        <w:t>FEMR</w:t>
      </w:r>
      <w:r>
        <w:rPr>
          <w:spacing w:val="-8"/>
          <w:w w:val="105"/>
        </w:rPr>
        <w:t> </w:t>
      </w:r>
      <w:r>
        <w:rPr>
          <w:w w:val="105"/>
        </w:rPr>
        <w:t>will</w:t>
      </w:r>
      <w:r>
        <w:rPr>
          <w:spacing w:val="-7"/>
          <w:w w:val="105"/>
        </w:rPr>
        <w:t> </w:t>
      </w:r>
      <w:r>
        <w:rPr>
          <w:w w:val="105"/>
        </w:rPr>
        <w:t>make</w:t>
      </w:r>
      <w:r>
        <w:rPr>
          <w:spacing w:val="-7"/>
          <w:w w:val="105"/>
        </w:rPr>
        <w:t> </w:t>
      </w:r>
      <w:r>
        <w:rPr>
          <w:w w:val="105"/>
        </w:rPr>
        <w:t>its</w:t>
      </w:r>
      <w:r>
        <w:rPr>
          <w:spacing w:val="-6"/>
          <w:w w:val="105"/>
        </w:rPr>
        <w:t> </w:t>
      </w:r>
      <w:r>
        <w:rPr>
          <w:w w:val="105"/>
        </w:rPr>
        <w:t>final</w:t>
      </w:r>
      <w:r>
        <w:rPr>
          <w:spacing w:val="-8"/>
          <w:w w:val="105"/>
        </w:rPr>
        <w:t> </w:t>
      </w:r>
      <w:r>
        <w:rPr>
          <w:w w:val="105"/>
        </w:rPr>
        <w:t>recommendations</w:t>
      </w:r>
      <w:r>
        <w:rPr>
          <w:spacing w:val="-8"/>
          <w:w w:val="105"/>
        </w:rPr>
        <w:t> </w:t>
      </w:r>
      <w:r>
        <w:rPr>
          <w:w w:val="105"/>
        </w:rPr>
        <w:t>in</w:t>
      </w:r>
      <w:r>
        <w:rPr>
          <w:spacing w:val="-8"/>
          <w:w w:val="105"/>
        </w:rPr>
        <w:t> </w:t>
      </w:r>
      <w:r>
        <w:rPr>
          <w:w w:val="105"/>
        </w:rPr>
        <w:t>June</w:t>
      </w:r>
      <w:r>
        <w:rPr>
          <w:spacing w:val="-7"/>
          <w:w w:val="105"/>
        </w:rPr>
        <w:t> </w:t>
      </w:r>
      <w:r>
        <w:rPr>
          <w:w w:val="105"/>
        </w:rPr>
        <w:t>2015.</w:t>
      </w:r>
    </w:p>
    <w:p>
      <w:pPr>
        <w:pStyle w:val="BodyText"/>
        <w:spacing w:line="491" w:lineRule="auto" w:before="2"/>
        <w:ind w:left="492" w:right="489"/>
        <w:jc w:val="both"/>
      </w:pPr>
      <w:r>
        <w:rPr>
          <w:w w:val="105"/>
        </w:rPr>
        <w:t>There was a discussion on the UK general election and the possible impacts on FX markets. Whilst short term volatility seemed possible in sterling given the uncertain outcome, it was likely that global macro themes would continue to have a greater impact.</w:t>
      </w:r>
    </w:p>
    <w:p>
      <w:pPr>
        <w:pStyle w:val="BodyText"/>
        <w:rPr>
          <w:sz w:val="24"/>
        </w:rPr>
      </w:pPr>
    </w:p>
    <w:p>
      <w:pPr>
        <w:pStyle w:val="BodyText"/>
        <w:spacing w:before="4"/>
        <w:rPr>
          <w:sz w:val="21"/>
        </w:rPr>
      </w:pPr>
    </w:p>
    <w:p>
      <w:pPr>
        <w:pStyle w:val="BodyText"/>
        <w:spacing w:line="491" w:lineRule="auto"/>
        <w:ind w:left="492" w:right="488"/>
        <w:jc w:val="both"/>
      </w:pPr>
      <w:r>
        <w:rPr>
          <w:w w:val="105"/>
        </w:rPr>
        <w:t>There was also a discussion of whether recent sharp moves in some exchange rates suggested</w:t>
      </w:r>
      <w:r>
        <w:rPr>
          <w:spacing w:val="-9"/>
          <w:w w:val="105"/>
        </w:rPr>
        <w:t> </w:t>
      </w:r>
      <w:r>
        <w:rPr>
          <w:w w:val="105"/>
        </w:rPr>
        <w:t>that</w:t>
      </w:r>
      <w:r>
        <w:rPr>
          <w:spacing w:val="-7"/>
          <w:w w:val="105"/>
        </w:rPr>
        <w:t> </w:t>
      </w:r>
      <w:r>
        <w:rPr>
          <w:w w:val="105"/>
        </w:rPr>
        <w:t>the</w:t>
      </w:r>
      <w:r>
        <w:rPr>
          <w:spacing w:val="-8"/>
          <w:w w:val="105"/>
        </w:rPr>
        <w:t> </w:t>
      </w:r>
      <w:r>
        <w:rPr>
          <w:w w:val="105"/>
        </w:rPr>
        <w:t>depth</w:t>
      </w:r>
      <w:r>
        <w:rPr>
          <w:spacing w:val="-7"/>
          <w:w w:val="105"/>
        </w:rPr>
        <w:t> </w:t>
      </w:r>
      <w:r>
        <w:rPr>
          <w:w w:val="105"/>
        </w:rPr>
        <w:t>of</w:t>
      </w:r>
      <w:r>
        <w:rPr>
          <w:spacing w:val="-9"/>
          <w:w w:val="105"/>
        </w:rPr>
        <w:t> </w:t>
      </w:r>
      <w:r>
        <w:rPr>
          <w:w w:val="105"/>
        </w:rPr>
        <w:t>liquidity</w:t>
      </w:r>
      <w:r>
        <w:rPr>
          <w:spacing w:val="-4"/>
          <w:w w:val="105"/>
        </w:rPr>
        <w:t> </w:t>
      </w:r>
      <w:r>
        <w:rPr>
          <w:w w:val="105"/>
        </w:rPr>
        <w:t>in</w:t>
      </w:r>
      <w:r>
        <w:rPr>
          <w:spacing w:val="-9"/>
          <w:w w:val="105"/>
        </w:rPr>
        <w:t> </w:t>
      </w:r>
      <w:r>
        <w:rPr>
          <w:w w:val="105"/>
        </w:rPr>
        <w:t>FX</w:t>
      </w:r>
      <w:r>
        <w:rPr>
          <w:spacing w:val="-6"/>
          <w:w w:val="105"/>
        </w:rPr>
        <w:t> </w:t>
      </w:r>
      <w:r>
        <w:rPr>
          <w:w w:val="105"/>
        </w:rPr>
        <w:t>markets</w:t>
      </w:r>
      <w:r>
        <w:rPr>
          <w:spacing w:val="-8"/>
          <w:w w:val="105"/>
        </w:rPr>
        <w:t> </w:t>
      </w:r>
      <w:r>
        <w:rPr>
          <w:w w:val="105"/>
        </w:rPr>
        <w:t>had</w:t>
      </w:r>
      <w:r>
        <w:rPr>
          <w:spacing w:val="-8"/>
          <w:w w:val="105"/>
        </w:rPr>
        <w:t> </w:t>
      </w:r>
      <w:r>
        <w:rPr>
          <w:w w:val="105"/>
        </w:rPr>
        <w:t>reduced,</w:t>
      </w:r>
      <w:r>
        <w:rPr>
          <w:spacing w:val="-7"/>
          <w:w w:val="105"/>
        </w:rPr>
        <w:t> </w:t>
      </w:r>
      <w:r>
        <w:rPr>
          <w:w w:val="105"/>
        </w:rPr>
        <w:t>or</w:t>
      </w:r>
      <w:r>
        <w:rPr>
          <w:spacing w:val="-7"/>
          <w:w w:val="105"/>
        </w:rPr>
        <w:t> </w:t>
      </w:r>
      <w:r>
        <w:rPr>
          <w:w w:val="105"/>
        </w:rPr>
        <w:t>had</w:t>
      </w:r>
      <w:r>
        <w:rPr>
          <w:spacing w:val="-8"/>
          <w:w w:val="105"/>
        </w:rPr>
        <w:t> </w:t>
      </w:r>
      <w:r>
        <w:rPr>
          <w:w w:val="105"/>
        </w:rPr>
        <w:t>become</w:t>
      </w:r>
      <w:r>
        <w:rPr>
          <w:spacing w:val="-6"/>
          <w:w w:val="105"/>
        </w:rPr>
        <w:t> </w:t>
      </w:r>
      <w:r>
        <w:rPr>
          <w:w w:val="105"/>
        </w:rPr>
        <w:t>more fragile in volatile market conditions. Possible contributory factors suggested included: changing regulation of banks’ trading activities; changing bank business models; the increasing prominence of non-bank liquidity providers; the expansion in the</w:t>
      </w:r>
      <w:r>
        <w:rPr>
          <w:spacing w:val="-16"/>
          <w:w w:val="105"/>
        </w:rPr>
        <w:t> </w:t>
      </w:r>
      <w:r>
        <w:rPr>
          <w:w w:val="105"/>
        </w:rPr>
        <w:t>number</w:t>
      </w:r>
      <w:r>
        <w:rPr>
          <w:spacing w:val="-16"/>
          <w:w w:val="105"/>
        </w:rPr>
        <w:t> </w:t>
      </w:r>
      <w:r>
        <w:rPr>
          <w:w w:val="105"/>
        </w:rPr>
        <w:t>of</w:t>
      </w:r>
      <w:r>
        <w:rPr>
          <w:spacing w:val="-15"/>
          <w:w w:val="105"/>
        </w:rPr>
        <w:t> </w:t>
      </w:r>
      <w:r>
        <w:rPr>
          <w:w w:val="105"/>
        </w:rPr>
        <w:t>trading</w:t>
      </w:r>
      <w:r>
        <w:rPr>
          <w:spacing w:val="-15"/>
          <w:w w:val="105"/>
        </w:rPr>
        <w:t> </w:t>
      </w:r>
      <w:r>
        <w:rPr>
          <w:w w:val="105"/>
        </w:rPr>
        <w:t>platforms;</w:t>
      </w:r>
      <w:r>
        <w:rPr>
          <w:spacing w:val="-15"/>
          <w:w w:val="105"/>
        </w:rPr>
        <w:t> </w:t>
      </w:r>
      <w:r>
        <w:rPr>
          <w:w w:val="105"/>
        </w:rPr>
        <w:t>and</w:t>
      </w:r>
      <w:r>
        <w:rPr>
          <w:spacing w:val="-15"/>
          <w:w w:val="105"/>
        </w:rPr>
        <w:t> </w:t>
      </w:r>
      <w:r>
        <w:rPr>
          <w:w w:val="105"/>
        </w:rPr>
        <w:t>technological</w:t>
      </w:r>
      <w:r>
        <w:rPr>
          <w:spacing w:val="-15"/>
          <w:w w:val="105"/>
        </w:rPr>
        <w:t> </w:t>
      </w:r>
      <w:r>
        <w:rPr>
          <w:w w:val="105"/>
        </w:rPr>
        <w:t>changes,</w:t>
      </w:r>
      <w:r>
        <w:rPr>
          <w:spacing w:val="-15"/>
          <w:w w:val="105"/>
        </w:rPr>
        <w:t> </w:t>
      </w:r>
      <w:r>
        <w:rPr>
          <w:w w:val="105"/>
        </w:rPr>
        <w:t>particularly</w:t>
      </w:r>
      <w:r>
        <w:rPr>
          <w:spacing w:val="-14"/>
          <w:w w:val="105"/>
        </w:rPr>
        <w:t> </w:t>
      </w:r>
      <w:r>
        <w:rPr>
          <w:w w:val="105"/>
        </w:rPr>
        <w:t>in</w:t>
      </w:r>
      <w:r>
        <w:rPr>
          <w:spacing w:val="-15"/>
          <w:w w:val="105"/>
        </w:rPr>
        <w:t> </w:t>
      </w:r>
      <w:r>
        <w:rPr>
          <w:w w:val="105"/>
        </w:rPr>
        <w:t>the</w:t>
      </w:r>
      <w:r>
        <w:rPr>
          <w:spacing w:val="-16"/>
          <w:w w:val="105"/>
        </w:rPr>
        <w:t> </w:t>
      </w:r>
      <w:r>
        <w:rPr>
          <w:w w:val="105"/>
        </w:rPr>
        <w:t>area</w:t>
      </w:r>
      <w:r>
        <w:rPr>
          <w:spacing w:val="-16"/>
          <w:w w:val="105"/>
        </w:rPr>
        <w:t> </w:t>
      </w:r>
      <w:r>
        <w:rPr>
          <w:w w:val="105"/>
        </w:rPr>
        <w:t>of</w:t>
      </w:r>
    </w:p>
    <w:p>
      <w:pPr>
        <w:spacing w:after="0" w:line="491" w:lineRule="auto"/>
        <w:jc w:val="both"/>
        <w:sectPr>
          <w:pgSz w:w="12240" w:h="15840"/>
          <w:pgMar w:top="1500" w:bottom="280" w:left="1720" w:right="1720"/>
        </w:sectPr>
      </w:pPr>
    </w:p>
    <w:p>
      <w:pPr>
        <w:pStyle w:val="BodyText"/>
        <w:spacing w:line="491" w:lineRule="auto" w:before="78"/>
        <w:ind w:left="492" w:right="489"/>
        <w:jc w:val="both"/>
      </w:pPr>
      <w:r>
        <w:rPr>
          <w:w w:val="105"/>
        </w:rPr>
        <w:t>trade</w:t>
      </w:r>
      <w:r>
        <w:rPr>
          <w:spacing w:val="-8"/>
          <w:w w:val="105"/>
        </w:rPr>
        <w:t> </w:t>
      </w:r>
      <w:r>
        <w:rPr>
          <w:w w:val="105"/>
        </w:rPr>
        <w:t>execution.</w:t>
      </w:r>
      <w:r>
        <w:rPr>
          <w:spacing w:val="42"/>
          <w:w w:val="105"/>
        </w:rPr>
        <w:t> </w:t>
      </w:r>
      <w:r>
        <w:rPr>
          <w:w w:val="105"/>
        </w:rPr>
        <w:t>Members</w:t>
      </w:r>
      <w:r>
        <w:rPr>
          <w:spacing w:val="-8"/>
          <w:w w:val="105"/>
        </w:rPr>
        <w:t> </w:t>
      </w:r>
      <w:r>
        <w:rPr>
          <w:w w:val="105"/>
        </w:rPr>
        <w:t>had</w:t>
      </w:r>
      <w:r>
        <w:rPr>
          <w:spacing w:val="-6"/>
          <w:w w:val="105"/>
        </w:rPr>
        <w:t> </w:t>
      </w:r>
      <w:r>
        <w:rPr>
          <w:w w:val="105"/>
        </w:rPr>
        <w:t>a</w:t>
      </w:r>
      <w:r>
        <w:rPr>
          <w:spacing w:val="-8"/>
          <w:w w:val="105"/>
        </w:rPr>
        <w:t> </w:t>
      </w:r>
      <w:r>
        <w:rPr>
          <w:w w:val="105"/>
        </w:rPr>
        <w:t>range</w:t>
      </w:r>
      <w:r>
        <w:rPr>
          <w:spacing w:val="-9"/>
          <w:w w:val="105"/>
        </w:rPr>
        <w:t> </w:t>
      </w:r>
      <w:r>
        <w:rPr>
          <w:w w:val="105"/>
        </w:rPr>
        <w:t>of</w:t>
      </w:r>
      <w:r>
        <w:rPr>
          <w:spacing w:val="-8"/>
          <w:w w:val="105"/>
        </w:rPr>
        <w:t> </w:t>
      </w:r>
      <w:r>
        <w:rPr>
          <w:w w:val="105"/>
        </w:rPr>
        <w:t>views,</w:t>
      </w:r>
      <w:r>
        <w:rPr>
          <w:spacing w:val="-8"/>
          <w:w w:val="105"/>
        </w:rPr>
        <w:t> </w:t>
      </w:r>
      <w:r>
        <w:rPr>
          <w:w w:val="105"/>
        </w:rPr>
        <w:t>but</w:t>
      </w:r>
      <w:r>
        <w:rPr>
          <w:spacing w:val="-7"/>
          <w:w w:val="105"/>
        </w:rPr>
        <w:t> </w:t>
      </w:r>
      <w:r>
        <w:rPr>
          <w:w w:val="105"/>
        </w:rPr>
        <w:t>agreed</w:t>
      </w:r>
      <w:r>
        <w:rPr>
          <w:spacing w:val="-8"/>
          <w:w w:val="105"/>
        </w:rPr>
        <w:t> </w:t>
      </w:r>
      <w:r>
        <w:rPr>
          <w:w w:val="105"/>
        </w:rPr>
        <w:t>that</w:t>
      </w:r>
      <w:r>
        <w:rPr>
          <w:spacing w:val="-8"/>
          <w:w w:val="105"/>
        </w:rPr>
        <w:t> </w:t>
      </w:r>
      <w:r>
        <w:rPr>
          <w:w w:val="105"/>
        </w:rPr>
        <w:t>conditions</w:t>
      </w:r>
      <w:r>
        <w:rPr>
          <w:spacing w:val="-8"/>
          <w:w w:val="105"/>
        </w:rPr>
        <w:t> </w:t>
      </w:r>
      <w:r>
        <w:rPr>
          <w:w w:val="105"/>
        </w:rPr>
        <w:t>should</w:t>
      </w:r>
      <w:r>
        <w:rPr>
          <w:spacing w:val="-6"/>
          <w:w w:val="105"/>
        </w:rPr>
        <w:t> </w:t>
      </w:r>
      <w:r>
        <w:rPr>
          <w:w w:val="105"/>
        </w:rPr>
        <w:t>be kept under</w:t>
      </w:r>
      <w:r>
        <w:rPr>
          <w:spacing w:val="-5"/>
          <w:w w:val="105"/>
        </w:rPr>
        <w:t> </w:t>
      </w:r>
      <w:r>
        <w:rPr>
          <w:w w:val="105"/>
        </w:rPr>
        <w:t>review.</w:t>
      </w:r>
    </w:p>
    <w:p>
      <w:pPr>
        <w:pStyle w:val="BodyText"/>
        <w:rPr>
          <w:sz w:val="24"/>
        </w:rPr>
      </w:pPr>
    </w:p>
    <w:p>
      <w:pPr>
        <w:pStyle w:val="BodyText"/>
        <w:spacing w:before="4"/>
        <w:rPr>
          <w:sz w:val="21"/>
        </w:rPr>
      </w:pPr>
    </w:p>
    <w:p>
      <w:pPr>
        <w:pStyle w:val="ListParagraph"/>
        <w:numPr>
          <w:ilvl w:val="0"/>
          <w:numId w:val="1"/>
        </w:numPr>
        <w:tabs>
          <w:tab w:pos="606" w:val="left" w:leader="none"/>
        </w:tabs>
        <w:spacing w:line="491" w:lineRule="auto" w:before="0" w:after="0"/>
        <w:ind w:left="760" w:right="489" w:hanging="437"/>
        <w:jc w:val="both"/>
        <w:rPr>
          <w:b/>
          <w:i/>
          <w:sz w:val="22"/>
        </w:rPr>
      </w:pPr>
      <w:r>
        <w:rPr>
          <w:b/>
          <w:w w:val="105"/>
          <w:sz w:val="22"/>
        </w:rPr>
        <w:t>The Global Preamble and themes from the Tokyo FX Committee (</w:t>
      </w:r>
      <w:r>
        <w:rPr>
          <w:b/>
          <w:i/>
          <w:w w:val="105"/>
          <w:sz w:val="22"/>
        </w:rPr>
        <w:t>Mike </w:t>
      </w:r>
      <w:r>
        <w:rPr>
          <w:b/>
          <w:i/>
          <w:w w:val="105"/>
          <w:sz w:val="22"/>
        </w:rPr>
        <w:t>Cross/Frederic</w:t>
      </w:r>
      <w:r>
        <w:rPr>
          <w:b/>
          <w:i/>
          <w:spacing w:val="-4"/>
          <w:w w:val="105"/>
          <w:sz w:val="22"/>
        </w:rPr>
        <w:t> </w:t>
      </w:r>
      <w:r>
        <w:rPr>
          <w:b/>
          <w:i/>
          <w:w w:val="105"/>
          <w:sz w:val="22"/>
        </w:rPr>
        <w:t>Boillereau)</w:t>
      </w:r>
    </w:p>
    <w:p>
      <w:pPr>
        <w:pStyle w:val="BodyText"/>
        <w:spacing w:line="491" w:lineRule="auto" w:before="1"/>
        <w:ind w:left="492" w:right="486"/>
        <w:jc w:val="both"/>
      </w:pPr>
      <w:r>
        <w:rPr>
          <w:w w:val="105"/>
        </w:rPr>
        <w:t>Mike</w:t>
      </w:r>
      <w:r>
        <w:rPr>
          <w:spacing w:val="-9"/>
          <w:w w:val="105"/>
        </w:rPr>
        <w:t> </w:t>
      </w:r>
      <w:r>
        <w:rPr>
          <w:w w:val="105"/>
        </w:rPr>
        <w:t>Cross</w:t>
      </w:r>
      <w:r>
        <w:rPr>
          <w:spacing w:val="-8"/>
          <w:w w:val="105"/>
        </w:rPr>
        <w:t> </w:t>
      </w:r>
      <w:r>
        <w:rPr>
          <w:w w:val="105"/>
        </w:rPr>
        <w:t>discussed</w:t>
      </w:r>
      <w:r>
        <w:rPr>
          <w:spacing w:val="-8"/>
          <w:w w:val="105"/>
        </w:rPr>
        <w:t> </w:t>
      </w:r>
      <w:r>
        <w:rPr>
          <w:w w:val="105"/>
        </w:rPr>
        <w:t>the</w:t>
      </w:r>
      <w:r>
        <w:rPr>
          <w:spacing w:val="-9"/>
          <w:w w:val="105"/>
        </w:rPr>
        <w:t> </w:t>
      </w:r>
      <w:r>
        <w:rPr>
          <w:w w:val="105"/>
        </w:rPr>
        <w:t>global</w:t>
      </w:r>
      <w:r>
        <w:rPr>
          <w:spacing w:val="-9"/>
          <w:w w:val="105"/>
        </w:rPr>
        <w:t> </w:t>
      </w:r>
      <w:r>
        <w:rPr>
          <w:w w:val="105"/>
        </w:rPr>
        <w:t>FX</w:t>
      </w:r>
      <w:r>
        <w:rPr>
          <w:spacing w:val="-9"/>
          <w:w w:val="105"/>
        </w:rPr>
        <w:t> </w:t>
      </w:r>
      <w:r>
        <w:rPr>
          <w:w w:val="105"/>
        </w:rPr>
        <w:t>meeting</w:t>
      </w:r>
      <w:r>
        <w:rPr>
          <w:spacing w:val="-7"/>
          <w:w w:val="105"/>
        </w:rPr>
        <w:t> </w:t>
      </w:r>
      <w:r>
        <w:rPr>
          <w:w w:val="105"/>
        </w:rPr>
        <w:t>in</w:t>
      </w:r>
      <w:r>
        <w:rPr>
          <w:spacing w:val="-8"/>
          <w:w w:val="105"/>
        </w:rPr>
        <w:t> </w:t>
      </w:r>
      <w:r>
        <w:rPr>
          <w:w w:val="105"/>
        </w:rPr>
        <w:t>Tokyo,</w:t>
      </w:r>
      <w:r>
        <w:rPr>
          <w:spacing w:val="-8"/>
          <w:w w:val="105"/>
        </w:rPr>
        <w:t> </w:t>
      </w:r>
      <w:r>
        <w:rPr>
          <w:w w:val="105"/>
        </w:rPr>
        <w:t>noting</w:t>
      </w:r>
      <w:r>
        <w:rPr>
          <w:spacing w:val="-9"/>
          <w:w w:val="105"/>
        </w:rPr>
        <w:t> </w:t>
      </w:r>
      <w:r>
        <w:rPr>
          <w:w w:val="105"/>
        </w:rPr>
        <w:t>that</w:t>
      </w:r>
      <w:r>
        <w:rPr>
          <w:spacing w:val="-9"/>
          <w:w w:val="105"/>
        </w:rPr>
        <w:t> </w:t>
      </w:r>
      <w:r>
        <w:rPr>
          <w:w w:val="105"/>
        </w:rPr>
        <w:t>the</w:t>
      </w:r>
      <w:r>
        <w:rPr>
          <w:spacing w:val="-8"/>
          <w:w w:val="105"/>
        </w:rPr>
        <w:t> </w:t>
      </w:r>
      <w:r>
        <w:rPr>
          <w:w w:val="105"/>
        </w:rPr>
        <w:t>main</w:t>
      </w:r>
      <w:r>
        <w:rPr>
          <w:spacing w:val="-8"/>
          <w:w w:val="105"/>
        </w:rPr>
        <w:t> </w:t>
      </w:r>
      <w:r>
        <w:rPr>
          <w:w w:val="105"/>
        </w:rPr>
        <w:t>item</w:t>
      </w:r>
      <w:r>
        <w:rPr>
          <w:spacing w:val="-11"/>
          <w:w w:val="105"/>
        </w:rPr>
        <w:t> </w:t>
      </w:r>
      <w:r>
        <w:rPr>
          <w:w w:val="105"/>
        </w:rPr>
        <w:t>was the</w:t>
      </w:r>
      <w:r>
        <w:rPr>
          <w:spacing w:val="-14"/>
          <w:w w:val="105"/>
        </w:rPr>
        <w:t> </w:t>
      </w:r>
      <w:r>
        <w:rPr>
          <w:w w:val="105"/>
        </w:rPr>
        <w:t>endorsement</w:t>
      </w:r>
      <w:r>
        <w:rPr>
          <w:spacing w:val="-16"/>
          <w:w w:val="105"/>
        </w:rPr>
        <w:t> </w:t>
      </w:r>
      <w:r>
        <w:rPr>
          <w:w w:val="105"/>
        </w:rPr>
        <w:t>of</w:t>
      </w:r>
      <w:r>
        <w:rPr>
          <w:spacing w:val="-14"/>
          <w:w w:val="105"/>
        </w:rPr>
        <w:t> </w:t>
      </w:r>
      <w:r>
        <w:rPr>
          <w:w w:val="105"/>
        </w:rPr>
        <w:t>the</w:t>
      </w:r>
      <w:r>
        <w:rPr>
          <w:spacing w:val="-14"/>
          <w:w w:val="105"/>
        </w:rPr>
        <w:t> </w:t>
      </w:r>
      <w:r>
        <w:rPr>
          <w:w w:val="105"/>
        </w:rPr>
        <w:t>Global</w:t>
      </w:r>
      <w:r>
        <w:rPr>
          <w:spacing w:val="-15"/>
          <w:w w:val="105"/>
        </w:rPr>
        <w:t> </w:t>
      </w:r>
      <w:r>
        <w:rPr>
          <w:w w:val="105"/>
        </w:rPr>
        <w:t>Preamble.</w:t>
      </w:r>
      <w:r>
        <w:rPr>
          <w:spacing w:val="29"/>
          <w:w w:val="105"/>
        </w:rPr>
        <w:t> </w:t>
      </w:r>
      <w:r>
        <w:rPr>
          <w:w w:val="105"/>
        </w:rPr>
        <w:t>The</w:t>
      </w:r>
      <w:r>
        <w:rPr>
          <w:spacing w:val="-15"/>
          <w:w w:val="105"/>
        </w:rPr>
        <w:t> </w:t>
      </w:r>
      <w:r>
        <w:rPr>
          <w:w w:val="105"/>
        </w:rPr>
        <w:t>Preamble</w:t>
      </w:r>
      <w:r>
        <w:rPr>
          <w:spacing w:val="-16"/>
          <w:w w:val="105"/>
        </w:rPr>
        <w:t> </w:t>
      </w:r>
      <w:r>
        <w:rPr>
          <w:w w:val="105"/>
        </w:rPr>
        <w:t>was</w:t>
      </w:r>
      <w:r>
        <w:rPr>
          <w:spacing w:val="-14"/>
          <w:w w:val="105"/>
        </w:rPr>
        <w:t> </w:t>
      </w:r>
      <w:r>
        <w:rPr>
          <w:w w:val="105"/>
        </w:rPr>
        <w:t>agreed</w:t>
      </w:r>
      <w:r>
        <w:rPr>
          <w:spacing w:val="-15"/>
          <w:w w:val="105"/>
        </w:rPr>
        <w:t> </w:t>
      </w:r>
      <w:r>
        <w:rPr>
          <w:w w:val="105"/>
        </w:rPr>
        <w:t>to</w:t>
      </w:r>
      <w:r>
        <w:rPr>
          <w:spacing w:val="-14"/>
          <w:w w:val="105"/>
        </w:rPr>
        <w:t> </w:t>
      </w:r>
      <w:r>
        <w:rPr>
          <w:w w:val="105"/>
        </w:rPr>
        <w:t>be</w:t>
      </w:r>
      <w:r>
        <w:rPr>
          <w:spacing w:val="-15"/>
          <w:w w:val="105"/>
        </w:rPr>
        <w:t> </w:t>
      </w:r>
      <w:r>
        <w:rPr>
          <w:w w:val="105"/>
        </w:rPr>
        <w:t>a</w:t>
      </w:r>
      <w:r>
        <w:rPr>
          <w:spacing w:val="-14"/>
          <w:w w:val="105"/>
        </w:rPr>
        <w:t> </w:t>
      </w:r>
      <w:r>
        <w:rPr>
          <w:w w:val="105"/>
        </w:rPr>
        <w:t>significant milestone.</w:t>
      </w:r>
      <w:r>
        <w:rPr>
          <w:spacing w:val="42"/>
          <w:w w:val="105"/>
        </w:rPr>
        <w:t> </w:t>
      </w:r>
      <w:r>
        <w:rPr>
          <w:w w:val="105"/>
        </w:rPr>
        <w:t>The</w:t>
      </w:r>
      <w:r>
        <w:rPr>
          <w:spacing w:val="-9"/>
          <w:w w:val="105"/>
        </w:rPr>
        <w:t> </w:t>
      </w:r>
      <w:r>
        <w:rPr>
          <w:w w:val="105"/>
        </w:rPr>
        <w:t>global</w:t>
      </w:r>
      <w:r>
        <w:rPr>
          <w:spacing w:val="-8"/>
          <w:w w:val="105"/>
        </w:rPr>
        <w:t> </w:t>
      </w:r>
      <w:r>
        <w:rPr>
          <w:w w:val="105"/>
        </w:rPr>
        <w:t>committee</w:t>
      </w:r>
      <w:r>
        <w:rPr>
          <w:spacing w:val="-8"/>
          <w:w w:val="105"/>
        </w:rPr>
        <w:t> </w:t>
      </w:r>
      <w:r>
        <w:rPr>
          <w:w w:val="105"/>
        </w:rPr>
        <w:t>agreed</w:t>
      </w:r>
      <w:r>
        <w:rPr>
          <w:spacing w:val="-7"/>
          <w:w w:val="105"/>
        </w:rPr>
        <w:t> </w:t>
      </w:r>
      <w:r>
        <w:rPr>
          <w:w w:val="105"/>
        </w:rPr>
        <w:t>on</w:t>
      </w:r>
      <w:r>
        <w:rPr>
          <w:spacing w:val="-8"/>
          <w:w w:val="105"/>
        </w:rPr>
        <w:t> </w:t>
      </w:r>
      <w:r>
        <w:rPr>
          <w:w w:val="105"/>
        </w:rPr>
        <w:t>two</w:t>
      </w:r>
      <w:r>
        <w:rPr>
          <w:spacing w:val="-8"/>
          <w:w w:val="105"/>
        </w:rPr>
        <w:t> </w:t>
      </w:r>
      <w:r>
        <w:rPr>
          <w:w w:val="105"/>
        </w:rPr>
        <w:t>further</w:t>
      </w:r>
      <w:r>
        <w:rPr>
          <w:spacing w:val="-9"/>
          <w:w w:val="105"/>
        </w:rPr>
        <w:t> </w:t>
      </w:r>
      <w:r>
        <w:rPr>
          <w:w w:val="105"/>
        </w:rPr>
        <w:t>actions</w:t>
      </w:r>
      <w:r>
        <w:rPr>
          <w:spacing w:val="-7"/>
          <w:w w:val="105"/>
        </w:rPr>
        <w:t> </w:t>
      </w:r>
      <w:r>
        <w:rPr>
          <w:w w:val="105"/>
        </w:rPr>
        <w:t>to</w:t>
      </w:r>
      <w:r>
        <w:rPr>
          <w:spacing w:val="-8"/>
          <w:w w:val="105"/>
        </w:rPr>
        <w:t> </w:t>
      </w:r>
      <w:r>
        <w:rPr>
          <w:w w:val="105"/>
        </w:rPr>
        <w:t>build</w:t>
      </w:r>
      <w:r>
        <w:rPr>
          <w:spacing w:val="-8"/>
          <w:w w:val="105"/>
        </w:rPr>
        <w:t> </w:t>
      </w:r>
      <w:r>
        <w:rPr>
          <w:w w:val="105"/>
        </w:rPr>
        <w:t>on</w:t>
      </w:r>
      <w:r>
        <w:rPr>
          <w:spacing w:val="-9"/>
          <w:w w:val="105"/>
        </w:rPr>
        <w:t> </w:t>
      </w:r>
      <w:r>
        <w:rPr>
          <w:w w:val="105"/>
        </w:rPr>
        <w:t>this</w:t>
      </w:r>
      <w:r>
        <w:rPr>
          <w:spacing w:val="-7"/>
          <w:w w:val="105"/>
        </w:rPr>
        <w:t> </w:t>
      </w:r>
      <w:r>
        <w:rPr>
          <w:w w:val="105"/>
        </w:rPr>
        <w:t>work. The first would be to discuss the scope of fu6rther harmonising the various codes of conduct</w:t>
      </w:r>
      <w:r>
        <w:rPr>
          <w:spacing w:val="-14"/>
          <w:w w:val="105"/>
        </w:rPr>
        <w:t> </w:t>
      </w:r>
      <w:r>
        <w:rPr>
          <w:w w:val="105"/>
        </w:rPr>
        <w:t>adopted</w:t>
      </w:r>
      <w:r>
        <w:rPr>
          <w:spacing w:val="-13"/>
          <w:w w:val="105"/>
        </w:rPr>
        <w:t> </w:t>
      </w:r>
      <w:r>
        <w:rPr>
          <w:w w:val="105"/>
        </w:rPr>
        <w:t>by</w:t>
      </w:r>
      <w:r>
        <w:rPr>
          <w:spacing w:val="-12"/>
          <w:w w:val="105"/>
        </w:rPr>
        <w:t> </w:t>
      </w:r>
      <w:r>
        <w:rPr>
          <w:w w:val="105"/>
        </w:rPr>
        <w:t>the</w:t>
      </w:r>
      <w:r>
        <w:rPr>
          <w:spacing w:val="-14"/>
          <w:w w:val="105"/>
        </w:rPr>
        <w:t> </w:t>
      </w:r>
      <w:r>
        <w:rPr>
          <w:w w:val="105"/>
        </w:rPr>
        <w:t>committees;</w:t>
      </w:r>
      <w:r>
        <w:rPr>
          <w:spacing w:val="-15"/>
          <w:w w:val="105"/>
        </w:rPr>
        <w:t> </w:t>
      </w:r>
      <w:r>
        <w:rPr>
          <w:w w:val="105"/>
        </w:rPr>
        <w:t>the</w:t>
      </w:r>
      <w:r>
        <w:rPr>
          <w:spacing w:val="-15"/>
          <w:w w:val="105"/>
        </w:rPr>
        <w:t> </w:t>
      </w:r>
      <w:r>
        <w:rPr>
          <w:w w:val="105"/>
        </w:rPr>
        <w:t>second</w:t>
      </w:r>
      <w:r>
        <w:rPr>
          <w:spacing w:val="-14"/>
          <w:w w:val="105"/>
        </w:rPr>
        <w:t> </w:t>
      </w:r>
      <w:r>
        <w:rPr>
          <w:w w:val="105"/>
        </w:rPr>
        <w:t>would</w:t>
      </w:r>
      <w:r>
        <w:rPr>
          <w:spacing w:val="-14"/>
          <w:w w:val="105"/>
        </w:rPr>
        <w:t> </w:t>
      </w:r>
      <w:r>
        <w:rPr>
          <w:w w:val="105"/>
        </w:rPr>
        <w:t>be</w:t>
      </w:r>
      <w:r>
        <w:rPr>
          <w:spacing w:val="-14"/>
          <w:w w:val="105"/>
        </w:rPr>
        <w:t> </w:t>
      </w:r>
      <w:r>
        <w:rPr>
          <w:w w:val="105"/>
        </w:rPr>
        <w:t>to</w:t>
      </w:r>
      <w:r>
        <w:rPr>
          <w:spacing w:val="-14"/>
          <w:w w:val="105"/>
        </w:rPr>
        <w:t> </w:t>
      </w:r>
      <w:r>
        <w:rPr>
          <w:w w:val="105"/>
        </w:rPr>
        <w:t>examine</w:t>
      </w:r>
      <w:r>
        <w:rPr>
          <w:spacing w:val="-14"/>
          <w:w w:val="105"/>
        </w:rPr>
        <w:t> </w:t>
      </w:r>
      <w:r>
        <w:rPr>
          <w:w w:val="105"/>
        </w:rPr>
        <w:t>ways</w:t>
      </w:r>
      <w:r>
        <w:rPr>
          <w:spacing w:val="-14"/>
          <w:w w:val="105"/>
        </w:rPr>
        <w:t> </w:t>
      </w:r>
      <w:r>
        <w:rPr>
          <w:w w:val="105"/>
        </w:rPr>
        <w:t>to</w:t>
      </w:r>
      <w:r>
        <w:rPr>
          <w:spacing w:val="-14"/>
          <w:w w:val="105"/>
        </w:rPr>
        <w:t> </w:t>
      </w:r>
      <w:r>
        <w:rPr>
          <w:w w:val="105"/>
        </w:rPr>
        <w:t>promote consistent</w:t>
      </w:r>
      <w:r>
        <w:rPr>
          <w:spacing w:val="-14"/>
          <w:w w:val="105"/>
        </w:rPr>
        <w:t> </w:t>
      </w:r>
      <w:r>
        <w:rPr>
          <w:w w:val="105"/>
        </w:rPr>
        <w:t>adherence</w:t>
      </w:r>
      <w:r>
        <w:rPr>
          <w:spacing w:val="-15"/>
          <w:w w:val="105"/>
        </w:rPr>
        <w:t> </w:t>
      </w:r>
      <w:r>
        <w:rPr>
          <w:w w:val="105"/>
        </w:rPr>
        <w:t>by</w:t>
      </w:r>
      <w:r>
        <w:rPr>
          <w:spacing w:val="-13"/>
          <w:w w:val="105"/>
        </w:rPr>
        <w:t> </w:t>
      </w:r>
      <w:r>
        <w:rPr>
          <w:w w:val="105"/>
        </w:rPr>
        <w:t>FX</w:t>
      </w:r>
      <w:r>
        <w:rPr>
          <w:spacing w:val="-15"/>
          <w:w w:val="105"/>
        </w:rPr>
        <w:t> </w:t>
      </w:r>
      <w:r>
        <w:rPr>
          <w:w w:val="105"/>
        </w:rPr>
        <w:t>market</w:t>
      </w:r>
      <w:r>
        <w:rPr>
          <w:spacing w:val="-14"/>
          <w:w w:val="105"/>
        </w:rPr>
        <w:t> </w:t>
      </w:r>
      <w:r>
        <w:rPr>
          <w:w w:val="105"/>
        </w:rPr>
        <w:t>participants</w:t>
      </w:r>
      <w:r>
        <w:rPr>
          <w:spacing w:val="-13"/>
          <w:w w:val="105"/>
        </w:rPr>
        <w:t> </w:t>
      </w:r>
      <w:r>
        <w:rPr>
          <w:w w:val="105"/>
        </w:rPr>
        <w:t>to</w:t>
      </w:r>
      <w:r>
        <w:rPr>
          <w:spacing w:val="-15"/>
          <w:w w:val="105"/>
        </w:rPr>
        <w:t> </w:t>
      </w:r>
      <w:r>
        <w:rPr>
          <w:w w:val="105"/>
        </w:rPr>
        <w:t>the</w:t>
      </w:r>
      <w:r>
        <w:rPr>
          <w:spacing w:val="-15"/>
          <w:w w:val="105"/>
        </w:rPr>
        <w:t> </w:t>
      </w:r>
      <w:r>
        <w:rPr>
          <w:w w:val="105"/>
        </w:rPr>
        <w:t>Preamble</w:t>
      </w:r>
      <w:r>
        <w:rPr>
          <w:spacing w:val="-15"/>
          <w:w w:val="105"/>
        </w:rPr>
        <w:t> </w:t>
      </w:r>
      <w:r>
        <w:rPr>
          <w:w w:val="105"/>
        </w:rPr>
        <w:t>and</w:t>
      </w:r>
      <w:r>
        <w:rPr>
          <w:spacing w:val="-14"/>
          <w:w w:val="105"/>
        </w:rPr>
        <w:t> </w:t>
      </w:r>
      <w:r>
        <w:rPr>
          <w:w w:val="105"/>
        </w:rPr>
        <w:t>the</w:t>
      </w:r>
      <w:r>
        <w:rPr>
          <w:spacing w:val="-14"/>
          <w:w w:val="105"/>
        </w:rPr>
        <w:t> </w:t>
      </w:r>
      <w:r>
        <w:rPr>
          <w:w w:val="105"/>
        </w:rPr>
        <w:t>various</w:t>
      </w:r>
      <w:r>
        <w:rPr>
          <w:spacing w:val="-14"/>
          <w:w w:val="105"/>
        </w:rPr>
        <w:t> </w:t>
      </w:r>
      <w:r>
        <w:rPr>
          <w:w w:val="105"/>
        </w:rPr>
        <w:t>codes of</w:t>
      </w:r>
      <w:r>
        <w:rPr>
          <w:spacing w:val="-2"/>
          <w:w w:val="105"/>
        </w:rPr>
        <w:t> </w:t>
      </w:r>
      <w:r>
        <w:rPr>
          <w:w w:val="105"/>
        </w:rPr>
        <w:t>conduct.</w:t>
      </w:r>
    </w:p>
    <w:p>
      <w:pPr>
        <w:pStyle w:val="BodyText"/>
        <w:rPr>
          <w:sz w:val="24"/>
        </w:rPr>
      </w:pPr>
    </w:p>
    <w:p>
      <w:pPr>
        <w:pStyle w:val="BodyText"/>
        <w:spacing w:before="6"/>
        <w:rPr>
          <w:sz w:val="21"/>
        </w:rPr>
      </w:pPr>
    </w:p>
    <w:p>
      <w:pPr>
        <w:pStyle w:val="ListParagraph"/>
        <w:numPr>
          <w:ilvl w:val="0"/>
          <w:numId w:val="1"/>
        </w:numPr>
        <w:tabs>
          <w:tab w:pos="760" w:val="left" w:leader="none"/>
          <w:tab w:pos="761" w:val="left" w:leader="none"/>
        </w:tabs>
        <w:spacing w:line="240" w:lineRule="auto" w:before="1" w:after="0"/>
        <w:ind w:left="760" w:right="0" w:hanging="438"/>
        <w:jc w:val="left"/>
        <w:rPr>
          <w:b/>
          <w:i/>
          <w:sz w:val="22"/>
        </w:rPr>
      </w:pPr>
      <w:r>
        <w:rPr>
          <w:b/>
          <w:w w:val="105"/>
          <w:sz w:val="22"/>
        </w:rPr>
        <w:t>FX JSC Turnover Survey </w:t>
      </w:r>
      <w:r>
        <w:rPr>
          <w:b/>
          <w:i/>
          <w:w w:val="105"/>
          <w:sz w:val="22"/>
        </w:rPr>
        <w:t>(Chris</w:t>
      </w:r>
      <w:r>
        <w:rPr>
          <w:b/>
          <w:i/>
          <w:spacing w:val="-14"/>
          <w:w w:val="105"/>
          <w:sz w:val="22"/>
        </w:rPr>
        <w:t> </w:t>
      </w:r>
      <w:r>
        <w:rPr>
          <w:b/>
          <w:i/>
          <w:w w:val="105"/>
          <w:sz w:val="22"/>
        </w:rPr>
        <w:t>Cox)</w:t>
      </w:r>
    </w:p>
    <w:p>
      <w:pPr>
        <w:pStyle w:val="BodyText"/>
        <w:rPr>
          <w:b/>
          <w:i/>
          <w:sz w:val="23"/>
        </w:rPr>
      </w:pPr>
    </w:p>
    <w:p>
      <w:pPr>
        <w:pStyle w:val="BodyText"/>
        <w:spacing w:line="491" w:lineRule="auto" w:before="1"/>
        <w:ind w:left="492" w:right="487"/>
        <w:jc w:val="both"/>
      </w:pPr>
      <w:r>
        <w:rPr>
          <w:w w:val="105"/>
        </w:rPr>
        <w:t>The</w:t>
      </w:r>
      <w:r>
        <w:rPr>
          <w:spacing w:val="-17"/>
          <w:w w:val="105"/>
        </w:rPr>
        <w:t> </w:t>
      </w:r>
      <w:r>
        <w:rPr>
          <w:w w:val="105"/>
        </w:rPr>
        <w:t>key</w:t>
      </w:r>
      <w:r>
        <w:rPr>
          <w:spacing w:val="-15"/>
          <w:w w:val="105"/>
        </w:rPr>
        <w:t> </w:t>
      </w:r>
      <w:r>
        <w:rPr>
          <w:w w:val="105"/>
        </w:rPr>
        <w:t>points</w:t>
      </w:r>
      <w:r>
        <w:rPr>
          <w:spacing w:val="-17"/>
          <w:w w:val="105"/>
        </w:rPr>
        <w:t> </w:t>
      </w:r>
      <w:r>
        <w:rPr>
          <w:w w:val="105"/>
        </w:rPr>
        <w:t>of</w:t>
      </w:r>
      <w:r>
        <w:rPr>
          <w:spacing w:val="-17"/>
          <w:w w:val="105"/>
        </w:rPr>
        <w:t> </w:t>
      </w:r>
      <w:r>
        <w:rPr>
          <w:w w:val="105"/>
        </w:rPr>
        <w:t>the</w:t>
      </w:r>
      <w:r>
        <w:rPr>
          <w:spacing w:val="-17"/>
          <w:w w:val="105"/>
        </w:rPr>
        <w:t> </w:t>
      </w:r>
      <w:r>
        <w:rPr>
          <w:w w:val="105"/>
        </w:rPr>
        <w:t>October</w:t>
      </w:r>
      <w:r>
        <w:rPr>
          <w:spacing w:val="-16"/>
          <w:w w:val="105"/>
        </w:rPr>
        <w:t> </w:t>
      </w:r>
      <w:r>
        <w:rPr>
          <w:w w:val="105"/>
        </w:rPr>
        <w:t>2014</w:t>
      </w:r>
      <w:r>
        <w:rPr>
          <w:spacing w:val="-16"/>
          <w:w w:val="105"/>
        </w:rPr>
        <w:t> </w:t>
      </w:r>
      <w:r>
        <w:rPr>
          <w:w w:val="105"/>
        </w:rPr>
        <w:t>London</w:t>
      </w:r>
      <w:r>
        <w:rPr>
          <w:spacing w:val="-17"/>
          <w:w w:val="105"/>
        </w:rPr>
        <w:t> </w:t>
      </w:r>
      <w:r>
        <w:rPr>
          <w:w w:val="105"/>
        </w:rPr>
        <w:t>turnover</w:t>
      </w:r>
      <w:r>
        <w:rPr>
          <w:spacing w:val="-17"/>
          <w:w w:val="105"/>
        </w:rPr>
        <w:t> </w:t>
      </w:r>
      <w:r>
        <w:rPr>
          <w:w w:val="105"/>
        </w:rPr>
        <w:t>survey</w:t>
      </w:r>
      <w:r>
        <w:rPr>
          <w:spacing w:val="-16"/>
          <w:w w:val="105"/>
        </w:rPr>
        <w:t> </w:t>
      </w:r>
      <w:r>
        <w:rPr>
          <w:w w:val="105"/>
        </w:rPr>
        <w:t>(published</w:t>
      </w:r>
      <w:r>
        <w:rPr>
          <w:spacing w:val="-16"/>
          <w:w w:val="105"/>
        </w:rPr>
        <w:t> </w:t>
      </w:r>
      <w:r>
        <w:rPr>
          <w:w w:val="105"/>
        </w:rPr>
        <w:t>January</w:t>
      </w:r>
      <w:r>
        <w:rPr>
          <w:spacing w:val="-16"/>
          <w:w w:val="105"/>
        </w:rPr>
        <w:t> </w:t>
      </w:r>
      <w:r>
        <w:rPr>
          <w:w w:val="105"/>
        </w:rPr>
        <w:t>2015) were</w:t>
      </w:r>
      <w:r>
        <w:rPr>
          <w:spacing w:val="-4"/>
          <w:w w:val="105"/>
        </w:rPr>
        <w:t> </w:t>
      </w:r>
      <w:r>
        <w:rPr>
          <w:w w:val="105"/>
        </w:rPr>
        <w:t>that</w:t>
      </w:r>
      <w:r>
        <w:rPr>
          <w:spacing w:val="-4"/>
          <w:w w:val="105"/>
        </w:rPr>
        <w:t> </w:t>
      </w:r>
      <w:r>
        <w:rPr>
          <w:w w:val="105"/>
        </w:rPr>
        <w:t>FX</w:t>
      </w:r>
      <w:r>
        <w:rPr>
          <w:spacing w:val="-2"/>
          <w:w w:val="105"/>
        </w:rPr>
        <w:t> </w:t>
      </w:r>
      <w:r>
        <w:rPr>
          <w:w w:val="105"/>
        </w:rPr>
        <w:t>turnover</w:t>
      </w:r>
      <w:r>
        <w:rPr>
          <w:spacing w:val="-3"/>
          <w:w w:val="105"/>
        </w:rPr>
        <w:t> </w:t>
      </w:r>
      <w:r>
        <w:rPr>
          <w:w w:val="105"/>
        </w:rPr>
        <w:t>rose</w:t>
      </w:r>
      <w:r>
        <w:rPr>
          <w:spacing w:val="-4"/>
          <w:w w:val="105"/>
        </w:rPr>
        <w:t> </w:t>
      </w:r>
      <w:r>
        <w:rPr>
          <w:w w:val="105"/>
        </w:rPr>
        <w:t>by</w:t>
      </w:r>
      <w:r>
        <w:rPr>
          <w:spacing w:val="-1"/>
          <w:w w:val="105"/>
        </w:rPr>
        <w:t> </w:t>
      </w:r>
      <w:r>
        <w:rPr>
          <w:w w:val="105"/>
        </w:rPr>
        <w:t>11%,</w:t>
      </w:r>
      <w:r>
        <w:rPr>
          <w:spacing w:val="-4"/>
          <w:w w:val="105"/>
        </w:rPr>
        <w:t> </w:t>
      </w:r>
      <w:r>
        <w:rPr>
          <w:w w:val="105"/>
        </w:rPr>
        <w:t>to</w:t>
      </w:r>
      <w:r>
        <w:rPr>
          <w:spacing w:val="-3"/>
          <w:w w:val="105"/>
        </w:rPr>
        <w:t> </w:t>
      </w:r>
      <w:r>
        <w:rPr>
          <w:w w:val="105"/>
        </w:rPr>
        <w:t>a</w:t>
      </w:r>
      <w:r>
        <w:rPr>
          <w:spacing w:val="-3"/>
          <w:w w:val="105"/>
        </w:rPr>
        <w:t> </w:t>
      </w:r>
      <w:r>
        <w:rPr>
          <w:w w:val="105"/>
        </w:rPr>
        <w:t>new</w:t>
      </w:r>
      <w:r>
        <w:rPr>
          <w:spacing w:val="-3"/>
          <w:w w:val="105"/>
        </w:rPr>
        <w:t> </w:t>
      </w:r>
      <w:r>
        <w:rPr>
          <w:w w:val="105"/>
        </w:rPr>
        <w:t>high</w:t>
      </w:r>
      <w:r>
        <w:rPr>
          <w:spacing w:val="-4"/>
          <w:w w:val="105"/>
        </w:rPr>
        <w:t> </w:t>
      </w:r>
      <w:r>
        <w:rPr>
          <w:w w:val="105"/>
        </w:rPr>
        <w:t>of</w:t>
      </w:r>
      <w:r>
        <w:rPr>
          <w:spacing w:val="-3"/>
          <w:w w:val="105"/>
        </w:rPr>
        <w:t> </w:t>
      </w:r>
      <w:r>
        <w:rPr>
          <w:w w:val="105"/>
        </w:rPr>
        <w:t>$2.7trn</w:t>
      </w:r>
      <w:r>
        <w:rPr>
          <w:spacing w:val="-4"/>
          <w:w w:val="105"/>
        </w:rPr>
        <w:t> </w:t>
      </w:r>
      <w:r>
        <w:rPr>
          <w:w w:val="105"/>
        </w:rPr>
        <w:t>a</w:t>
      </w:r>
      <w:r>
        <w:rPr>
          <w:spacing w:val="-3"/>
          <w:w w:val="105"/>
        </w:rPr>
        <w:t> </w:t>
      </w:r>
      <w:r>
        <w:rPr>
          <w:w w:val="105"/>
        </w:rPr>
        <w:t>day;</w:t>
      </w:r>
      <w:r>
        <w:rPr>
          <w:spacing w:val="-4"/>
          <w:w w:val="105"/>
        </w:rPr>
        <w:t> </w:t>
      </w:r>
      <w:r>
        <w:rPr>
          <w:w w:val="105"/>
        </w:rPr>
        <w:t>turnover</w:t>
      </w:r>
      <w:r>
        <w:rPr>
          <w:spacing w:val="-4"/>
          <w:w w:val="105"/>
        </w:rPr>
        <w:t> </w:t>
      </w:r>
      <w:r>
        <w:rPr>
          <w:w w:val="105"/>
        </w:rPr>
        <w:t>was</w:t>
      </w:r>
      <w:r>
        <w:rPr>
          <w:spacing w:val="-3"/>
          <w:w w:val="105"/>
        </w:rPr>
        <w:t> </w:t>
      </w:r>
      <w:r>
        <w:rPr>
          <w:w w:val="105"/>
        </w:rPr>
        <w:t>5% greater than the previous highs of April 2013. Spot turnover rose 40% in the period, partially offset by FX swap turnover falling 14%. The UK accounts for 55% of overall turnover. There was also an increasing concentration of turnover among the largest market</w:t>
      </w:r>
      <w:r>
        <w:rPr>
          <w:spacing w:val="-3"/>
          <w:w w:val="105"/>
        </w:rPr>
        <w:t> </w:t>
      </w:r>
      <w:r>
        <w:rPr>
          <w:w w:val="105"/>
        </w:rPr>
        <w:t>participants.</w:t>
      </w:r>
    </w:p>
    <w:p>
      <w:pPr>
        <w:pStyle w:val="BodyText"/>
        <w:rPr>
          <w:sz w:val="24"/>
        </w:rPr>
      </w:pPr>
    </w:p>
    <w:p>
      <w:pPr>
        <w:pStyle w:val="BodyText"/>
        <w:spacing w:before="7"/>
        <w:rPr>
          <w:sz w:val="21"/>
        </w:rPr>
      </w:pPr>
    </w:p>
    <w:p>
      <w:pPr>
        <w:pStyle w:val="ListParagraph"/>
        <w:numPr>
          <w:ilvl w:val="0"/>
          <w:numId w:val="1"/>
        </w:numPr>
        <w:tabs>
          <w:tab w:pos="760" w:val="left" w:leader="none"/>
          <w:tab w:pos="761" w:val="left" w:leader="none"/>
        </w:tabs>
        <w:spacing w:line="491" w:lineRule="auto" w:before="1" w:after="0"/>
        <w:ind w:left="492" w:right="489" w:hanging="170"/>
        <w:jc w:val="left"/>
        <w:rPr>
          <w:sz w:val="22"/>
        </w:rPr>
      </w:pPr>
      <w:r>
        <w:rPr>
          <w:b/>
          <w:w w:val="105"/>
          <w:sz w:val="22"/>
        </w:rPr>
        <w:t>Progress on the FSB FX Benchmark Group recommendations (</w:t>
      </w:r>
      <w:r>
        <w:rPr>
          <w:b/>
          <w:i/>
          <w:w w:val="105"/>
          <w:sz w:val="22"/>
        </w:rPr>
        <w:t>Rob Spillett) </w:t>
      </w:r>
      <w:r>
        <w:rPr>
          <w:w w:val="105"/>
          <w:sz w:val="22"/>
        </w:rPr>
        <w:t>Mark Carney, in his capacity as chair of FSB, has asked FX committees globally to report back on local implementation of recommendations from the FSB Report on Foreign</w:t>
      </w:r>
      <w:r>
        <w:rPr>
          <w:spacing w:val="16"/>
          <w:w w:val="105"/>
          <w:sz w:val="22"/>
        </w:rPr>
        <w:t> </w:t>
      </w:r>
      <w:r>
        <w:rPr>
          <w:w w:val="105"/>
          <w:sz w:val="22"/>
        </w:rPr>
        <w:t>Exchange</w:t>
      </w:r>
      <w:r>
        <w:rPr>
          <w:spacing w:val="15"/>
          <w:w w:val="105"/>
          <w:sz w:val="22"/>
        </w:rPr>
        <w:t> </w:t>
      </w:r>
      <w:r>
        <w:rPr>
          <w:w w:val="105"/>
          <w:sz w:val="22"/>
        </w:rPr>
        <w:t>Benchmarks</w:t>
      </w:r>
      <w:r>
        <w:rPr>
          <w:spacing w:val="16"/>
          <w:w w:val="105"/>
          <w:sz w:val="22"/>
        </w:rPr>
        <w:t> </w:t>
      </w:r>
      <w:r>
        <w:rPr>
          <w:w w:val="105"/>
          <w:sz w:val="22"/>
        </w:rPr>
        <w:t>(recommendations</w:t>
      </w:r>
      <w:r>
        <w:rPr>
          <w:spacing w:val="16"/>
          <w:w w:val="105"/>
          <w:sz w:val="22"/>
        </w:rPr>
        <w:t> </w:t>
      </w:r>
      <w:r>
        <w:rPr>
          <w:w w:val="105"/>
          <w:sz w:val="22"/>
        </w:rPr>
        <w:t>six</w:t>
      </w:r>
      <w:r>
        <w:rPr>
          <w:spacing w:val="15"/>
          <w:w w:val="105"/>
          <w:sz w:val="22"/>
        </w:rPr>
        <w:t> </w:t>
      </w:r>
      <w:r>
        <w:rPr>
          <w:w w:val="105"/>
          <w:sz w:val="22"/>
        </w:rPr>
        <w:t>to</w:t>
      </w:r>
      <w:r>
        <w:rPr>
          <w:spacing w:val="17"/>
          <w:w w:val="105"/>
          <w:sz w:val="22"/>
        </w:rPr>
        <w:t> </w:t>
      </w:r>
      <w:r>
        <w:rPr>
          <w:w w:val="105"/>
          <w:sz w:val="22"/>
        </w:rPr>
        <w:t>thirteen</w:t>
      </w:r>
      <w:r>
        <w:rPr>
          <w:spacing w:val="15"/>
          <w:w w:val="105"/>
          <w:sz w:val="22"/>
        </w:rPr>
        <w:t> </w:t>
      </w:r>
      <w:r>
        <w:rPr>
          <w:w w:val="105"/>
          <w:sz w:val="22"/>
        </w:rPr>
        <w:t>of</w:t>
      </w:r>
      <w:r>
        <w:rPr>
          <w:spacing w:val="16"/>
          <w:w w:val="105"/>
          <w:sz w:val="22"/>
        </w:rPr>
        <w:t> </w:t>
      </w:r>
      <w:r>
        <w:rPr>
          <w:w w:val="105"/>
          <w:sz w:val="22"/>
        </w:rPr>
        <w:t>the</w:t>
      </w:r>
      <w:r>
        <w:rPr>
          <w:spacing w:val="14"/>
          <w:w w:val="105"/>
          <w:sz w:val="22"/>
        </w:rPr>
        <w:t> </w:t>
      </w:r>
      <w:r>
        <w:rPr>
          <w:w w:val="105"/>
          <w:sz w:val="22"/>
        </w:rPr>
        <w:t>September</w:t>
      </w:r>
    </w:p>
    <w:p>
      <w:pPr>
        <w:spacing w:after="0" w:line="491" w:lineRule="auto"/>
        <w:jc w:val="left"/>
        <w:rPr>
          <w:sz w:val="22"/>
        </w:rPr>
        <w:sectPr>
          <w:pgSz w:w="12240" w:h="15840"/>
          <w:pgMar w:top="1280" w:bottom="280" w:left="1720" w:right="1720"/>
        </w:sectPr>
      </w:pPr>
    </w:p>
    <w:p>
      <w:pPr>
        <w:pStyle w:val="BodyText"/>
        <w:spacing w:line="491" w:lineRule="auto" w:before="78"/>
        <w:ind w:left="492" w:right="488"/>
        <w:jc w:val="both"/>
      </w:pPr>
      <w:r>
        <w:rPr>
          <w:w w:val="105"/>
        </w:rPr>
        <w:t>2014 report). The survey would be circulated shortly to Main Committee members. It was acknowledged that there may be overlap for multi-national entities in completing the survey, but that any regional differences and adherence with local benchmarks should be highlighted.</w:t>
      </w:r>
    </w:p>
    <w:p>
      <w:pPr>
        <w:pStyle w:val="BodyText"/>
        <w:rPr>
          <w:sz w:val="24"/>
        </w:rPr>
      </w:pPr>
    </w:p>
    <w:p>
      <w:pPr>
        <w:pStyle w:val="BodyText"/>
        <w:spacing w:before="6"/>
        <w:rPr>
          <w:sz w:val="21"/>
        </w:rPr>
      </w:pPr>
    </w:p>
    <w:p>
      <w:pPr>
        <w:pStyle w:val="ListParagraph"/>
        <w:numPr>
          <w:ilvl w:val="0"/>
          <w:numId w:val="1"/>
        </w:numPr>
        <w:tabs>
          <w:tab w:pos="761" w:val="left" w:leader="none"/>
          <w:tab w:pos="762" w:val="left" w:leader="none"/>
        </w:tabs>
        <w:spacing w:line="240" w:lineRule="auto" w:before="0" w:after="0"/>
        <w:ind w:left="761" w:right="0" w:hanging="439"/>
        <w:jc w:val="left"/>
        <w:rPr>
          <w:b/>
          <w:i/>
          <w:sz w:val="22"/>
        </w:rPr>
      </w:pPr>
      <w:r>
        <w:rPr>
          <w:b/>
          <w:w w:val="105"/>
          <w:sz w:val="22"/>
        </w:rPr>
        <w:t>Revised Terms of Reference (</w:t>
      </w:r>
      <w:r>
        <w:rPr>
          <w:b/>
          <w:i/>
          <w:w w:val="105"/>
          <w:sz w:val="22"/>
        </w:rPr>
        <w:t>Rob</w:t>
      </w:r>
      <w:r>
        <w:rPr>
          <w:b/>
          <w:i/>
          <w:spacing w:val="-15"/>
          <w:w w:val="105"/>
          <w:sz w:val="22"/>
        </w:rPr>
        <w:t> </w:t>
      </w:r>
      <w:r>
        <w:rPr>
          <w:b/>
          <w:i/>
          <w:w w:val="105"/>
          <w:sz w:val="22"/>
        </w:rPr>
        <w:t>Spillett)</w:t>
      </w:r>
    </w:p>
    <w:p>
      <w:pPr>
        <w:pStyle w:val="BodyText"/>
        <w:spacing w:before="1"/>
        <w:rPr>
          <w:b/>
          <w:i/>
          <w:sz w:val="23"/>
        </w:rPr>
      </w:pPr>
    </w:p>
    <w:p>
      <w:pPr>
        <w:pStyle w:val="BodyText"/>
        <w:spacing w:line="491" w:lineRule="auto"/>
        <w:ind w:left="492" w:right="492"/>
        <w:jc w:val="both"/>
      </w:pPr>
      <w:r>
        <w:rPr>
          <w:w w:val="105"/>
        </w:rPr>
        <w:t>Updated FXJSC Main Committee Terms of Reference were presented. Members were asked to submit comments. These will now be reviewed and updated annually.</w:t>
      </w:r>
    </w:p>
    <w:p>
      <w:pPr>
        <w:pStyle w:val="BodyText"/>
        <w:spacing w:before="9"/>
      </w:pPr>
    </w:p>
    <w:p>
      <w:pPr>
        <w:pStyle w:val="Heading1"/>
        <w:numPr>
          <w:ilvl w:val="0"/>
          <w:numId w:val="1"/>
        </w:numPr>
        <w:tabs>
          <w:tab w:pos="662" w:val="left" w:leader="none"/>
        </w:tabs>
        <w:spacing w:line="240" w:lineRule="auto" w:before="0" w:after="0"/>
        <w:ind w:left="661" w:right="0" w:hanging="339"/>
        <w:jc w:val="left"/>
      </w:pPr>
      <w:r>
        <w:rPr>
          <w:w w:val="105"/>
        </w:rPr>
        <w:t>Sub-committee</w:t>
      </w:r>
      <w:r>
        <w:rPr>
          <w:spacing w:val="-3"/>
          <w:w w:val="105"/>
        </w:rPr>
        <w:t> </w:t>
      </w:r>
      <w:r>
        <w:rPr>
          <w:w w:val="105"/>
        </w:rPr>
        <w:t>updates</w:t>
      </w:r>
    </w:p>
    <w:p>
      <w:pPr>
        <w:pStyle w:val="BodyText"/>
        <w:spacing w:before="1"/>
        <w:rPr>
          <w:b/>
          <w:sz w:val="23"/>
        </w:rPr>
      </w:pPr>
    </w:p>
    <w:p>
      <w:pPr>
        <w:spacing w:before="0"/>
        <w:ind w:left="492" w:right="0" w:firstLine="0"/>
        <w:jc w:val="left"/>
        <w:rPr>
          <w:i/>
          <w:sz w:val="22"/>
        </w:rPr>
      </w:pPr>
      <w:r>
        <w:rPr>
          <w:i/>
          <w:w w:val="105"/>
          <w:sz w:val="22"/>
        </w:rPr>
        <w:t>Buy-side sub-committee</w:t>
      </w:r>
    </w:p>
    <w:p>
      <w:pPr>
        <w:pStyle w:val="BodyText"/>
        <w:spacing w:before="1"/>
        <w:rPr>
          <w:i/>
          <w:sz w:val="23"/>
        </w:rPr>
      </w:pPr>
    </w:p>
    <w:p>
      <w:pPr>
        <w:pStyle w:val="BodyText"/>
        <w:spacing w:line="491" w:lineRule="auto"/>
        <w:ind w:left="492" w:right="491"/>
        <w:jc w:val="both"/>
      </w:pPr>
      <w:r>
        <w:rPr>
          <w:w w:val="105"/>
        </w:rPr>
        <w:t>There has been no buy-side sub-committee since the last meeting. The buy-side sub- committee is due to meet next in May 2015.</w:t>
      </w:r>
    </w:p>
    <w:p>
      <w:pPr>
        <w:pStyle w:val="BodyText"/>
        <w:rPr>
          <w:sz w:val="24"/>
        </w:rPr>
      </w:pPr>
    </w:p>
    <w:p>
      <w:pPr>
        <w:pStyle w:val="BodyText"/>
        <w:spacing w:before="4"/>
        <w:rPr>
          <w:sz w:val="21"/>
        </w:rPr>
      </w:pPr>
    </w:p>
    <w:p>
      <w:pPr>
        <w:spacing w:before="0"/>
        <w:ind w:left="492" w:right="0" w:firstLine="0"/>
        <w:jc w:val="left"/>
        <w:rPr>
          <w:i/>
          <w:sz w:val="22"/>
        </w:rPr>
      </w:pPr>
      <w:r>
        <w:rPr>
          <w:i/>
          <w:w w:val="105"/>
          <w:sz w:val="22"/>
        </w:rPr>
        <w:t>Operations sub-committee</w:t>
      </w:r>
    </w:p>
    <w:p>
      <w:pPr>
        <w:pStyle w:val="BodyText"/>
        <w:spacing w:before="1"/>
        <w:rPr>
          <w:i/>
          <w:sz w:val="23"/>
        </w:rPr>
      </w:pPr>
    </w:p>
    <w:p>
      <w:pPr>
        <w:pStyle w:val="BodyText"/>
        <w:spacing w:line="491" w:lineRule="auto"/>
        <w:ind w:left="492" w:right="489"/>
        <w:jc w:val="both"/>
      </w:pPr>
      <w:r>
        <w:rPr>
          <w:w w:val="105"/>
        </w:rPr>
        <w:t>Graeme Munroe (JP Morgan) had stepped down from the operations</w:t>
      </w:r>
      <w:r>
        <w:rPr>
          <w:spacing w:val="-18"/>
          <w:w w:val="105"/>
        </w:rPr>
        <w:t> </w:t>
      </w:r>
      <w:r>
        <w:rPr>
          <w:w w:val="105"/>
        </w:rPr>
        <w:t>sub-committee, and as chair. The Chairman expressed the committee’s gratitude to Graeme for his six years’ service as chair. Isabelle Dennigan will succeed Graeme as chair of the operations</w:t>
      </w:r>
      <w:r>
        <w:rPr>
          <w:spacing w:val="-10"/>
          <w:w w:val="105"/>
        </w:rPr>
        <w:t> </w:t>
      </w:r>
      <w:r>
        <w:rPr>
          <w:w w:val="105"/>
        </w:rPr>
        <w:t>sub-committee.</w:t>
      </w:r>
      <w:r>
        <w:rPr>
          <w:spacing w:val="-9"/>
          <w:w w:val="105"/>
        </w:rPr>
        <w:t> </w:t>
      </w:r>
      <w:r>
        <w:rPr>
          <w:w w:val="105"/>
        </w:rPr>
        <w:t>A</w:t>
      </w:r>
      <w:r>
        <w:rPr>
          <w:spacing w:val="-9"/>
          <w:w w:val="105"/>
        </w:rPr>
        <w:t> </w:t>
      </w:r>
      <w:r>
        <w:rPr>
          <w:w w:val="105"/>
        </w:rPr>
        <w:t>new</w:t>
      </w:r>
      <w:r>
        <w:rPr>
          <w:spacing w:val="-9"/>
          <w:w w:val="105"/>
        </w:rPr>
        <w:t> </w:t>
      </w:r>
      <w:r>
        <w:rPr>
          <w:w w:val="105"/>
        </w:rPr>
        <w:t>deputy</w:t>
      </w:r>
      <w:r>
        <w:rPr>
          <w:spacing w:val="-7"/>
          <w:w w:val="105"/>
        </w:rPr>
        <w:t> </w:t>
      </w:r>
      <w:r>
        <w:rPr>
          <w:w w:val="105"/>
        </w:rPr>
        <w:t>chair</w:t>
      </w:r>
      <w:r>
        <w:rPr>
          <w:spacing w:val="-10"/>
          <w:w w:val="105"/>
        </w:rPr>
        <w:t> </w:t>
      </w:r>
      <w:r>
        <w:rPr>
          <w:w w:val="105"/>
        </w:rPr>
        <w:t>will</w:t>
      </w:r>
      <w:r>
        <w:rPr>
          <w:spacing w:val="-11"/>
          <w:w w:val="105"/>
        </w:rPr>
        <w:t> </w:t>
      </w:r>
      <w:r>
        <w:rPr>
          <w:w w:val="105"/>
        </w:rPr>
        <w:t>be</w:t>
      </w:r>
      <w:r>
        <w:rPr>
          <w:spacing w:val="-10"/>
          <w:w w:val="105"/>
        </w:rPr>
        <w:t> </w:t>
      </w:r>
      <w:r>
        <w:rPr>
          <w:w w:val="105"/>
        </w:rPr>
        <w:t>appointed</w:t>
      </w:r>
      <w:r>
        <w:rPr>
          <w:spacing w:val="-8"/>
          <w:w w:val="105"/>
        </w:rPr>
        <w:t> </w:t>
      </w:r>
      <w:r>
        <w:rPr>
          <w:w w:val="105"/>
        </w:rPr>
        <w:t>in</w:t>
      </w:r>
      <w:r>
        <w:rPr>
          <w:spacing w:val="-8"/>
          <w:w w:val="105"/>
        </w:rPr>
        <w:t> </w:t>
      </w:r>
      <w:r>
        <w:rPr>
          <w:w w:val="105"/>
        </w:rPr>
        <w:t>due</w:t>
      </w:r>
      <w:r>
        <w:rPr>
          <w:spacing w:val="-11"/>
          <w:w w:val="105"/>
        </w:rPr>
        <w:t> </w:t>
      </w:r>
      <w:r>
        <w:rPr>
          <w:w w:val="105"/>
        </w:rPr>
        <w:t>course.</w:t>
      </w:r>
    </w:p>
    <w:p>
      <w:pPr>
        <w:pStyle w:val="BodyText"/>
        <w:rPr>
          <w:sz w:val="24"/>
        </w:rPr>
      </w:pPr>
    </w:p>
    <w:p>
      <w:pPr>
        <w:pStyle w:val="BodyText"/>
        <w:spacing w:before="4"/>
        <w:rPr>
          <w:sz w:val="21"/>
        </w:rPr>
      </w:pPr>
    </w:p>
    <w:p>
      <w:pPr>
        <w:pStyle w:val="BodyText"/>
        <w:spacing w:line="491" w:lineRule="auto"/>
        <w:ind w:left="492" w:right="490"/>
        <w:jc w:val="both"/>
      </w:pPr>
      <w:r>
        <w:rPr>
          <w:w w:val="105"/>
        </w:rPr>
        <w:t>A ‘black box’ contingency exercise took place in February with many London FX market</w:t>
      </w:r>
      <w:r>
        <w:rPr>
          <w:spacing w:val="-10"/>
          <w:w w:val="105"/>
        </w:rPr>
        <w:t> </w:t>
      </w:r>
      <w:r>
        <w:rPr>
          <w:w w:val="105"/>
        </w:rPr>
        <w:t>participants</w:t>
      </w:r>
      <w:r>
        <w:rPr>
          <w:spacing w:val="-9"/>
          <w:w w:val="105"/>
        </w:rPr>
        <w:t> </w:t>
      </w:r>
      <w:r>
        <w:rPr>
          <w:w w:val="105"/>
        </w:rPr>
        <w:t>contributing.</w:t>
      </w:r>
      <w:r>
        <w:rPr>
          <w:spacing w:val="40"/>
          <w:w w:val="105"/>
        </w:rPr>
        <w:t> </w:t>
      </w:r>
      <w:r>
        <w:rPr>
          <w:w w:val="105"/>
        </w:rPr>
        <w:t>The</w:t>
      </w:r>
      <w:r>
        <w:rPr>
          <w:spacing w:val="-8"/>
          <w:w w:val="105"/>
        </w:rPr>
        <w:t> </w:t>
      </w:r>
      <w:r>
        <w:rPr>
          <w:w w:val="105"/>
        </w:rPr>
        <w:t>exercise</w:t>
      </w:r>
      <w:r>
        <w:rPr>
          <w:spacing w:val="-9"/>
          <w:w w:val="105"/>
        </w:rPr>
        <w:t> </w:t>
      </w:r>
      <w:r>
        <w:rPr>
          <w:w w:val="105"/>
        </w:rPr>
        <w:t>took</w:t>
      </w:r>
      <w:r>
        <w:rPr>
          <w:spacing w:val="-9"/>
          <w:w w:val="105"/>
        </w:rPr>
        <w:t> </w:t>
      </w:r>
      <w:r>
        <w:rPr>
          <w:w w:val="105"/>
        </w:rPr>
        <w:t>the</w:t>
      </w:r>
      <w:r>
        <w:rPr>
          <w:spacing w:val="-9"/>
          <w:w w:val="105"/>
        </w:rPr>
        <w:t> </w:t>
      </w:r>
      <w:r>
        <w:rPr>
          <w:w w:val="105"/>
        </w:rPr>
        <w:t>form</w:t>
      </w:r>
      <w:r>
        <w:rPr>
          <w:spacing w:val="-11"/>
          <w:w w:val="105"/>
        </w:rPr>
        <w:t> </w:t>
      </w:r>
      <w:r>
        <w:rPr>
          <w:w w:val="105"/>
        </w:rPr>
        <w:t>of</w:t>
      </w:r>
      <w:r>
        <w:rPr>
          <w:spacing w:val="-9"/>
          <w:w w:val="105"/>
        </w:rPr>
        <w:t> </w:t>
      </w:r>
      <w:r>
        <w:rPr>
          <w:w w:val="105"/>
        </w:rPr>
        <w:t>a</w:t>
      </w:r>
      <w:r>
        <w:rPr>
          <w:spacing w:val="-9"/>
          <w:w w:val="105"/>
        </w:rPr>
        <w:t> </w:t>
      </w:r>
      <w:r>
        <w:rPr>
          <w:w w:val="105"/>
        </w:rPr>
        <w:t>scenario</w:t>
      </w:r>
      <w:r>
        <w:rPr>
          <w:spacing w:val="-9"/>
          <w:w w:val="105"/>
        </w:rPr>
        <w:t> </w:t>
      </w:r>
      <w:r>
        <w:rPr>
          <w:w w:val="105"/>
        </w:rPr>
        <w:t>simulating the failure of a settlement engine. Findings were still being agreed but there were likely to be follow-up actions for the</w:t>
      </w:r>
      <w:r>
        <w:rPr>
          <w:spacing w:val="-25"/>
          <w:w w:val="105"/>
        </w:rPr>
        <w:t> </w:t>
      </w:r>
      <w:r>
        <w:rPr>
          <w:w w:val="105"/>
        </w:rPr>
        <w:t>sub-committee.</w:t>
      </w:r>
    </w:p>
    <w:p>
      <w:pPr>
        <w:pStyle w:val="BodyText"/>
        <w:rPr>
          <w:sz w:val="24"/>
        </w:rPr>
      </w:pPr>
    </w:p>
    <w:p>
      <w:pPr>
        <w:pStyle w:val="BodyText"/>
        <w:spacing w:before="6"/>
        <w:rPr>
          <w:sz w:val="21"/>
        </w:rPr>
      </w:pPr>
    </w:p>
    <w:p>
      <w:pPr>
        <w:spacing w:before="0"/>
        <w:ind w:left="492" w:right="0" w:firstLine="0"/>
        <w:jc w:val="left"/>
        <w:rPr>
          <w:i/>
          <w:sz w:val="22"/>
        </w:rPr>
      </w:pPr>
      <w:r>
        <w:rPr>
          <w:i/>
          <w:w w:val="105"/>
          <w:sz w:val="22"/>
        </w:rPr>
        <w:t>Legal sub-committee</w:t>
      </w:r>
    </w:p>
    <w:p>
      <w:pPr>
        <w:spacing w:after="0"/>
        <w:jc w:val="left"/>
        <w:rPr>
          <w:sz w:val="22"/>
        </w:rPr>
        <w:sectPr>
          <w:pgSz w:w="12240" w:h="15840"/>
          <w:pgMar w:top="1280" w:bottom="280" w:left="1720" w:right="1720"/>
        </w:sectPr>
      </w:pPr>
    </w:p>
    <w:p>
      <w:pPr>
        <w:pStyle w:val="BodyText"/>
        <w:spacing w:line="491" w:lineRule="auto" w:before="78"/>
        <w:ind w:left="492" w:right="488"/>
        <w:jc w:val="both"/>
      </w:pPr>
      <w:r>
        <w:rPr>
          <w:w w:val="105"/>
        </w:rPr>
        <w:t>The sub-committee have commented on the competition guidelines produced by McKinsey,</w:t>
      </w:r>
      <w:r>
        <w:rPr>
          <w:spacing w:val="-14"/>
          <w:w w:val="105"/>
        </w:rPr>
        <w:t> </w:t>
      </w:r>
      <w:r>
        <w:rPr>
          <w:w w:val="105"/>
        </w:rPr>
        <w:t>which</w:t>
      </w:r>
      <w:r>
        <w:rPr>
          <w:spacing w:val="-11"/>
          <w:w w:val="105"/>
        </w:rPr>
        <w:t> </w:t>
      </w:r>
      <w:r>
        <w:rPr>
          <w:w w:val="105"/>
        </w:rPr>
        <w:t>are</w:t>
      </w:r>
      <w:r>
        <w:rPr>
          <w:spacing w:val="-13"/>
          <w:w w:val="105"/>
        </w:rPr>
        <w:t> </w:t>
      </w:r>
      <w:r>
        <w:rPr>
          <w:w w:val="105"/>
        </w:rPr>
        <w:t>now</w:t>
      </w:r>
      <w:r>
        <w:rPr>
          <w:spacing w:val="-12"/>
          <w:w w:val="105"/>
        </w:rPr>
        <w:t> </w:t>
      </w:r>
      <w:r>
        <w:rPr>
          <w:w w:val="105"/>
        </w:rPr>
        <w:t>close</w:t>
      </w:r>
      <w:r>
        <w:rPr>
          <w:spacing w:val="-11"/>
          <w:w w:val="105"/>
        </w:rPr>
        <w:t> </w:t>
      </w:r>
      <w:r>
        <w:rPr>
          <w:w w:val="105"/>
        </w:rPr>
        <w:t>to</w:t>
      </w:r>
      <w:r>
        <w:rPr>
          <w:spacing w:val="-11"/>
          <w:w w:val="105"/>
        </w:rPr>
        <w:t> </w:t>
      </w:r>
      <w:r>
        <w:rPr>
          <w:w w:val="105"/>
        </w:rPr>
        <w:t>completion.</w:t>
      </w:r>
      <w:r>
        <w:rPr>
          <w:spacing w:val="36"/>
          <w:w w:val="105"/>
        </w:rPr>
        <w:t> </w:t>
      </w:r>
      <w:r>
        <w:rPr>
          <w:w w:val="105"/>
        </w:rPr>
        <w:t>The</w:t>
      </w:r>
      <w:r>
        <w:rPr>
          <w:spacing w:val="-13"/>
          <w:w w:val="105"/>
        </w:rPr>
        <w:t> </w:t>
      </w:r>
      <w:r>
        <w:rPr>
          <w:w w:val="105"/>
        </w:rPr>
        <w:t>group</w:t>
      </w:r>
      <w:r>
        <w:rPr>
          <w:spacing w:val="-12"/>
          <w:w w:val="105"/>
        </w:rPr>
        <w:t> </w:t>
      </w:r>
      <w:r>
        <w:rPr>
          <w:w w:val="105"/>
        </w:rPr>
        <w:t>also</w:t>
      </w:r>
      <w:r>
        <w:rPr>
          <w:spacing w:val="-13"/>
          <w:w w:val="105"/>
        </w:rPr>
        <w:t> </w:t>
      </w:r>
      <w:r>
        <w:rPr>
          <w:w w:val="105"/>
        </w:rPr>
        <w:t>discussed</w:t>
      </w:r>
      <w:r>
        <w:rPr>
          <w:spacing w:val="-12"/>
          <w:w w:val="105"/>
        </w:rPr>
        <w:t> </w:t>
      </w:r>
      <w:r>
        <w:rPr>
          <w:w w:val="105"/>
        </w:rPr>
        <w:t>their</w:t>
      </w:r>
      <w:r>
        <w:rPr>
          <w:spacing w:val="-11"/>
          <w:w w:val="105"/>
        </w:rPr>
        <w:t> </w:t>
      </w:r>
      <w:r>
        <w:rPr>
          <w:w w:val="105"/>
        </w:rPr>
        <w:t>Terms of Reference document, the Global Preamble and received a presentation on MIFIR II.</w:t>
      </w:r>
    </w:p>
    <w:p>
      <w:pPr>
        <w:pStyle w:val="BodyText"/>
        <w:rPr>
          <w:sz w:val="24"/>
        </w:rPr>
      </w:pPr>
    </w:p>
    <w:p>
      <w:pPr>
        <w:pStyle w:val="BodyText"/>
        <w:spacing w:before="6"/>
        <w:rPr>
          <w:sz w:val="21"/>
        </w:rPr>
      </w:pPr>
    </w:p>
    <w:p>
      <w:pPr>
        <w:pStyle w:val="Heading1"/>
        <w:spacing w:line="491" w:lineRule="auto"/>
        <w:ind w:right="489"/>
        <w:jc w:val="both"/>
      </w:pPr>
      <w:r>
        <w:rPr>
          <w:w w:val="105"/>
        </w:rPr>
        <w:t>The</w:t>
      </w:r>
      <w:r>
        <w:rPr>
          <w:spacing w:val="-12"/>
          <w:w w:val="105"/>
        </w:rPr>
        <w:t> </w:t>
      </w:r>
      <w:r>
        <w:rPr>
          <w:w w:val="105"/>
        </w:rPr>
        <w:t>next</w:t>
      </w:r>
      <w:r>
        <w:rPr>
          <w:spacing w:val="-11"/>
          <w:w w:val="105"/>
        </w:rPr>
        <w:t> </w:t>
      </w:r>
      <w:r>
        <w:rPr>
          <w:w w:val="105"/>
        </w:rPr>
        <w:t>meeting</w:t>
      </w:r>
      <w:r>
        <w:rPr>
          <w:spacing w:val="-11"/>
          <w:w w:val="105"/>
        </w:rPr>
        <w:t> </w:t>
      </w:r>
      <w:r>
        <w:rPr>
          <w:w w:val="105"/>
        </w:rPr>
        <w:t>of</w:t>
      </w:r>
      <w:r>
        <w:rPr>
          <w:spacing w:val="-11"/>
          <w:w w:val="105"/>
        </w:rPr>
        <w:t> </w:t>
      </w:r>
      <w:r>
        <w:rPr>
          <w:w w:val="105"/>
        </w:rPr>
        <w:t>the</w:t>
      </w:r>
      <w:r>
        <w:rPr>
          <w:spacing w:val="-11"/>
          <w:w w:val="105"/>
        </w:rPr>
        <w:t> </w:t>
      </w:r>
      <w:r>
        <w:rPr>
          <w:w w:val="105"/>
        </w:rPr>
        <w:t>FXJSC</w:t>
      </w:r>
      <w:r>
        <w:rPr>
          <w:spacing w:val="-11"/>
          <w:w w:val="105"/>
        </w:rPr>
        <w:t> </w:t>
      </w:r>
      <w:r>
        <w:rPr>
          <w:w w:val="105"/>
        </w:rPr>
        <w:t>Main</w:t>
      </w:r>
      <w:r>
        <w:rPr>
          <w:spacing w:val="-9"/>
          <w:w w:val="105"/>
        </w:rPr>
        <w:t> </w:t>
      </w:r>
      <w:r>
        <w:rPr>
          <w:w w:val="105"/>
        </w:rPr>
        <w:t>Committee</w:t>
      </w:r>
      <w:r>
        <w:rPr>
          <w:spacing w:val="-9"/>
          <w:w w:val="105"/>
        </w:rPr>
        <w:t> </w:t>
      </w:r>
      <w:r>
        <w:rPr>
          <w:w w:val="105"/>
        </w:rPr>
        <w:t>will</w:t>
      </w:r>
      <w:r>
        <w:rPr>
          <w:spacing w:val="-12"/>
          <w:w w:val="105"/>
        </w:rPr>
        <w:t> </w:t>
      </w:r>
      <w:r>
        <w:rPr>
          <w:w w:val="105"/>
        </w:rPr>
        <w:t>be</w:t>
      </w:r>
      <w:r>
        <w:rPr>
          <w:spacing w:val="-11"/>
          <w:w w:val="105"/>
        </w:rPr>
        <w:t> </w:t>
      </w:r>
      <w:r>
        <w:rPr>
          <w:w w:val="105"/>
        </w:rPr>
        <w:t>held</w:t>
      </w:r>
      <w:r>
        <w:rPr>
          <w:spacing w:val="-11"/>
          <w:w w:val="105"/>
        </w:rPr>
        <w:t> </w:t>
      </w:r>
      <w:r>
        <w:rPr>
          <w:w w:val="105"/>
        </w:rPr>
        <w:t>on</w:t>
      </w:r>
      <w:r>
        <w:rPr>
          <w:spacing w:val="-11"/>
          <w:w w:val="105"/>
        </w:rPr>
        <w:t> </w:t>
      </w:r>
      <w:r>
        <w:rPr>
          <w:w w:val="105"/>
        </w:rPr>
        <w:t>19</w:t>
      </w:r>
      <w:r>
        <w:rPr>
          <w:spacing w:val="-12"/>
          <w:w w:val="105"/>
        </w:rPr>
        <w:t> </w:t>
      </w:r>
      <w:r>
        <w:rPr>
          <w:w w:val="105"/>
        </w:rPr>
        <w:t>May</w:t>
      </w:r>
      <w:r>
        <w:rPr>
          <w:spacing w:val="-11"/>
          <w:w w:val="105"/>
        </w:rPr>
        <w:t> </w:t>
      </w:r>
      <w:r>
        <w:rPr>
          <w:w w:val="105"/>
        </w:rPr>
        <w:t>at</w:t>
      </w:r>
      <w:r>
        <w:rPr>
          <w:spacing w:val="-10"/>
          <w:w w:val="105"/>
        </w:rPr>
        <w:t> </w:t>
      </w:r>
      <w:r>
        <w:rPr>
          <w:w w:val="105"/>
        </w:rPr>
        <w:t>Bank of New York</w:t>
      </w:r>
      <w:r>
        <w:rPr>
          <w:spacing w:val="-9"/>
          <w:w w:val="105"/>
        </w:rPr>
        <w:t> </w:t>
      </w:r>
      <w:r>
        <w:rPr>
          <w:w w:val="105"/>
        </w:rPr>
        <w:t>Mellon.</w:t>
      </w:r>
    </w:p>
    <w:sectPr>
      <w:pgSz w:w="12240" w:h="15840"/>
      <w:pgMar w:top="1280" w:bottom="28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605" w:hanging="282"/>
        <w:jc w:val="left"/>
      </w:pPr>
      <w:rPr>
        <w:rFonts w:hint="default" w:ascii="Times New Roman" w:hAnsi="Times New Roman" w:eastAsia="Times New Roman" w:cs="Times New Roman"/>
        <w:b/>
        <w:bCs/>
        <w:spacing w:val="-1"/>
        <w:w w:val="102"/>
        <w:sz w:val="22"/>
        <w:szCs w:val="22"/>
      </w:rPr>
    </w:lvl>
    <w:lvl w:ilvl="1">
      <w:start w:val="0"/>
      <w:numFmt w:val="bullet"/>
      <w:lvlText w:val="•"/>
      <w:lvlJc w:val="left"/>
      <w:pPr>
        <w:ind w:left="1420" w:hanging="282"/>
      </w:pPr>
      <w:rPr>
        <w:rFonts w:hint="default"/>
      </w:rPr>
    </w:lvl>
    <w:lvl w:ilvl="2">
      <w:start w:val="0"/>
      <w:numFmt w:val="bullet"/>
      <w:lvlText w:val="•"/>
      <w:lvlJc w:val="left"/>
      <w:pPr>
        <w:ind w:left="2240" w:hanging="282"/>
      </w:pPr>
      <w:rPr>
        <w:rFonts w:hint="default"/>
      </w:rPr>
    </w:lvl>
    <w:lvl w:ilvl="3">
      <w:start w:val="0"/>
      <w:numFmt w:val="bullet"/>
      <w:lvlText w:val="•"/>
      <w:lvlJc w:val="left"/>
      <w:pPr>
        <w:ind w:left="3060" w:hanging="282"/>
      </w:pPr>
      <w:rPr>
        <w:rFonts w:hint="default"/>
      </w:rPr>
    </w:lvl>
    <w:lvl w:ilvl="4">
      <w:start w:val="0"/>
      <w:numFmt w:val="bullet"/>
      <w:lvlText w:val="•"/>
      <w:lvlJc w:val="left"/>
      <w:pPr>
        <w:ind w:left="3880" w:hanging="282"/>
      </w:pPr>
      <w:rPr>
        <w:rFonts w:hint="default"/>
      </w:rPr>
    </w:lvl>
    <w:lvl w:ilvl="5">
      <w:start w:val="0"/>
      <w:numFmt w:val="bullet"/>
      <w:lvlText w:val="•"/>
      <w:lvlJc w:val="left"/>
      <w:pPr>
        <w:ind w:left="4700" w:hanging="282"/>
      </w:pPr>
      <w:rPr>
        <w:rFonts w:hint="default"/>
      </w:rPr>
    </w:lvl>
    <w:lvl w:ilvl="6">
      <w:start w:val="0"/>
      <w:numFmt w:val="bullet"/>
      <w:lvlText w:val="•"/>
      <w:lvlJc w:val="left"/>
      <w:pPr>
        <w:ind w:left="5520" w:hanging="282"/>
      </w:pPr>
      <w:rPr>
        <w:rFonts w:hint="default"/>
      </w:rPr>
    </w:lvl>
    <w:lvl w:ilvl="7">
      <w:start w:val="0"/>
      <w:numFmt w:val="bullet"/>
      <w:lvlText w:val="•"/>
      <w:lvlJc w:val="left"/>
      <w:pPr>
        <w:ind w:left="6340" w:hanging="282"/>
      </w:pPr>
      <w:rPr>
        <w:rFonts w:hint="default"/>
      </w:rPr>
    </w:lvl>
    <w:lvl w:ilvl="8">
      <w:start w:val="0"/>
      <w:numFmt w:val="bullet"/>
      <w:lvlText w:val="•"/>
      <w:lvlJc w:val="left"/>
      <w:pPr>
        <w:ind w:left="7160" w:hanging="28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2"/>
      <w:szCs w:val="22"/>
    </w:rPr>
  </w:style>
  <w:style w:styleId="Heading1" w:type="paragraph">
    <w:name w:val="Heading 1"/>
    <w:basedOn w:val="Normal"/>
    <w:uiPriority w:val="1"/>
    <w:qFormat/>
    <w:pPr>
      <w:ind w:left="492"/>
      <w:outlineLvl w:val="1"/>
    </w:pPr>
    <w:rPr>
      <w:rFonts w:ascii="Times New Roman" w:hAnsi="Times New Roman" w:eastAsia="Times New Roman" w:cs="Times New Roman"/>
      <w:b/>
      <w:bCs/>
      <w:sz w:val="22"/>
      <w:szCs w:val="22"/>
    </w:rPr>
  </w:style>
  <w:style w:styleId="ListParagraph" w:type="paragraph">
    <w:name w:val="List Paragraph"/>
    <w:basedOn w:val="Normal"/>
    <w:uiPriority w:val="1"/>
    <w:qFormat/>
    <w:pPr>
      <w:ind w:left="605" w:hanging="283"/>
    </w:pPr>
    <w:rPr>
      <w:rFonts w:ascii="Times New Roman" w:hAnsi="Times New Roman" w:eastAsia="Times New Roman" w:cs="Times New Roman"/>
    </w:rPr>
  </w:style>
  <w:style w:styleId="TableParagraph" w:type="paragraph">
    <w:name w:val="Table Paragraph"/>
    <w:basedOn w:val="Normal"/>
    <w:uiPriority w:val="1"/>
    <w:qFormat/>
    <w:pPr>
      <w:spacing w:before="33"/>
      <w:ind w:left="100"/>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Foreign Exchange Joint Standing Committee Meeting on 31 March 2015</dc:subject>
  <dc:title>Minutes of the Foreign Exchange Joint Standing Committee Meeting on 31 March 2015</dc:title>
  <dcterms:created xsi:type="dcterms:W3CDTF">2020-06-01T02:01:06Z</dcterms:created>
  <dcterms:modified xsi:type="dcterms:W3CDTF">2020-06-01T02:01:06Z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2015-05-20T00:00:00Z</vt:filetime>
  </property>
  <property fmtid="{D5CDD505-2E9C-101B-9397-08002B2CF9AE}" pid="3" name="Creator">
    <vt:lpwstr>PScript5.dll Version 5.2.2</vt:lpwstr>
  </property>
  <property fmtid="{D5CDD505-2E9C-101B-9397-08002B2CF9AE}" pid="4" name="LastSaved">
    <vt:filetime>2020-06-01T00:00:00Z</vt:filetime>
  </property>
</Properties>
</file>