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4" w:lineRule="auto" w:before="79"/>
        <w:ind w:right="1227"/>
        <w:jc w:val="center"/>
      </w:pPr>
      <w:r>
        <w:rPr>
          <w:w w:val="105"/>
        </w:rPr>
        <w:t>FOREIGN</w:t>
      </w:r>
      <w:r>
        <w:rPr>
          <w:spacing w:val="-32"/>
          <w:w w:val="105"/>
        </w:rPr>
        <w:t> </w:t>
      </w:r>
      <w:r>
        <w:rPr>
          <w:w w:val="105"/>
        </w:rPr>
        <w:t>EXCHANGE</w:t>
      </w:r>
      <w:r>
        <w:rPr>
          <w:spacing w:val="-32"/>
          <w:w w:val="105"/>
        </w:rPr>
        <w:t> </w:t>
      </w:r>
      <w:r>
        <w:rPr>
          <w:w w:val="105"/>
        </w:rPr>
        <w:t>JOINT</w:t>
      </w:r>
      <w:r>
        <w:rPr>
          <w:spacing w:val="-32"/>
          <w:w w:val="105"/>
        </w:rPr>
        <w:t> </w:t>
      </w:r>
      <w:r>
        <w:rPr>
          <w:w w:val="105"/>
        </w:rPr>
        <w:t>STANDING</w:t>
      </w:r>
      <w:r>
        <w:rPr>
          <w:spacing w:val="-33"/>
          <w:w w:val="105"/>
        </w:rPr>
        <w:t> </w:t>
      </w:r>
      <w:r>
        <w:rPr>
          <w:w w:val="105"/>
        </w:rPr>
        <w:t>COMMITTEE</w:t>
      </w:r>
      <w:r>
        <w:rPr>
          <w:spacing w:val="-32"/>
          <w:w w:val="105"/>
        </w:rPr>
        <w:t> </w:t>
      </w:r>
      <w:r>
        <w:rPr>
          <w:w w:val="105"/>
        </w:rPr>
        <w:t>– ADDITIONAL</w:t>
      </w:r>
      <w:r>
        <w:rPr>
          <w:spacing w:val="-4"/>
          <w:w w:val="105"/>
        </w:rPr>
        <w:t> </w:t>
      </w:r>
      <w:r>
        <w:rPr>
          <w:w w:val="105"/>
        </w:rPr>
        <w:t>MEETING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289" w:right="1229" w:firstLine="0"/>
        <w:jc w:val="center"/>
        <w:rPr>
          <w:b/>
          <w:sz w:val="22"/>
        </w:rPr>
      </w:pPr>
      <w:r>
        <w:rPr>
          <w:b/>
          <w:w w:val="105"/>
          <w:sz w:val="22"/>
        </w:rPr>
        <w:t>Wednesday 23 March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1289" w:right="1230"/>
        <w:jc w:val="center"/>
      </w:pPr>
      <w:r>
        <w:rPr>
          <w:w w:val="105"/>
        </w:rPr>
        <w:t>Prudential Regulation Authority, 20 Moorgate, London, EC2R 6DA</w:t>
      </w:r>
    </w:p>
    <w:p>
      <w:pPr>
        <w:pStyle w:val="BodyText"/>
        <w:spacing w:before="11"/>
        <w:rPr>
          <w:sz w:val="14"/>
        </w:rPr>
      </w:pPr>
    </w:p>
    <w:p>
      <w:pPr>
        <w:spacing w:before="96"/>
        <w:ind w:left="1289" w:right="1229" w:firstLine="0"/>
        <w:jc w:val="center"/>
        <w:rPr>
          <w:b/>
          <w:sz w:val="22"/>
        </w:rPr>
      </w:pPr>
      <w:r>
        <w:rPr>
          <w:b/>
          <w:w w:val="105"/>
          <w:sz w:val="22"/>
          <w:u w:val="thick"/>
        </w:rPr>
        <w:t>MINUTES</w:t>
      </w:r>
    </w:p>
    <w:p>
      <w:pPr>
        <w:spacing w:before="6"/>
        <w:ind w:left="77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In Attendance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8"/>
        <w:gridCol w:w="4534"/>
      </w:tblGrid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Sarah Boyce</w:t>
            </w:r>
          </w:p>
        </w:tc>
        <w:tc>
          <w:tcPr>
            <w:tcW w:w="45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Association of Corporate Treasurers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Rob Loewy</w:t>
            </w:r>
          </w:p>
        </w:tc>
        <w:tc>
          <w:tcPr>
            <w:tcW w:w="4534" w:type="dxa"/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Bank of China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Richard Gill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Bank of New York Mellon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Tetsuro Kono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Bank of Tokyo-Mitsubishi UFJ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Marcus Browning</w:t>
            </w:r>
          </w:p>
        </w:tc>
        <w:tc>
          <w:tcPr>
            <w:tcW w:w="4534" w:type="dxa"/>
          </w:tcPr>
          <w:p>
            <w:pPr>
              <w:pStyle w:val="TableParagraph"/>
              <w:spacing w:before="34"/>
              <w:ind w:left="102"/>
              <w:rPr>
                <w:sz w:val="19"/>
              </w:rPr>
            </w:pPr>
            <w:r>
              <w:rPr>
                <w:sz w:val="19"/>
              </w:rPr>
              <w:t>BlueCrest Capital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Ronald Kent</w:t>
            </w:r>
          </w:p>
        </w:tc>
        <w:tc>
          <w:tcPr>
            <w:tcW w:w="45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British Bankers’ Association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James Bindler</w:t>
            </w:r>
          </w:p>
        </w:tc>
        <w:tc>
          <w:tcPr>
            <w:tcW w:w="45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Citigroup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Russell Lascala</w:t>
            </w:r>
          </w:p>
        </w:tc>
        <w:tc>
          <w:tcPr>
            <w:tcW w:w="4534" w:type="dxa"/>
          </w:tcPr>
          <w:p>
            <w:pPr>
              <w:pStyle w:val="TableParagraph"/>
              <w:spacing w:before="34"/>
              <w:ind w:left="103"/>
              <w:rPr>
                <w:sz w:val="19"/>
              </w:rPr>
            </w:pPr>
            <w:r>
              <w:rPr>
                <w:sz w:val="19"/>
              </w:rPr>
              <w:t>Deutsche Bank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sz w:val="19"/>
              </w:rPr>
              <w:t>Matthew Jarman </w:t>
            </w:r>
            <w:r>
              <w:rPr>
                <w:i/>
                <w:sz w:val="19"/>
              </w:rPr>
              <w:t>(Alternate)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FICC Markets Standards Board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Jamie Black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Financial Conduct Authority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Kayhan Mirza</w:t>
            </w:r>
          </w:p>
        </w:tc>
        <w:tc>
          <w:tcPr>
            <w:tcW w:w="4534" w:type="dxa"/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Goldman Sachs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sz w:val="19"/>
              </w:rPr>
              <w:t>Allan Guild </w:t>
            </w:r>
            <w:r>
              <w:rPr>
                <w:i/>
                <w:sz w:val="19"/>
              </w:rPr>
              <w:t>(Alternate)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HSBC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Richard Purssell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Insight Investment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Stephen Grady</w:t>
            </w:r>
          </w:p>
        </w:tc>
        <w:tc>
          <w:tcPr>
            <w:tcW w:w="4534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Legal &amp; General Investment Management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Lisa Scott-Smith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Millennium Global Investments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James Harvey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Rolls-Royce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Kurt Vom Scheidt</w:t>
            </w:r>
          </w:p>
        </w:tc>
        <w:tc>
          <w:tcPr>
            <w:tcW w:w="4534" w:type="dxa"/>
          </w:tcPr>
          <w:p>
            <w:pPr>
              <w:pStyle w:val="TableParagraph"/>
              <w:spacing w:before="34"/>
              <w:ind w:left="102"/>
              <w:rPr>
                <w:sz w:val="19"/>
              </w:rPr>
            </w:pPr>
            <w:r>
              <w:rPr>
                <w:sz w:val="19"/>
              </w:rPr>
              <w:t>Saxo Bank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Galina Dimitrova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The Investment Association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sz w:val="19"/>
              </w:rPr>
              <w:t>Neill Penney </w:t>
            </w:r>
            <w:r>
              <w:rPr>
                <w:i/>
                <w:sz w:val="19"/>
              </w:rPr>
              <w:t>(Alternate)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Thomson Reuters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line="214" w:lineRule="exact" w:before="0"/>
              <w:rPr>
                <w:sz w:val="19"/>
              </w:rPr>
            </w:pPr>
            <w:r>
              <w:rPr>
                <w:sz w:val="19"/>
              </w:rPr>
              <w:t>James Potter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Tullett Prebon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George Athanasopoulos</w:t>
            </w:r>
          </w:p>
        </w:tc>
        <w:tc>
          <w:tcPr>
            <w:tcW w:w="45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UBS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David Clark</w:t>
            </w:r>
          </w:p>
        </w:tc>
        <w:tc>
          <w:tcPr>
            <w:tcW w:w="4534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Wholesale Markets Brokers’ Association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Zar Amrolia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XTX Markets</w:t>
            </w:r>
          </w:p>
        </w:tc>
      </w:tr>
      <w:tr>
        <w:trPr>
          <w:trHeight w:val="544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Chris Allen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Barclays</w:t>
            </w:r>
          </w:p>
          <w:p>
            <w:pPr>
              <w:pStyle w:val="TableParagraph"/>
              <w:spacing w:before="34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Chair Legal Sub-Committee</w:t>
            </w:r>
          </w:p>
        </w:tc>
      </w:tr>
      <w:tr>
        <w:trPr>
          <w:trHeight w:val="545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Isabelle Dennigan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RBC</w:t>
            </w:r>
          </w:p>
          <w:p>
            <w:pPr>
              <w:pStyle w:val="TableParagraph"/>
              <w:spacing w:before="35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Chair Operations Sub Committee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Chris Salmon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 (Chair)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Grigoria Christodoulou</w:t>
            </w:r>
          </w:p>
        </w:tc>
        <w:tc>
          <w:tcPr>
            <w:tcW w:w="4534" w:type="dxa"/>
          </w:tcPr>
          <w:p>
            <w:pPr>
              <w:pStyle w:val="TableParagraph"/>
              <w:ind w:left="100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 (Secretariat)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5"/>
              <w:rPr>
                <w:i/>
                <w:sz w:val="19"/>
              </w:rPr>
            </w:pPr>
            <w:r>
              <w:rPr>
                <w:i/>
                <w:sz w:val="19"/>
              </w:rPr>
              <w:t>Lisa Gupta</w:t>
            </w:r>
          </w:p>
        </w:tc>
        <w:tc>
          <w:tcPr>
            <w:tcW w:w="4534" w:type="dxa"/>
          </w:tcPr>
          <w:p>
            <w:pPr>
              <w:pStyle w:val="TableParagraph"/>
              <w:spacing w:before="35"/>
              <w:ind w:left="100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 (Secretariat)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Jonathan Grant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 (Legal)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Jonathan Keane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 (Legal)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David Edmunds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Rebecca Jackson</w:t>
            </w:r>
          </w:p>
        </w:tc>
        <w:tc>
          <w:tcPr>
            <w:tcW w:w="4534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sz w:val="19"/>
              </w:rPr>
              <w:t>James O’Connor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i/>
                <w:sz w:val="19"/>
              </w:rPr>
            </w:pPr>
            <w:r>
              <w:rPr>
                <w:i/>
                <w:sz w:val="19"/>
              </w:rPr>
              <w:t>Bank of England</w:t>
            </w:r>
          </w:p>
        </w:tc>
      </w:tr>
    </w:tbl>
    <w:p>
      <w:pPr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footer="634" w:top="1280" w:bottom="820" w:left="1660" w:right="1720"/>
        </w:sectPr>
      </w:pPr>
    </w:p>
    <w:p>
      <w:pPr>
        <w:spacing w:before="79"/>
        <w:ind w:left="77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Apologies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8"/>
        <w:gridCol w:w="4534"/>
      </w:tblGrid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James Hassett</w:t>
            </w:r>
          </w:p>
        </w:tc>
        <w:tc>
          <w:tcPr>
            <w:tcW w:w="45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Barclays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David Puth</w:t>
            </w:r>
          </w:p>
        </w:tc>
        <w:tc>
          <w:tcPr>
            <w:tcW w:w="4534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CLS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Gil Mandelzis</w:t>
            </w:r>
          </w:p>
        </w:tc>
        <w:tc>
          <w:tcPr>
            <w:tcW w:w="4534" w:type="dxa"/>
          </w:tcPr>
          <w:p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EBS BrokerTec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James Kemp</w:t>
            </w:r>
          </w:p>
        </w:tc>
        <w:tc>
          <w:tcPr>
            <w:tcW w:w="4534" w:type="dxa"/>
          </w:tcPr>
          <w:p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FICC Markets Standards Board</w:t>
            </w:r>
          </w:p>
        </w:tc>
      </w:tr>
      <w:tr>
        <w:trPr>
          <w:trHeight w:val="290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Frederic Boillereau</w:t>
            </w:r>
          </w:p>
        </w:tc>
        <w:tc>
          <w:tcPr>
            <w:tcW w:w="4534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HSBC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spacing w:before="34"/>
              <w:rPr>
                <w:sz w:val="19"/>
              </w:rPr>
            </w:pPr>
            <w:r>
              <w:rPr>
                <w:sz w:val="19"/>
              </w:rPr>
              <w:t>Frances Hinden</w:t>
            </w:r>
          </w:p>
        </w:tc>
        <w:tc>
          <w:tcPr>
            <w:tcW w:w="4534" w:type="dxa"/>
          </w:tcPr>
          <w:p>
            <w:pPr>
              <w:pStyle w:val="TableParagraph"/>
              <w:spacing w:before="34"/>
              <w:ind w:left="102"/>
              <w:rPr>
                <w:sz w:val="19"/>
              </w:rPr>
            </w:pPr>
            <w:r>
              <w:rPr>
                <w:sz w:val="19"/>
              </w:rPr>
              <w:t>Shell</w:t>
            </w:r>
          </w:p>
        </w:tc>
      </w:tr>
      <w:tr>
        <w:trPr>
          <w:trHeight w:val="291" w:hRule="atLeast"/>
        </w:trPr>
        <w:tc>
          <w:tcPr>
            <w:tcW w:w="2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Phil Weisberg</w:t>
            </w:r>
          </w:p>
        </w:tc>
        <w:tc>
          <w:tcPr>
            <w:tcW w:w="453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Thomson Reuters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634" w:top="1280" w:bottom="820" w:left="1660" w:right="1720"/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  <w:tab w:pos="553" w:val="left" w:leader="none"/>
        </w:tabs>
        <w:spacing w:line="240" w:lineRule="auto" w:before="80" w:after="0"/>
        <w:ind w:left="552" w:right="0" w:hanging="438"/>
        <w:jc w:val="left"/>
        <w:rPr>
          <w:b/>
          <w:sz w:val="22"/>
        </w:rPr>
      </w:pPr>
      <w:r>
        <w:rPr>
          <w:b/>
          <w:w w:val="105"/>
          <w:sz w:val="22"/>
        </w:rPr>
        <w:t>Welcome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2" w:right="456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Chair</w:t>
      </w:r>
      <w:r>
        <w:rPr>
          <w:spacing w:val="-16"/>
          <w:w w:val="105"/>
        </w:rPr>
        <w:t> </w:t>
      </w:r>
      <w:r>
        <w:rPr>
          <w:w w:val="105"/>
        </w:rPr>
        <w:t>welcomed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attendees,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members</w:t>
      </w:r>
      <w:r>
        <w:rPr>
          <w:spacing w:val="-15"/>
          <w:w w:val="105"/>
        </w:rPr>
        <w:t> </w:t>
      </w:r>
      <w:r>
        <w:rPr>
          <w:w w:val="105"/>
        </w:rPr>
        <w:t>attending</w:t>
      </w:r>
      <w:r>
        <w:rPr>
          <w:spacing w:val="-16"/>
          <w:w w:val="105"/>
        </w:rPr>
        <w:t> </w:t>
      </w:r>
      <w:r>
        <w:rPr>
          <w:w w:val="105"/>
        </w:rPr>
        <w:t>their first</w:t>
      </w:r>
      <w:r>
        <w:rPr>
          <w:spacing w:val="-15"/>
          <w:w w:val="105"/>
        </w:rPr>
        <w:t> </w:t>
      </w:r>
      <w:r>
        <w:rPr>
          <w:w w:val="105"/>
        </w:rPr>
        <w:t>meeting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individuals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alternate</w:t>
      </w:r>
      <w:r>
        <w:rPr>
          <w:spacing w:val="-16"/>
          <w:w w:val="105"/>
        </w:rPr>
        <w:t> </w:t>
      </w:r>
      <w:r>
        <w:rPr>
          <w:w w:val="105"/>
        </w:rPr>
        <w:t>capacity.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Chair</w:t>
      </w:r>
      <w:r>
        <w:rPr>
          <w:spacing w:val="-16"/>
          <w:w w:val="105"/>
        </w:rPr>
        <w:t> </w:t>
      </w:r>
      <w:r>
        <w:rPr>
          <w:w w:val="105"/>
        </w:rPr>
        <w:t>noted 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FXJSC</w:t>
      </w:r>
      <w:r>
        <w:rPr>
          <w:spacing w:val="-12"/>
          <w:w w:val="105"/>
        </w:rPr>
        <w:t> </w:t>
      </w:r>
      <w:r>
        <w:rPr>
          <w:w w:val="105"/>
        </w:rPr>
        <w:t>meeting</w:t>
      </w:r>
      <w:r>
        <w:rPr>
          <w:spacing w:val="-12"/>
          <w:w w:val="105"/>
        </w:rPr>
        <w:t> </w:t>
      </w:r>
      <w:r>
        <w:rPr>
          <w:w w:val="105"/>
        </w:rPr>
        <w:t>convened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solely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FXJSC comments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draft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FX</w:t>
      </w:r>
      <w:r>
        <w:rPr>
          <w:spacing w:val="-13"/>
          <w:w w:val="105"/>
        </w:rPr>
        <w:t> </w:t>
      </w:r>
      <w:r>
        <w:rPr>
          <w:w w:val="105"/>
        </w:rPr>
        <w:t>Code,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nominated</w:t>
      </w:r>
      <w:r>
        <w:rPr>
          <w:spacing w:val="-14"/>
          <w:w w:val="105"/>
        </w:rPr>
        <w:t> </w:t>
      </w:r>
      <w:r>
        <w:rPr>
          <w:w w:val="105"/>
        </w:rPr>
        <w:t>alternates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been allowed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attend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91" w:lineRule="auto"/>
        <w:ind w:left="552" w:right="456"/>
      </w:pPr>
      <w:r>
        <w:rPr>
          <w:w w:val="105"/>
        </w:rPr>
        <w:t>The Chair also reminded members that the minutes of the most recent full FXJSC meeting</w:t>
      </w:r>
      <w:r>
        <w:rPr>
          <w:spacing w:val="-14"/>
          <w:w w:val="105"/>
        </w:rPr>
        <w:t> </w:t>
      </w:r>
      <w:r>
        <w:rPr>
          <w:w w:val="105"/>
        </w:rPr>
        <w:t>held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28</w:t>
      </w:r>
      <w:r>
        <w:rPr>
          <w:w w:val="105"/>
          <w:vertAlign w:val="superscript"/>
        </w:rPr>
        <w:t>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January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FXJSC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meeting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 11</w:t>
      </w:r>
      <w:r>
        <w:rPr>
          <w:w w:val="105"/>
          <w:vertAlign w:val="superscript"/>
        </w:rPr>
        <w:t>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published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Bank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England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website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shortly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thereafter. Furthermore,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minutes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FXJSC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meetings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held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intervening period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signed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published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8"/>
        <w:jc w:val="left"/>
      </w:pPr>
      <w:r>
        <w:rPr>
          <w:w w:val="105"/>
        </w:rPr>
        <w:t>Global FX</w:t>
      </w:r>
      <w:r>
        <w:rPr>
          <w:spacing w:val="-5"/>
          <w:w w:val="105"/>
        </w:rPr>
        <w:t> </w:t>
      </w:r>
      <w:r>
        <w:rPr>
          <w:w w:val="105"/>
        </w:rPr>
        <w:t>Code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491" w:lineRule="auto"/>
        <w:ind w:left="552" w:right="456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Chair</w:t>
      </w:r>
      <w:r>
        <w:rPr>
          <w:spacing w:val="-16"/>
          <w:w w:val="105"/>
        </w:rPr>
        <w:t> </w:t>
      </w:r>
      <w:r>
        <w:rPr>
          <w:w w:val="105"/>
        </w:rPr>
        <w:t>thanked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attendees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ongoing</w:t>
      </w:r>
      <w:r>
        <w:rPr>
          <w:spacing w:val="-16"/>
          <w:w w:val="105"/>
        </w:rPr>
        <w:t> </w:t>
      </w:r>
      <w:r>
        <w:rPr>
          <w:w w:val="105"/>
        </w:rPr>
        <w:t>commitment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contribution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development of the Global FX Code (the ‘Code’) and for their thoughts on how the approach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gather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incorporate</w:t>
      </w:r>
      <w:r>
        <w:rPr>
          <w:spacing w:val="-17"/>
          <w:w w:val="105"/>
        </w:rPr>
        <w:t> </w:t>
      </w:r>
      <w:r>
        <w:rPr>
          <w:w w:val="105"/>
        </w:rPr>
        <w:t>feedback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enhanced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future feedback rounds. The Chair reminded attendees that the aim of the meeting was to approve the feedback the FXJSC would submit to the BIS FX Working Group (FXWG)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draft</w:t>
      </w:r>
      <w:r>
        <w:rPr>
          <w:spacing w:val="-12"/>
          <w:w w:val="105"/>
        </w:rPr>
        <w:t> </w:t>
      </w:r>
      <w:r>
        <w:rPr>
          <w:w w:val="105"/>
        </w:rPr>
        <w:t>sections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circulated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early</w:t>
      </w:r>
      <w:r>
        <w:rPr>
          <w:spacing w:val="-11"/>
          <w:w w:val="105"/>
        </w:rPr>
        <w:t> </w:t>
      </w:r>
      <w:r>
        <w:rPr>
          <w:w w:val="105"/>
        </w:rPr>
        <w:t>March.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was agreed that any substantive feedback or significant areas where the Committee was unable to reach a consensus would be highlighted when the FXJSC response was submitted.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tabs>
          <w:tab w:pos="2151" w:val="left" w:leader="none"/>
        </w:tabs>
        <w:spacing w:line="491" w:lineRule="auto" w:before="79"/>
        <w:ind w:left="552" w:right="565"/>
      </w:pPr>
      <w:r>
        <w:rPr>
          <w:w w:val="105"/>
        </w:rPr>
        <w:t>The Chair reminded attendees of the working group infrastructure underpinning the FXJSC</w:t>
      </w:r>
      <w:r>
        <w:rPr>
          <w:spacing w:val="-16"/>
          <w:w w:val="105"/>
        </w:rPr>
        <w:t> </w:t>
      </w:r>
      <w:r>
        <w:rPr>
          <w:w w:val="105"/>
        </w:rPr>
        <w:t>feedback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explained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addition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focus 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‘Foreword’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draft</w:t>
      </w:r>
      <w:r>
        <w:rPr>
          <w:spacing w:val="-14"/>
          <w:w w:val="105"/>
        </w:rPr>
        <w:t> </w:t>
      </w:r>
      <w:r>
        <w:rPr>
          <w:w w:val="105"/>
        </w:rPr>
        <w:t>Code.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Chair</w:t>
      </w:r>
      <w:r>
        <w:rPr>
          <w:spacing w:val="-13"/>
          <w:w w:val="105"/>
        </w:rPr>
        <w:t> </w:t>
      </w:r>
      <w:r>
        <w:rPr>
          <w:w w:val="105"/>
        </w:rPr>
        <w:t>invited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representative</w:t>
      </w:r>
      <w:r>
        <w:rPr>
          <w:spacing w:val="-14"/>
          <w:w w:val="105"/>
        </w:rPr>
        <w:t> </w:t>
      </w:r>
      <w:r>
        <w:rPr>
          <w:w w:val="105"/>
        </w:rPr>
        <w:t>from each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four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6"/>
          <w:w w:val="105"/>
        </w:rPr>
        <w:t> </w:t>
      </w:r>
      <w:r>
        <w:rPr>
          <w:w w:val="105"/>
        </w:rPr>
        <w:t>groups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group’s</w:t>
      </w:r>
      <w:r>
        <w:rPr>
          <w:spacing w:val="-15"/>
          <w:w w:val="105"/>
        </w:rPr>
        <w:t> </w:t>
      </w:r>
      <w:r>
        <w:rPr>
          <w:w w:val="105"/>
        </w:rPr>
        <w:t>high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themes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points for</w:t>
      </w:r>
      <w:r>
        <w:rPr>
          <w:spacing w:val="-12"/>
          <w:w w:val="105"/>
        </w:rPr>
        <w:t> </w:t>
      </w:r>
      <w:r>
        <w:rPr>
          <w:w w:val="105"/>
        </w:rPr>
        <w:t>discussion.</w:t>
        <w:tab/>
        <w:t>The sections of the Code discussed covered Execution (</w:t>
      </w:r>
      <w:r>
        <w:rPr>
          <w:i/>
          <w:w w:val="105"/>
        </w:rPr>
        <w:t>Zar </w:t>
      </w:r>
      <w:r>
        <w:rPr>
          <w:i/>
          <w:w w:val="105"/>
        </w:rPr>
        <w:t>Amrolia, XTX Markets</w:t>
      </w:r>
      <w:r>
        <w:rPr>
          <w:w w:val="105"/>
        </w:rPr>
        <w:t>), the Foreword </w:t>
      </w:r>
      <w:r>
        <w:rPr>
          <w:i/>
          <w:w w:val="105"/>
        </w:rPr>
        <w:t>(David Clark, Wholesale Markets’ Brokers </w:t>
      </w:r>
      <w:r>
        <w:rPr>
          <w:i/>
          <w:w w:val="105"/>
        </w:rPr>
        <w:t>Association)</w:t>
      </w:r>
      <w:r>
        <w:rPr>
          <w:w w:val="105"/>
        </w:rPr>
        <w:t>, Ethics and Information Sharing (</w:t>
      </w:r>
      <w:r>
        <w:rPr>
          <w:i/>
          <w:w w:val="105"/>
        </w:rPr>
        <w:t>Chris Allen, Legal Sub-committee </w:t>
      </w:r>
      <w:r>
        <w:rPr>
          <w:i/>
          <w:w w:val="105"/>
        </w:rPr>
        <w:t>Chair</w:t>
      </w:r>
      <w:r>
        <w:rPr>
          <w:w w:val="105"/>
        </w:rPr>
        <w:t>) and Confirmation and Settlement (</w:t>
      </w:r>
      <w:r>
        <w:rPr>
          <w:i/>
          <w:w w:val="105"/>
        </w:rPr>
        <w:t>Isabelle Dennigan, Operations Sub- </w:t>
      </w:r>
      <w:r>
        <w:rPr>
          <w:i/>
          <w:w w:val="105"/>
        </w:rPr>
        <w:t>committee Chair</w:t>
      </w:r>
      <w:r>
        <w:rPr>
          <w:w w:val="105"/>
        </w:rPr>
        <w:t>). Attendees discussed and agreed the broad themes and more detailed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FXJSC</w:t>
      </w:r>
      <w:r>
        <w:rPr>
          <w:spacing w:val="-15"/>
          <w:w w:val="105"/>
        </w:rPr>
        <w:t> </w:t>
      </w:r>
      <w:r>
        <w:rPr>
          <w:w w:val="105"/>
        </w:rPr>
        <w:t>response,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Bank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submit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FXWG as requested. Attendees also briefly discussed the potential mechanisms through which the Code could be maintained once published in May 2017. The Chair remarked that the FXWG was exploring a number of</w:t>
      </w:r>
      <w:r>
        <w:rPr>
          <w:spacing w:val="-40"/>
          <w:w w:val="105"/>
        </w:rPr>
        <w:t> </w:t>
      </w:r>
      <w:r>
        <w:rPr>
          <w:w w:val="105"/>
        </w:rPr>
        <w:t>options.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91" w:lineRule="auto" w:before="1"/>
        <w:ind w:left="552" w:right="583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Chair</w:t>
      </w:r>
      <w:r>
        <w:rPr>
          <w:spacing w:val="-17"/>
          <w:w w:val="105"/>
        </w:rPr>
        <w:t> </w:t>
      </w:r>
      <w:r>
        <w:rPr>
          <w:w w:val="105"/>
        </w:rPr>
        <w:t>updated</w:t>
      </w:r>
      <w:r>
        <w:rPr>
          <w:spacing w:val="-18"/>
          <w:w w:val="105"/>
        </w:rPr>
        <w:t> </w:t>
      </w:r>
      <w:r>
        <w:rPr>
          <w:w w:val="105"/>
        </w:rPr>
        <w:t>attendees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upcoming</w:t>
      </w:r>
      <w:r>
        <w:rPr>
          <w:spacing w:val="-16"/>
          <w:w w:val="105"/>
        </w:rPr>
        <w:t> </w:t>
      </w:r>
      <w:r>
        <w:rPr>
          <w:w w:val="105"/>
        </w:rPr>
        <w:t>milestones</w:t>
      </w:r>
      <w:r>
        <w:rPr>
          <w:spacing w:val="-18"/>
          <w:w w:val="105"/>
        </w:rPr>
        <w:t> </w:t>
      </w:r>
      <w:r>
        <w:rPr>
          <w:w w:val="105"/>
        </w:rPr>
        <w:t>ahead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interim publication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2016.</w:t>
      </w:r>
      <w:r>
        <w:rPr>
          <w:spacing w:val="31"/>
          <w:w w:val="105"/>
        </w:rPr>
        <w:t> </w:t>
      </w:r>
      <w:r>
        <w:rPr>
          <w:w w:val="105"/>
        </w:rPr>
        <w:t>Attendees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potential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FXJSC</w:t>
      </w:r>
      <w:r>
        <w:rPr>
          <w:spacing w:val="-13"/>
          <w:w w:val="105"/>
        </w:rPr>
        <w:t> </w:t>
      </w:r>
      <w:r>
        <w:rPr>
          <w:w w:val="105"/>
        </w:rPr>
        <w:t>with regards to the May 2016</w:t>
      </w:r>
      <w:r>
        <w:rPr>
          <w:spacing w:val="-11"/>
          <w:w w:val="105"/>
        </w:rPr>
        <w:t> </w:t>
      </w:r>
      <w:r>
        <w:rPr>
          <w:w w:val="105"/>
        </w:rPr>
        <w:t>publication.</w:t>
      </w:r>
    </w:p>
    <w:sectPr>
      <w:pgSz w:w="12240" w:h="15840"/>
      <w:pgMar w:header="0" w:footer="634" w:top="1280" w:bottom="82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639999pt;margin-top:749.283508pt;width:63.95pt;height:10.4pt;mso-position-horizontal-relative:page;mso-position-vertical-relative:page;z-index:-2519767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sz w:val="15"/>
                  </w:rPr>
                  <w:t>Markets 946168v1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2" w:hanging="43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390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0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0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0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89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83" w:hanging="4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3"/>
      <w:ind w:left="10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309633</dc:creator>
  <dc:title>Microsoft Word - 946168_1</dc:title>
  <dcterms:created xsi:type="dcterms:W3CDTF">2020-06-01T02:01:07Z</dcterms:created>
  <dcterms:modified xsi:type="dcterms:W3CDTF">2020-06-01T02:01:07Z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2020-06-01T00:00:00Z</vt:filetime>
  </property>
</Properties>
</file>