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0"/>
        <w:ind w:right="111"/>
        <w:jc w:val="right"/>
      </w:pPr>
      <w:r>
        <w:rPr>
          <w:w w:val="95"/>
        </w:rPr>
        <w:t>11.05.2017</w:t>
      </w:r>
    </w:p>
    <w:p>
      <w:pPr>
        <w:pStyle w:val="BodyText"/>
      </w:pPr>
    </w:p>
    <w:p>
      <w:pPr>
        <w:pStyle w:val="BodyText"/>
        <w:spacing w:before="8"/>
        <w:rPr>
          <w:sz w:val="25"/>
        </w:rPr>
      </w:pPr>
    </w:p>
    <w:tbl>
      <w:tblPr>
        <w:tblW w:w="0" w:type="auto"/>
        <w:jc w:val="left"/>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8666"/>
      </w:tblGrid>
      <w:tr>
        <w:trPr>
          <w:trHeight w:val="665" w:hRule="atLeast"/>
        </w:trPr>
        <w:tc>
          <w:tcPr>
            <w:tcW w:w="9642" w:type="dxa"/>
            <w:gridSpan w:val="2"/>
          </w:tcPr>
          <w:p>
            <w:pPr>
              <w:pStyle w:val="TableParagraph"/>
              <w:spacing w:line="491" w:lineRule="exact"/>
              <w:ind w:left="2"/>
              <w:rPr>
                <w:sz w:val="44"/>
              </w:rPr>
            </w:pPr>
            <w:r>
              <w:rPr>
                <w:sz w:val="44"/>
              </w:rPr>
              <w:t>Minutes</w:t>
            </w:r>
          </w:p>
        </w:tc>
      </w:tr>
      <w:tr>
        <w:trPr>
          <w:trHeight w:val="467" w:hRule="atLeast"/>
        </w:trPr>
        <w:tc>
          <w:tcPr>
            <w:tcW w:w="9642" w:type="dxa"/>
            <w:gridSpan w:val="2"/>
          </w:tcPr>
          <w:p>
            <w:pPr>
              <w:pStyle w:val="TableParagraph"/>
              <w:spacing w:before="167"/>
              <w:ind w:left="2"/>
              <w:rPr>
                <w:b/>
                <w:sz w:val="24"/>
              </w:rPr>
            </w:pPr>
            <w:r>
              <w:rPr>
                <w:b/>
                <w:sz w:val="24"/>
              </w:rPr>
              <w:t>Foreign Exchange Joint Standing Committee</w:t>
            </w:r>
          </w:p>
        </w:tc>
      </w:tr>
      <w:tr>
        <w:trPr>
          <w:trHeight w:val="565" w:hRule="atLeast"/>
        </w:trPr>
        <w:tc>
          <w:tcPr>
            <w:tcW w:w="9642" w:type="dxa"/>
            <w:gridSpan w:val="2"/>
            <w:tcBorders>
              <w:bottom w:val="single" w:sz="4" w:space="0" w:color="000000"/>
            </w:tcBorders>
          </w:tcPr>
          <w:p>
            <w:pPr>
              <w:pStyle w:val="TableParagraph"/>
              <w:spacing w:before="16"/>
              <w:ind w:left="2"/>
              <w:rPr>
                <w:sz w:val="24"/>
              </w:rPr>
            </w:pPr>
            <w:r>
              <w:rPr>
                <w:sz w:val="24"/>
              </w:rPr>
              <w:t>11 May 2017</w:t>
            </w:r>
          </w:p>
        </w:tc>
      </w:tr>
      <w:tr>
        <w:trPr>
          <w:trHeight w:val="581" w:hRule="atLeast"/>
        </w:trPr>
        <w:tc>
          <w:tcPr>
            <w:tcW w:w="976" w:type="dxa"/>
            <w:tcBorders>
              <w:top w:val="single" w:sz="4" w:space="0" w:color="000000"/>
            </w:tcBorders>
          </w:tcPr>
          <w:p>
            <w:pPr>
              <w:pStyle w:val="TableParagraph"/>
              <w:spacing w:before="10"/>
              <w:ind w:left="0"/>
              <w:rPr>
                <w:sz w:val="18"/>
              </w:rPr>
            </w:pPr>
          </w:p>
          <w:p>
            <w:pPr>
              <w:pStyle w:val="TableParagraph"/>
              <w:spacing w:before="1"/>
              <w:ind w:left="2"/>
              <w:rPr>
                <w:sz w:val="20"/>
              </w:rPr>
            </w:pPr>
            <w:r>
              <w:rPr>
                <w:sz w:val="20"/>
              </w:rPr>
              <w:t>Location:</w:t>
            </w:r>
          </w:p>
        </w:tc>
        <w:tc>
          <w:tcPr>
            <w:tcW w:w="8666" w:type="dxa"/>
            <w:tcBorders>
              <w:top w:val="single" w:sz="4" w:space="0" w:color="000000"/>
            </w:tcBorders>
          </w:tcPr>
          <w:p>
            <w:pPr>
              <w:pStyle w:val="TableParagraph"/>
              <w:spacing w:before="10"/>
              <w:ind w:left="0"/>
              <w:rPr>
                <w:sz w:val="18"/>
              </w:rPr>
            </w:pPr>
          </w:p>
          <w:p>
            <w:pPr>
              <w:pStyle w:val="TableParagraph"/>
              <w:spacing w:before="1"/>
              <w:ind w:left="19"/>
              <w:rPr>
                <w:sz w:val="20"/>
              </w:rPr>
            </w:pPr>
            <w:r>
              <w:rPr>
                <w:sz w:val="20"/>
              </w:rPr>
              <w:t>Bank of England, Threadneedle Street, London, EC2R 8AH</w:t>
            </w:r>
          </w:p>
        </w:tc>
      </w:tr>
      <w:tr>
        <w:trPr>
          <w:trHeight w:val="5854" w:hRule="atLeast"/>
        </w:trPr>
        <w:tc>
          <w:tcPr>
            <w:tcW w:w="976" w:type="dxa"/>
          </w:tcPr>
          <w:p>
            <w:pPr>
              <w:pStyle w:val="TableParagraph"/>
              <w:spacing w:before="131"/>
              <w:ind w:left="2"/>
              <w:rPr>
                <w:sz w:val="20"/>
              </w:rPr>
            </w:pPr>
            <w:r>
              <w:rPr>
                <w:sz w:val="20"/>
              </w:rPr>
              <w:t>Attendees:</w:t>
            </w:r>
          </w:p>
        </w:tc>
        <w:tc>
          <w:tcPr>
            <w:tcW w:w="8666" w:type="dxa"/>
          </w:tcPr>
          <w:p>
            <w:pPr>
              <w:pStyle w:val="TableParagraph"/>
              <w:spacing w:before="126"/>
              <w:ind w:left="19" w:right="3881"/>
              <w:rPr>
                <w:sz w:val="20"/>
              </w:rPr>
            </w:pPr>
            <w:r>
              <w:rPr>
                <w:b/>
                <w:sz w:val="20"/>
              </w:rPr>
              <w:t>Association of Corporate Treasurers: </w:t>
            </w:r>
            <w:r>
              <w:rPr>
                <w:sz w:val="20"/>
              </w:rPr>
              <w:t>Sarah Boyce </w:t>
            </w:r>
            <w:r>
              <w:rPr>
                <w:b/>
                <w:sz w:val="20"/>
              </w:rPr>
              <w:t>Bank of Tokyo-Mitsubishi UFJ: </w:t>
            </w:r>
            <w:r>
              <w:rPr>
                <w:sz w:val="20"/>
              </w:rPr>
              <w:t>Tetsuro Kono </w:t>
            </w:r>
            <w:r>
              <w:rPr>
                <w:b/>
                <w:sz w:val="20"/>
              </w:rPr>
              <w:t>Barclays: </w:t>
            </w:r>
            <w:r>
              <w:rPr>
                <w:sz w:val="20"/>
              </w:rPr>
              <w:t>James Hassett</w:t>
            </w:r>
          </w:p>
          <w:p>
            <w:pPr>
              <w:pStyle w:val="TableParagraph"/>
              <w:spacing w:line="229" w:lineRule="exact"/>
              <w:ind w:left="19"/>
              <w:rPr>
                <w:sz w:val="20"/>
              </w:rPr>
            </w:pPr>
            <w:r>
              <w:rPr>
                <w:b/>
                <w:sz w:val="20"/>
              </w:rPr>
              <w:t>BNP Paribas: </w:t>
            </w:r>
            <w:r>
              <w:rPr>
                <w:sz w:val="20"/>
              </w:rPr>
              <w:t>Adrian Boehler</w:t>
            </w:r>
          </w:p>
          <w:p>
            <w:pPr>
              <w:pStyle w:val="TableParagraph"/>
              <w:ind w:left="19"/>
              <w:rPr>
                <w:sz w:val="20"/>
              </w:rPr>
            </w:pPr>
            <w:r>
              <w:rPr>
                <w:b/>
                <w:sz w:val="20"/>
              </w:rPr>
              <w:t>British Bankers’ Association: </w:t>
            </w:r>
            <w:r>
              <w:rPr>
                <w:sz w:val="20"/>
              </w:rPr>
              <w:t>Ronald Kent</w:t>
            </w:r>
          </w:p>
          <w:p>
            <w:pPr>
              <w:pStyle w:val="TableParagraph"/>
              <w:spacing w:before="1"/>
              <w:ind w:left="19"/>
              <w:rPr>
                <w:sz w:val="20"/>
              </w:rPr>
            </w:pPr>
            <w:r>
              <w:rPr>
                <w:b/>
                <w:sz w:val="20"/>
              </w:rPr>
              <w:t>Deutsche Bank: </w:t>
            </w:r>
            <w:r>
              <w:rPr>
                <w:sz w:val="20"/>
              </w:rPr>
              <w:t>Russell Lascala</w:t>
            </w:r>
          </w:p>
          <w:p>
            <w:pPr>
              <w:pStyle w:val="TableParagraph"/>
              <w:spacing w:before="1"/>
              <w:ind w:left="19" w:right="4392"/>
              <w:rPr>
                <w:sz w:val="20"/>
              </w:rPr>
            </w:pPr>
            <w:r>
              <w:rPr>
                <w:b/>
                <w:sz w:val="20"/>
              </w:rPr>
              <w:t>FICC Markets Standards Board: </w:t>
            </w:r>
            <w:r>
              <w:rPr>
                <w:sz w:val="20"/>
              </w:rPr>
              <w:t>James Kemp </w:t>
            </w:r>
            <w:r>
              <w:rPr>
                <w:b/>
                <w:sz w:val="20"/>
              </w:rPr>
              <w:t>Financial Conduct Authority: </w:t>
            </w:r>
            <w:r>
              <w:rPr>
                <w:sz w:val="20"/>
              </w:rPr>
              <w:t>Jamie Black </w:t>
            </w:r>
            <w:r>
              <w:rPr>
                <w:b/>
                <w:sz w:val="20"/>
              </w:rPr>
              <w:t>Goldman Sachs: </w:t>
            </w:r>
            <w:r>
              <w:rPr>
                <w:sz w:val="20"/>
              </w:rPr>
              <w:t>Kayhan Mirza</w:t>
            </w:r>
          </w:p>
          <w:p>
            <w:pPr>
              <w:pStyle w:val="TableParagraph"/>
              <w:spacing w:line="229" w:lineRule="exact"/>
              <w:ind w:left="19"/>
              <w:rPr>
                <w:sz w:val="20"/>
              </w:rPr>
            </w:pPr>
            <w:r>
              <w:rPr>
                <w:b/>
                <w:sz w:val="20"/>
              </w:rPr>
              <w:t>HSBC: </w:t>
            </w:r>
            <w:r>
              <w:rPr>
                <w:sz w:val="20"/>
              </w:rPr>
              <w:t>Frederic Boillereau</w:t>
            </w:r>
          </w:p>
          <w:p>
            <w:pPr>
              <w:pStyle w:val="TableParagraph"/>
              <w:ind w:left="19"/>
              <w:rPr>
                <w:sz w:val="20"/>
              </w:rPr>
            </w:pPr>
            <w:r>
              <w:rPr>
                <w:b/>
                <w:sz w:val="20"/>
              </w:rPr>
              <w:t>Insight Investment: </w:t>
            </w:r>
            <w:r>
              <w:rPr>
                <w:sz w:val="20"/>
              </w:rPr>
              <w:t>Richard Purssell</w:t>
            </w:r>
          </w:p>
          <w:p>
            <w:pPr>
              <w:pStyle w:val="TableParagraph"/>
              <w:spacing w:before="1"/>
              <w:ind w:left="19" w:right="5632"/>
              <w:rPr>
                <w:sz w:val="20"/>
              </w:rPr>
            </w:pPr>
            <w:r>
              <w:rPr>
                <w:b/>
                <w:sz w:val="20"/>
              </w:rPr>
              <w:t>Rolls-Royce: </w:t>
            </w:r>
            <w:r>
              <w:rPr>
                <w:sz w:val="20"/>
              </w:rPr>
              <w:t>James Harvey </w:t>
            </w:r>
            <w:r>
              <w:rPr>
                <w:b/>
                <w:sz w:val="20"/>
              </w:rPr>
              <w:t>Saxo Bank: </w:t>
            </w:r>
            <w:r>
              <w:rPr>
                <w:sz w:val="20"/>
              </w:rPr>
              <w:t>Kurt Vom Scheidt </w:t>
            </w:r>
            <w:r>
              <w:rPr>
                <w:b/>
                <w:sz w:val="20"/>
              </w:rPr>
              <w:t>Shell: </w:t>
            </w:r>
            <w:r>
              <w:rPr>
                <w:sz w:val="20"/>
              </w:rPr>
              <w:t>Frances Hinden</w:t>
            </w:r>
          </w:p>
          <w:p>
            <w:pPr>
              <w:pStyle w:val="TableParagraph"/>
              <w:spacing w:line="229" w:lineRule="exact"/>
              <w:ind w:left="19"/>
              <w:rPr>
                <w:sz w:val="20"/>
              </w:rPr>
            </w:pPr>
            <w:r>
              <w:rPr>
                <w:b/>
                <w:sz w:val="20"/>
              </w:rPr>
              <w:t>The Investment Association: </w:t>
            </w:r>
            <w:r>
              <w:rPr>
                <w:sz w:val="20"/>
              </w:rPr>
              <w:t>Galina Dimitrova</w:t>
            </w:r>
          </w:p>
          <w:p>
            <w:pPr>
              <w:pStyle w:val="TableParagraph"/>
              <w:ind w:left="19"/>
              <w:rPr>
                <w:sz w:val="20"/>
              </w:rPr>
            </w:pPr>
            <w:r>
              <w:rPr>
                <w:b/>
                <w:sz w:val="20"/>
              </w:rPr>
              <w:t>Thomson Reuters: </w:t>
            </w:r>
            <w:r>
              <w:rPr>
                <w:sz w:val="20"/>
              </w:rPr>
              <w:t>Neill Penney, Paul Clarke (Guest speaker), Shirley Barrow (Guest Speaker)</w:t>
            </w:r>
          </w:p>
          <w:p>
            <w:pPr>
              <w:pStyle w:val="TableParagraph"/>
              <w:ind w:left="19"/>
              <w:rPr>
                <w:sz w:val="20"/>
              </w:rPr>
            </w:pPr>
            <w:r>
              <w:rPr>
                <w:b/>
                <w:sz w:val="20"/>
              </w:rPr>
              <w:t>Tullett Prebon: </w:t>
            </w:r>
            <w:r>
              <w:rPr>
                <w:sz w:val="20"/>
              </w:rPr>
              <w:t>James Potter</w:t>
            </w:r>
          </w:p>
          <w:p>
            <w:pPr>
              <w:pStyle w:val="TableParagraph"/>
              <w:spacing w:before="1"/>
              <w:ind w:left="19"/>
              <w:rPr>
                <w:sz w:val="20"/>
              </w:rPr>
            </w:pPr>
            <w:r>
              <w:rPr>
                <w:b/>
                <w:sz w:val="20"/>
              </w:rPr>
              <w:t>UBS: </w:t>
            </w:r>
            <w:r>
              <w:rPr>
                <w:sz w:val="20"/>
              </w:rPr>
              <w:t>George Athanasopoulos</w:t>
            </w:r>
          </w:p>
          <w:p>
            <w:pPr>
              <w:pStyle w:val="TableParagraph"/>
              <w:ind w:left="19" w:right="2865"/>
              <w:rPr>
                <w:sz w:val="20"/>
              </w:rPr>
            </w:pPr>
            <w:r>
              <w:rPr>
                <w:b/>
                <w:sz w:val="20"/>
              </w:rPr>
              <w:t>Wholesale Markets Brokers’ Association: </w:t>
            </w:r>
            <w:r>
              <w:rPr>
                <w:sz w:val="20"/>
              </w:rPr>
              <w:t>David Clark </w:t>
            </w:r>
            <w:r>
              <w:rPr>
                <w:b/>
                <w:sz w:val="20"/>
              </w:rPr>
              <w:t>Goldman Sachs</w:t>
            </w:r>
            <w:r>
              <w:rPr>
                <w:sz w:val="20"/>
              </w:rPr>
              <w:t>: Dan Parker (Chair, Legal Sub-committee) </w:t>
            </w:r>
            <w:r>
              <w:rPr>
                <w:b/>
                <w:sz w:val="20"/>
              </w:rPr>
              <w:t>RBC: </w:t>
            </w:r>
            <w:r>
              <w:rPr>
                <w:sz w:val="20"/>
              </w:rPr>
              <w:t>Isabelle Dennigan (Chair, Operations Sub-committee)</w:t>
            </w:r>
          </w:p>
          <w:p>
            <w:pPr>
              <w:pStyle w:val="TableParagraph"/>
              <w:spacing w:line="278" w:lineRule="auto" w:before="2"/>
              <w:ind w:left="19" w:right="-15"/>
              <w:jc w:val="both"/>
              <w:rPr>
                <w:sz w:val="20"/>
              </w:rPr>
            </w:pPr>
            <w:r>
              <w:rPr>
                <w:b/>
                <w:sz w:val="20"/>
              </w:rPr>
              <w:t>Bank of England: </w:t>
            </w:r>
            <w:r>
              <w:rPr>
                <w:sz w:val="20"/>
              </w:rPr>
              <w:t>Chris Salmon (Chair), Rebecca Jackson, David Edmunds, Jonathan Grant, Grigoria Christodoulou (Secretariat), Tom Lynch (Secretariat), Chris Cox, Alex Hutton, James O’Connor, Hannah Reynolds, Jan Lasik, Ed Ocampo</w:t>
            </w:r>
          </w:p>
        </w:tc>
      </w:tr>
      <w:tr>
        <w:trPr>
          <w:trHeight w:val="1044" w:hRule="atLeast"/>
        </w:trPr>
        <w:tc>
          <w:tcPr>
            <w:tcW w:w="976" w:type="dxa"/>
          </w:tcPr>
          <w:p>
            <w:pPr>
              <w:pStyle w:val="TableParagraph"/>
              <w:spacing w:before="128"/>
              <w:ind w:left="2"/>
              <w:rPr>
                <w:sz w:val="20"/>
              </w:rPr>
            </w:pPr>
            <w:r>
              <w:rPr>
                <w:sz w:val="20"/>
              </w:rPr>
              <w:t>Apologies:</w:t>
            </w:r>
          </w:p>
        </w:tc>
        <w:tc>
          <w:tcPr>
            <w:tcW w:w="8666" w:type="dxa"/>
          </w:tcPr>
          <w:p>
            <w:pPr>
              <w:pStyle w:val="TableParagraph"/>
              <w:spacing w:line="229" w:lineRule="exact" w:before="126"/>
              <w:ind w:left="19"/>
              <w:rPr>
                <w:sz w:val="20"/>
              </w:rPr>
            </w:pPr>
            <w:r>
              <w:rPr>
                <w:b/>
                <w:sz w:val="20"/>
              </w:rPr>
              <w:t>Bank of China: </w:t>
            </w:r>
            <w:r>
              <w:rPr>
                <w:sz w:val="20"/>
              </w:rPr>
              <w:t>Wang Yan</w:t>
            </w:r>
          </w:p>
          <w:p>
            <w:pPr>
              <w:pStyle w:val="TableParagraph"/>
              <w:spacing w:line="229" w:lineRule="exact"/>
              <w:ind w:left="19"/>
              <w:rPr>
                <w:sz w:val="20"/>
              </w:rPr>
            </w:pPr>
            <w:r>
              <w:rPr>
                <w:b/>
                <w:sz w:val="20"/>
              </w:rPr>
              <w:t>CLS: </w:t>
            </w:r>
            <w:r>
              <w:rPr>
                <w:sz w:val="20"/>
              </w:rPr>
              <w:t>David Puth</w:t>
            </w:r>
          </w:p>
          <w:p>
            <w:pPr>
              <w:pStyle w:val="TableParagraph"/>
              <w:ind w:left="19"/>
              <w:rPr>
                <w:sz w:val="20"/>
              </w:rPr>
            </w:pPr>
            <w:r>
              <w:rPr>
                <w:b/>
                <w:sz w:val="20"/>
              </w:rPr>
              <w:t>Millennium Global Investments: </w:t>
            </w:r>
            <w:r>
              <w:rPr>
                <w:sz w:val="20"/>
              </w:rPr>
              <w:t>Lisa Scott-Smith</w:t>
            </w:r>
          </w:p>
          <w:p>
            <w:pPr>
              <w:pStyle w:val="TableParagraph"/>
              <w:spacing w:line="210" w:lineRule="exact" w:before="1"/>
              <w:ind w:left="19"/>
              <w:rPr>
                <w:sz w:val="20"/>
              </w:rPr>
            </w:pPr>
            <w:r>
              <w:rPr>
                <w:b/>
                <w:sz w:val="20"/>
              </w:rPr>
              <w:t>XTX Markets: </w:t>
            </w:r>
            <w:r>
              <w:rPr>
                <w:sz w:val="20"/>
              </w:rPr>
              <w:t>Zar Amrolia</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r>
        <w:rPr/>
        <w:pict>
          <v:shape style="position:absolute;margin-left:55.799999pt;margin-top:11.732919pt;width:482.9pt;height:.1pt;mso-position-horizontal-relative:page;mso-position-vertical-relative:paragraph;z-index:-251658240;mso-wrap-distance-left:0;mso-wrap-distance-right:0" coordorigin="1116,235" coordsize="9658,0" path="m1116,235l10774,235e" filled="false" stroked="true" strokeweight=".23999pt" strokecolor="#000000">
            <v:path arrowok="t"/>
            <v:stroke dashstyle="solid"/>
            <w10:wrap type="topAndBottom"/>
          </v:shape>
        </w:pict>
      </w:r>
    </w:p>
    <w:p>
      <w:pPr>
        <w:spacing w:after="0"/>
        <w:rPr>
          <w:sz w:val="16"/>
        </w:rPr>
        <w:sectPr>
          <w:type w:val="continuous"/>
          <w:pgSz w:w="11910" w:h="16840"/>
          <w:pgMar w:top="880" w:bottom="280" w:left="940" w:right="1020"/>
        </w:sectPr>
      </w:pPr>
    </w:p>
    <w:p>
      <w:pPr>
        <w:pStyle w:val="BodyText"/>
        <w:spacing w:before="4"/>
      </w:pPr>
    </w:p>
    <w:tbl>
      <w:tblPr>
        <w:tblW w:w="0" w:type="auto"/>
        <w:jc w:val="left"/>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0"/>
        <w:gridCol w:w="4042"/>
        <w:gridCol w:w="4673"/>
      </w:tblGrid>
      <w:tr>
        <w:trPr>
          <w:trHeight w:val="809" w:hRule="atLeast"/>
        </w:trPr>
        <w:tc>
          <w:tcPr>
            <w:tcW w:w="930" w:type="dxa"/>
            <w:tcBorders>
              <w:top w:val="single" w:sz="2" w:space="0" w:color="000000"/>
            </w:tcBorders>
          </w:tcPr>
          <w:p>
            <w:pPr>
              <w:pStyle w:val="TableParagraph"/>
              <w:spacing w:before="6"/>
              <w:ind w:left="0"/>
              <w:rPr>
                <w:sz w:val="19"/>
              </w:rPr>
            </w:pPr>
          </w:p>
          <w:p>
            <w:pPr>
              <w:pStyle w:val="TableParagraph"/>
              <w:ind w:left="110" w:right="155"/>
              <w:rPr>
                <w:b/>
                <w:sz w:val="20"/>
              </w:rPr>
            </w:pPr>
            <w:r>
              <w:rPr>
                <w:b/>
                <w:sz w:val="20"/>
              </w:rPr>
              <w:t>Minute no.</w:t>
            </w:r>
          </w:p>
        </w:tc>
        <w:tc>
          <w:tcPr>
            <w:tcW w:w="4042" w:type="dxa"/>
            <w:tcBorders>
              <w:top w:val="single" w:sz="2" w:space="0" w:color="000000"/>
            </w:tcBorders>
          </w:tcPr>
          <w:p>
            <w:pPr>
              <w:pStyle w:val="TableParagraph"/>
              <w:spacing w:before="6"/>
              <w:ind w:left="0"/>
              <w:rPr>
                <w:sz w:val="19"/>
              </w:rPr>
            </w:pPr>
          </w:p>
          <w:p>
            <w:pPr>
              <w:pStyle w:val="TableParagraph"/>
              <w:rPr>
                <w:b/>
                <w:sz w:val="20"/>
              </w:rPr>
            </w:pPr>
            <w:r>
              <w:rPr>
                <w:b/>
                <w:sz w:val="20"/>
              </w:rPr>
              <w:t>Minute</w:t>
            </w:r>
          </w:p>
        </w:tc>
        <w:tc>
          <w:tcPr>
            <w:tcW w:w="4673" w:type="dxa"/>
            <w:tcBorders>
              <w:top w:val="single" w:sz="2" w:space="0" w:color="000000"/>
            </w:tcBorders>
          </w:tcPr>
          <w:p>
            <w:pPr>
              <w:pStyle w:val="TableParagraph"/>
              <w:spacing w:before="6"/>
              <w:ind w:left="0"/>
              <w:rPr>
                <w:sz w:val="19"/>
              </w:rPr>
            </w:pPr>
          </w:p>
          <w:p>
            <w:pPr>
              <w:pStyle w:val="TableParagraph"/>
              <w:ind w:left="2885" w:right="185"/>
              <w:jc w:val="right"/>
              <w:rPr>
                <w:b/>
                <w:sz w:val="20"/>
              </w:rPr>
            </w:pPr>
            <w:r>
              <w:rPr>
                <w:b/>
                <w:sz w:val="20"/>
              </w:rPr>
              <w:t>Action owner</w:t>
            </w:r>
            <w:r>
              <w:rPr>
                <w:b/>
                <w:w w:val="99"/>
                <w:sz w:val="20"/>
              </w:rPr>
              <w:t> </w:t>
            </w:r>
            <w:r>
              <w:rPr>
                <w:b/>
                <w:sz w:val="20"/>
              </w:rPr>
              <w:t>and due date</w:t>
            </w:r>
          </w:p>
        </w:tc>
      </w:tr>
      <w:tr>
        <w:trPr>
          <w:trHeight w:val="2322" w:hRule="atLeast"/>
        </w:trPr>
        <w:tc>
          <w:tcPr>
            <w:tcW w:w="930" w:type="dxa"/>
          </w:tcPr>
          <w:p>
            <w:pPr>
              <w:pStyle w:val="TableParagraph"/>
              <w:spacing w:before="119"/>
              <w:ind w:left="110"/>
              <w:rPr>
                <w:sz w:val="20"/>
              </w:rPr>
            </w:pPr>
            <w:r>
              <w:rPr>
                <w:sz w:val="20"/>
              </w:rPr>
              <w:t>1.</w:t>
            </w:r>
          </w:p>
        </w:tc>
        <w:tc>
          <w:tcPr>
            <w:tcW w:w="8715" w:type="dxa"/>
            <w:gridSpan w:val="2"/>
          </w:tcPr>
          <w:p>
            <w:pPr>
              <w:pStyle w:val="TableParagraph"/>
              <w:spacing w:before="117"/>
              <w:jc w:val="both"/>
              <w:rPr>
                <w:b/>
                <w:sz w:val="20"/>
              </w:rPr>
            </w:pPr>
            <w:r>
              <w:rPr>
                <w:b/>
                <w:sz w:val="20"/>
              </w:rPr>
              <w:t>Welcome and apologies</w:t>
            </w:r>
          </w:p>
          <w:p>
            <w:pPr>
              <w:pStyle w:val="TableParagraph"/>
              <w:spacing w:before="2"/>
              <w:ind w:right="1667"/>
              <w:jc w:val="both"/>
              <w:rPr>
                <w:sz w:val="20"/>
              </w:rPr>
            </w:pPr>
            <w:r>
              <w:rPr>
                <w:sz w:val="20"/>
              </w:rPr>
              <w:t>Apologies were received from Wang Yan, David Puth, Lisa Scott-Smith and Zar Amrolia. The Chair welcomed guest speakers Paul Clarke and Shirley Barrow (Thomson Reuters).</w:t>
            </w:r>
          </w:p>
          <w:p>
            <w:pPr>
              <w:pStyle w:val="TableParagraph"/>
              <w:spacing w:before="9"/>
              <w:ind w:left="0"/>
              <w:rPr>
                <w:sz w:val="20"/>
              </w:rPr>
            </w:pPr>
          </w:p>
          <w:p>
            <w:pPr>
              <w:pStyle w:val="TableParagraph"/>
              <w:ind w:right="1667"/>
              <w:jc w:val="both"/>
              <w:rPr>
                <w:sz w:val="20"/>
              </w:rPr>
            </w:pPr>
            <w:r>
              <w:rPr>
                <w:sz w:val="20"/>
              </w:rPr>
              <w:t>Ahead of the second agenda item the Chair reminded the committee of David Clark’s (Wholesale Markets Brokers’ Association) role on the Board of Thomson Reuters Benchmark Services Limited which administers the World Markets (WM) fixing, and his role as chair of the WM Oversight Committee.</w:t>
            </w:r>
          </w:p>
        </w:tc>
      </w:tr>
      <w:tr>
        <w:trPr>
          <w:trHeight w:val="1849" w:hRule="atLeast"/>
        </w:trPr>
        <w:tc>
          <w:tcPr>
            <w:tcW w:w="930" w:type="dxa"/>
          </w:tcPr>
          <w:p>
            <w:pPr>
              <w:pStyle w:val="TableParagraph"/>
              <w:spacing w:before="118"/>
              <w:ind w:left="110"/>
              <w:rPr>
                <w:sz w:val="20"/>
              </w:rPr>
            </w:pPr>
            <w:r>
              <w:rPr>
                <w:sz w:val="20"/>
              </w:rPr>
              <w:t>2.</w:t>
            </w:r>
          </w:p>
        </w:tc>
        <w:tc>
          <w:tcPr>
            <w:tcW w:w="8715" w:type="dxa"/>
            <w:gridSpan w:val="2"/>
          </w:tcPr>
          <w:p>
            <w:pPr>
              <w:pStyle w:val="TableParagraph"/>
              <w:spacing w:before="115"/>
              <w:jc w:val="both"/>
              <w:rPr>
                <w:b/>
                <w:sz w:val="20"/>
              </w:rPr>
            </w:pPr>
            <w:r>
              <w:rPr>
                <w:b/>
                <w:sz w:val="20"/>
              </w:rPr>
              <w:t>WM/R fixing update by Thomson Reuters</w:t>
            </w:r>
          </w:p>
          <w:p>
            <w:pPr>
              <w:pStyle w:val="TableParagraph"/>
              <w:spacing w:before="1"/>
              <w:ind w:right="1666"/>
              <w:jc w:val="both"/>
              <w:rPr>
                <w:sz w:val="20"/>
              </w:rPr>
            </w:pPr>
            <w:r>
              <w:rPr>
                <w:sz w:val="20"/>
              </w:rPr>
              <w:t>Neill Penney, Paul Clarke and Shirley Barrow (Thomson Reuters) provided an update on WM/R benchmark fixings. They presented an overview of recent changes to their governance model underpinning the fixing process, and followed with some observations on trading activity in and around the fixing window, with a focus on changes since the move to a 5-minute window (from 1-minute) for the 4pm</w:t>
            </w:r>
            <w:r>
              <w:rPr>
                <w:spacing w:val="1"/>
                <w:sz w:val="20"/>
              </w:rPr>
              <w:t> </w:t>
            </w:r>
            <w:r>
              <w:rPr>
                <w:sz w:val="20"/>
              </w:rPr>
              <w:t>fixing.</w:t>
            </w:r>
          </w:p>
        </w:tc>
      </w:tr>
      <w:tr>
        <w:trPr>
          <w:trHeight w:val="930" w:hRule="atLeast"/>
        </w:trPr>
        <w:tc>
          <w:tcPr>
            <w:tcW w:w="930" w:type="dxa"/>
          </w:tcPr>
          <w:p>
            <w:pPr>
              <w:pStyle w:val="TableParagraph"/>
              <w:spacing w:before="116"/>
              <w:ind w:left="110"/>
              <w:rPr>
                <w:sz w:val="20"/>
              </w:rPr>
            </w:pPr>
            <w:r>
              <w:rPr>
                <w:sz w:val="20"/>
              </w:rPr>
              <w:t>3.</w:t>
            </w:r>
          </w:p>
        </w:tc>
        <w:tc>
          <w:tcPr>
            <w:tcW w:w="8715" w:type="dxa"/>
            <w:gridSpan w:val="2"/>
          </w:tcPr>
          <w:p>
            <w:pPr>
              <w:pStyle w:val="TableParagraph"/>
              <w:spacing w:before="114"/>
              <w:rPr>
                <w:b/>
                <w:sz w:val="20"/>
              </w:rPr>
            </w:pPr>
            <w:r>
              <w:rPr>
                <w:b/>
                <w:sz w:val="20"/>
              </w:rPr>
              <w:t>Minutes of 13 March 2017 meeting and matters arising</w:t>
            </w:r>
          </w:p>
          <w:p>
            <w:pPr>
              <w:pStyle w:val="TableParagraph"/>
              <w:spacing w:before="3"/>
              <w:ind w:right="1091"/>
              <w:rPr>
                <w:sz w:val="20"/>
              </w:rPr>
            </w:pPr>
            <w:r>
              <w:rPr>
                <w:sz w:val="20"/>
              </w:rPr>
              <w:t>The minutes of the March 2017 meeting were agreed. There were no matters arising.</w:t>
            </w:r>
          </w:p>
        </w:tc>
      </w:tr>
      <w:tr>
        <w:trPr>
          <w:trHeight w:val="1389" w:hRule="atLeast"/>
        </w:trPr>
        <w:tc>
          <w:tcPr>
            <w:tcW w:w="930" w:type="dxa"/>
          </w:tcPr>
          <w:p>
            <w:pPr>
              <w:pStyle w:val="TableParagraph"/>
              <w:spacing w:before="118"/>
              <w:ind w:left="110"/>
              <w:rPr>
                <w:sz w:val="20"/>
              </w:rPr>
            </w:pPr>
            <w:r>
              <w:rPr>
                <w:sz w:val="20"/>
              </w:rPr>
              <w:t>4.</w:t>
            </w:r>
          </w:p>
        </w:tc>
        <w:tc>
          <w:tcPr>
            <w:tcW w:w="8715" w:type="dxa"/>
            <w:gridSpan w:val="2"/>
          </w:tcPr>
          <w:p>
            <w:pPr>
              <w:pStyle w:val="TableParagraph"/>
              <w:spacing w:before="115"/>
              <w:jc w:val="both"/>
              <w:rPr>
                <w:b/>
                <w:sz w:val="20"/>
              </w:rPr>
            </w:pPr>
            <w:r>
              <w:rPr>
                <w:b/>
                <w:sz w:val="20"/>
              </w:rPr>
              <w:t>FX Market Developments – innovation and industry initiatives</w:t>
            </w:r>
          </w:p>
          <w:p>
            <w:pPr>
              <w:pStyle w:val="TableParagraph"/>
              <w:spacing w:before="3"/>
              <w:ind w:right="1661"/>
              <w:jc w:val="both"/>
              <w:rPr>
                <w:sz w:val="20"/>
              </w:rPr>
            </w:pPr>
            <w:r>
              <w:rPr>
                <w:sz w:val="20"/>
              </w:rPr>
              <w:t>James O’Connor (Bank of England) opened a discussion on recently observed industry initiatives and innovations. The committee discussed various topics including the influence of algorithmic trading, and an increasing focus on Transaction Cost Analysis.</w:t>
            </w:r>
          </w:p>
        </w:tc>
      </w:tr>
      <w:tr>
        <w:trPr>
          <w:trHeight w:val="1390" w:hRule="atLeast"/>
        </w:trPr>
        <w:tc>
          <w:tcPr>
            <w:tcW w:w="930" w:type="dxa"/>
          </w:tcPr>
          <w:p>
            <w:pPr>
              <w:pStyle w:val="TableParagraph"/>
              <w:spacing w:before="118"/>
              <w:ind w:left="110"/>
              <w:rPr>
                <w:sz w:val="20"/>
              </w:rPr>
            </w:pPr>
            <w:r>
              <w:rPr>
                <w:sz w:val="20"/>
              </w:rPr>
              <w:t>5.</w:t>
            </w:r>
          </w:p>
        </w:tc>
        <w:tc>
          <w:tcPr>
            <w:tcW w:w="8715" w:type="dxa"/>
            <w:gridSpan w:val="2"/>
          </w:tcPr>
          <w:p>
            <w:pPr>
              <w:pStyle w:val="TableParagraph"/>
              <w:spacing w:before="115"/>
              <w:jc w:val="both"/>
              <w:rPr>
                <w:b/>
                <w:sz w:val="20"/>
              </w:rPr>
            </w:pPr>
            <w:r>
              <w:rPr>
                <w:b/>
                <w:sz w:val="20"/>
              </w:rPr>
              <w:t>Financial Conduct Authority Update</w:t>
            </w:r>
          </w:p>
          <w:p>
            <w:pPr>
              <w:pStyle w:val="TableParagraph"/>
              <w:spacing w:before="3"/>
              <w:ind w:right="1666"/>
              <w:jc w:val="both"/>
              <w:rPr>
                <w:sz w:val="20"/>
              </w:rPr>
            </w:pPr>
            <w:r>
              <w:rPr>
                <w:sz w:val="20"/>
              </w:rPr>
              <w:t>Jamie Black (Financial Conduct Authority) informed the committee that the FCA’s Mission was published on 5 May 2017. The full statement can be found on the FCA’s </w:t>
            </w:r>
            <w:hyperlink r:id="rId6">
              <w:r>
                <w:rPr>
                  <w:color w:val="0000FF"/>
                  <w:sz w:val="20"/>
                  <w:u w:val="single" w:color="0000FF"/>
                </w:rPr>
                <w:t>website</w:t>
              </w:r>
              <w:r>
                <w:rPr>
                  <w:sz w:val="20"/>
                </w:rPr>
                <w:t>. </w:t>
              </w:r>
            </w:hyperlink>
            <w:r>
              <w:rPr>
                <w:sz w:val="20"/>
              </w:rPr>
              <w:t>Jamie Black highlighted that the report covered their approach to unregulated</w:t>
            </w:r>
            <w:r>
              <w:rPr>
                <w:spacing w:val="2"/>
                <w:sz w:val="20"/>
              </w:rPr>
              <w:t> </w:t>
            </w:r>
            <w:r>
              <w:rPr>
                <w:sz w:val="20"/>
              </w:rPr>
              <w:t>activities.</w:t>
            </w:r>
          </w:p>
        </w:tc>
      </w:tr>
      <w:tr>
        <w:trPr>
          <w:trHeight w:val="5416" w:hRule="atLeast"/>
        </w:trPr>
        <w:tc>
          <w:tcPr>
            <w:tcW w:w="930" w:type="dxa"/>
          </w:tcPr>
          <w:p>
            <w:pPr>
              <w:pStyle w:val="TableParagraph"/>
              <w:spacing w:before="118"/>
              <w:ind w:left="110"/>
              <w:rPr>
                <w:sz w:val="20"/>
              </w:rPr>
            </w:pPr>
            <w:r>
              <w:rPr>
                <w:sz w:val="20"/>
              </w:rPr>
              <w:t>6.</w:t>
            </w:r>
          </w:p>
        </w:tc>
        <w:tc>
          <w:tcPr>
            <w:tcW w:w="8715" w:type="dxa"/>
            <w:gridSpan w:val="2"/>
          </w:tcPr>
          <w:p>
            <w:pPr>
              <w:pStyle w:val="TableParagraph"/>
              <w:spacing w:before="115"/>
              <w:jc w:val="both"/>
              <w:rPr>
                <w:b/>
                <w:sz w:val="20"/>
              </w:rPr>
            </w:pPr>
            <w:r>
              <w:rPr>
                <w:b/>
                <w:sz w:val="20"/>
              </w:rPr>
              <w:t>Updates from sub-committees</w:t>
            </w:r>
          </w:p>
          <w:p>
            <w:pPr>
              <w:pStyle w:val="TableParagraph"/>
              <w:spacing w:before="1"/>
              <w:jc w:val="both"/>
              <w:rPr>
                <w:i/>
                <w:sz w:val="20"/>
              </w:rPr>
            </w:pPr>
            <w:r>
              <w:rPr>
                <w:i/>
                <w:sz w:val="20"/>
              </w:rPr>
              <w:t>Operations Sub-Committee</w:t>
            </w:r>
          </w:p>
          <w:p>
            <w:pPr>
              <w:pStyle w:val="TableParagraph"/>
              <w:spacing w:before="2"/>
              <w:ind w:right="1665"/>
              <w:jc w:val="both"/>
              <w:rPr>
                <w:sz w:val="20"/>
              </w:rPr>
            </w:pPr>
            <w:r>
              <w:rPr>
                <w:sz w:val="20"/>
              </w:rPr>
              <w:t>Isabelle Dennigan (Chair of Operations Sub-Committee) provided an overview of the work being undertaken by the sub-committee. The Operations Sub-Committee met on 3 May 2017 and received two presentations: (i) on the 7 October ‘flash event’ during which sterling depreciated by around 9% versus the USD in early Asian trading; and (ii) an industry update from CLS, including products currently under</w:t>
            </w:r>
            <w:r>
              <w:rPr>
                <w:spacing w:val="-12"/>
                <w:sz w:val="20"/>
              </w:rPr>
              <w:t> </w:t>
            </w:r>
            <w:r>
              <w:rPr>
                <w:sz w:val="20"/>
              </w:rPr>
              <w:t>development.</w:t>
            </w:r>
          </w:p>
          <w:p>
            <w:pPr>
              <w:pStyle w:val="TableParagraph"/>
              <w:spacing w:before="1"/>
              <w:ind w:left="0"/>
              <w:rPr>
                <w:sz w:val="20"/>
              </w:rPr>
            </w:pPr>
          </w:p>
          <w:p>
            <w:pPr>
              <w:pStyle w:val="TableParagraph"/>
              <w:ind w:right="1669"/>
              <w:jc w:val="both"/>
              <w:rPr>
                <w:sz w:val="20"/>
              </w:rPr>
            </w:pPr>
            <w:r>
              <w:rPr>
                <w:sz w:val="20"/>
              </w:rPr>
              <w:t>The implementation of MiFID II has been a key focus for the Operations Sub- Committee, discussing the operational, structural and client reporting implication for institutions. Isabelle Dennigan also noted the Operations Sub- Committee will be reviewing membership shortly.</w:t>
            </w:r>
          </w:p>
          <w:p>
            <w:pPr>
              <w:pStyle w:val="TableParagraph"/>
              <w:spacing w:before="7"/>
              <w:ind w:left="0"/>
              <w:rPr>
                <w:sz w:val="20"/>
              </w:rPr>
            </w:pPr>
          </w:p>
          <w:p>
            <w:pPr>
              <w:pStyle w:val="TableParagraph"/>
              <w:jc w:val="both"/>
              <w:rPr>
                <w:i/>
                <w:sz w:val="20"/>
              </w:rPr>
            </w:pPr>
            <w:r>
              <w:rPr>
                <w:i/>
                <w:sz w:val="20"/>
              </w:rPr>
              <w:t>Legal Sub-Committee</w:t>
            </w:r>
          </w:p>
          <w:p>
            <w:pPr>
              <w:pStyle w:val="TableParagraph"/>
              <w:spacing w:before="3"/>
              <w:ind w:right="1669"/>
              <w:jc w:val="both"/>
              <w:rPr>
                <w:sz w:val="20"/>
              </w:rPr>
            </w:pPr>
            <w:r>
              <w:rPr>
                <w:sz w:val="20"/>
              </w:rPr>
              <w:t>Dan Parker (Chair of Legal Sub-Committee) provided an overview of work being undertaken by the sub-committee. The Legal Sub-Committee met on 20 April 2017 and also received a presentation on the 7 October ‘flash</w:t>
            </w:r>
            <w:r>
              <w:rPr>
                <w:spacing w:val="-25"/>
                <w:sz w:val="20"/>
              </w:rPr>
              <w:t> </w:t>
            </w:r>
            <w:r>
              <w:rPr>
                <w:sz w:val="20"/>
              </w:rPr>
              <w:t>event’.</w:t>
            </w:r>
          </w:p>
          <w:p>
            <w:pPr>
              <w:pStyle w:val="TableParagraph"/>
              <w:spacing w:before="11"/>
              <w:ind w:left="0"/>
              <w:rPr>
                <w:sz w:val="19"/>
              </w:rPr>
            </w:pPr>
          </w:p>
          <w:p>
            <w:pPr>
              <w:pStyle w:val="TableParagraph"/>
              <w:ind w:right="1668"/>
              <w:jc w:val="both"/>
              <w:rPr>
                <w:sz w:val="20"/>
              </w:rPr>
            </w:pPr>
            <w:r>
              <w:rPr>
                <w:sz w:val="20"/>
              </w:rPr>
              <w:t>Dan Parker noted that among the topics the Legal Sub-Committee would be focusing  on   this   year  were  MiFID  II  and  Britain’s   withdrawal  from </w:t>
            </w:r>
            <w:r>
              <w:rPr>
                <w:spacing w:val="40"/>
                <w:sz w:val="20"/>
              </w:rPr>
              <w:t> </w:t>
            </w:r>
            <w:r>
              <w:rPr>
                <w:sz w:val="20"/>
              </w:rPr>
              <w:t>the</w:t>
            </w:r>
          </w:p>
          <w:p>
            <w:pPr>
              <w:pStyle w:val="TableParagraph"/>
              <w:spacing w:line="228" w:lineRule="exact" w:before="6"/>
              <w:ind w:right="1670"/>
              <w:jc w:val="both"/>
              <w:rPr>
                <w:sz w:val="20"/>
              </w:rPr>
            </w:pPr>
            <w:r>
              <w:rPr>
                <w:sz w:val="20"/>
              </w:rPr>
              <w:t>European Union. The Legal Sub-Committee is also undertaking a membership review.</w:t>
            </w:r>
          </w:p>
        </w:tc>
      </w:tr>
    </w:tbl>
    <w:p>
      <w:pPr>
        <w:spacing w:after="0" w:line="228" w:lineRule="exact"/>
        <w:jc w:val="both"/>
        <w:rPr>
          <w:sz w:val="20"/>
        </w:rPr>
        <w:sectPr>
          <w:headerReference w:type="default" r:id="rId5"/>
          <w:pgSz w:w="11910" w:h="16840"/>
          <w:pgMar w:header="571" w:footer="0" w:top="880" w:bottom="280" w:left="940" w:right="1020"/>
          <w:pgNumType w:start="2"/>
        </w:sectPr>
      </w:pPr>
    </w:p>
    <w:p>
      <w:pPr>
        <w:pStyle w:val="BodyText"/>
        <w:spacing w:before="6"/>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7486"/>
      </w:tblGrid>
      <w:tr>
        <w:trPr>
          <w:trHeight w:val="2889" w:hRule="atLeast"/>
        </w:trPr>
        <w:tc>
          <w:tcPr>
            <w:tcW w:w="779" w:type="dxa"/>
          </w:tcPr>
          <w:p>
            <w:pPr>
              <w:pStyle w:val="TableParagraph"/>
              <w:spacing w:line="225" w:lineRule="exact"/>
              <w:ind w:left="200"/>
              <w:rPr>
                <w:sz w:val="20"/>
              </w:rPr>
            </w:pPr>
            <w:r>
              <w:rPr>
                <w:sz w:val="20"/>
              </w:rPr>
              <w:t>7.</w:t>
            </w:r>
          </w:p>
        </w:tc>
        <w:tc>
          <w:tcPr>
            <w:tcW w:w="7486" w:type="dxa"/>
          </w:tcPr>
          <w:p>
            <w:pPr>
              <w:pStyle w:val="TableParagraph"/>
              <w:spacing w:line="223" w:lineRule="exact"/>
              <w:ind w:left="414"/>
              <w:jc w:val="both"/>
              <w:rPr>
                <w:b/>
                <w:sz w:val="20"/>
              </w:rPr>
            </w:pPr>
            <w:r>
              <w:rPr>
                <w:b/>
                <w:sz w:val="20"/>
              </w:rPr>
              <w:t>FX Global Code Update</w:t>
            </w:r>
          </w:p>
          <w:p>
            <w:pPr>
              <w:pStyle w:val="TableParagraph"/>
              <w:spacing w:before="3"/>
              <w:ind w:left="414" w:right="198"/>
              <w:jc w:val="both"/>
              <w:rPr>
                <w:sz w:val="20"/>
              </w:rPr>
            </w:pPr>
            <w:r>
              <w:rPr>
                <w:sz w:val="20"/>
              </w:rPr>
              <w:t>Chris Cox (Bank of England) noted that FX Global Code (Code) would be launched on Thursday 25 May. Alongside the Code publication, a report on adherence to the FX Global Code and a request for feedback on last look practises would be published, and a new Global Foreign Exchange Committee (GFXC) website launched.</w:t>
            </w:r>
          </w:p>
          <w:p>
            <w:pPr>
              <w:pStyle w:val="TableParagraph"/>
              <w:spacing w:before="9"/>
              <w:ind w:left="0"/>
              <w:rPr>
                <w:sz w:val="20"/>
              </w:rPr>
            </w:pPr>
          </w:p>
          <w:p>
            <w:pPr>
              <w:pStyle w:val="TableParagraph"/>
              <w:spacing w:before="1"/>
              <w:ind w:left="414" w:right="198"/>
              <w:jc w:val="both"/>
              <w:rPr>
                <w:sz w:val="20"/>
              </w:rPr>
            </w:pPr>
            <w:r>
              <w:rPr>
                <w:sz w:val="20"/>
              </w:rPr>
              <w:t>The Chair explained that the GFXC - which will maintain the Code going forward - will be formalised and expanded on Wednesday 24 May 2017. The GFXC comprises 16 local FXCs from across the globe, including the FXJSC. The Chair noted that Rebecca Jackson (Bank of England) and Lisa Scott- Smith (Millennium Global) will be representing the FXJSC at this meeting.</w:t>
            </w:r>
          </w:p>
        </w:tc>
      </w:tr>
      <w:tr>
        <w:trPr>
          <w:trHeight w:val="5524" w:hRule="atLeast"/>
        </w:trPr>
        <w:tc>
          <w:tcPr>
            <w:tcW w:w="779" w:type="dxa"/>
          </w:tcPr>
          <w:p>
            <w:pPr>
              <w:pStyle w:val="TableParagraph"/>
              <w:spacing w:before="118"/>
              <w:ind w:left="200"/>
              <w:rPr>
                <w:sz w:val="20"/>
              </w:rPr>
            </w:pPr>
            <w:r>
              <w:rPr>
                <w:sz w:val="20"/>
              </w:rPr>
              <w:t>8.</w:t>
            </w:r>
          </w:p>
        </w:tc>
        <w:tc>
          <w:tcPr>
            <w:tcW w:w="7486" w:type="dxa"/>
          </w:tcPr>
          <w:p>
            <w:pPr>
              <w:pStyle w:val="TableParagraph"/>
              <w:spacing w:line="229" w:lineRule="exact" w:before="115"/>
              <w:ind w:left="414"/>
              <w:jc w:val="both"/>
              <w:rPr>
                <w:b/>
                <w:sz w:val="20"/>
              </w:rPr>
            </w:pPr>
            <w:r>
              <w:rPr>
                <w:b/>
                <w:sz w:val="20"/>
              </w:rPr>
              <w:t>FXJSC Administration</w:t>
            </w:r>
          </w:p>
          <w:p>
            <w:pPr>
              <w:pStyle w:val="TableParagraph"/>
              <w:spacing w:line="229" w:lineRule="exact"/>
              <w:ind w:left="414"/>
              <w:jc w:val="both"/>
              <w:rPr>
                <w:i/>
                <w:sz w:val="20"/>
              </w:rPr>
            </w:pPr>
            <w:r>
              <w:rPr>
                <w:i/>
                <w:sz w:val="20"/>
              </w:rPr>
              <w:t>Terms of Reference</w:t>
            </w:r>
          </w:p>
          <w:p>
            <w:pPr>
              <w:pStyle w:val="TableParagraph"/>
              <w:spacing w:before="3"/>
              <w:ind w:left="414" w:right="196"/>
              <w:jc w:val="both"/>
              <w:rPr>
                <w:sz w:val="20"/>
              </w:rPr>
            </w:pPr>
            <w:r>
              <w:rPr>
                <w:sz w:val="20"/>
              </w:rPr>
              <w:t>Grigoria Christodoulou (Bank of England) explained that the FXJSC Terms of Reference will need to be reviewed after end-May to reflect the FXJSC’s membership of the GFXC, and to recognise the expectation of Code adherence for FXJSC members after an agreed upon transition period of 12 months. Based on extensive outreach with FXJSC members, the Chair expressed an expectation that most members would be in a position to provide the Secretariat with a Statement of Commitment by end-March 2018, with some flexibility for those that need it to utilise the full 12 month transition.</w:t>
            </w:r>
          </w:p>
          <w:p>
            <w:pPr>
              <w:pStyle w:val="TableParagraph"/>
              <w:spacing w:before="11"/>
              <w:ind w:left="0"/>
              <w:rPr>
                <w:sz w:val="19"/>
              </w:rPr>
            </w:pPr>
          </w:p>
          <w:p>
            <w:pPr>
              <w:pStyle w:val="TableParagraph"/>
              <w:ind w:left="414"/>
              <w:jc w:val="both"/>
              <w:rPr>
                <w:i/>
                <w:sz w:val="20"/>
              </w:rPr>
            </w:pPr>
            <w:r>
              <w:rPr>
                <w:i/>
                <w:sz w:val="20"/>
              </w:rPr>
              <w:t>Annual Update</w:t>
            </w:r>
          </w:p>
          <w:p>
            <w:pPr>
              <w:pStyle w:val="TableParagraph"/>
              <w:ind w:left="414" w:right="198"/>
              <w:jc w:val="both"/>
              <w:rPr>
                <w:sz w:val="20"/>
              </w:rPr>
            </w:pPr>
            <w:r>
              <w:rPr>
                <w:sz w:val="20"/>
              </w:rPr>
              <w:t>Grigoria Christodoulou (Bank of England) informed attendees that the FXJSC Annual Review article would be published in the Bank of England’s Q2 Quarterly Bulletin and a draft had been circulated to members for review with the meeting agenda. The article covers the work undertaken by the FXJSC Main Committee and its sub-committees during 2016.</w:t>
            </w:r>
          </w:p>
          <w:p>
            <w:pPr>
              <w:pStyle w:val="TableParagraph"/>
              <w:spacing w:before="10"/>
              <w:ind w:left="0"/>
              <w:rPr>
                <w:sz w:val="19"/>
              </w:rPr>
            </w:pPr>
          </w:p>
          <w:p>
            <w:pPr>
              <w:pStyle w:val="TableParagraph"/>
              <w:ind w:left="414"/>
              <w:jc w:val="both"/>
              <w:rPr>
                <w:i/>
                <w:sz w:val="20"/>
              </w:rPr>
            </w:pPr>
            <w:r>
              <w:rPr>
                <w:i/>
                <w:sz w:val="20"/>
              </w:rPr>
              <w:t>Membership review</w:t>
            </w:r>
          </w:p>
          <w:p>
            <w:pPr>
              <w:pStyle w:val="TableParagraph"/>
              <w:spacing w:before="3"/>
              <w:ind w:left="414" w:right="198"/>
              <w:jc w:val="both"/>
              <w:rPr>
                <w:sz w:val="20"/>
              </w:rPr>
            </w:pPr>
            <w:r>
              <w:rPr>
                <w:sz w:val="20"/>
              </w:rPr>
              <w:t>The Chair reported that a review of the FXJSC membership will take place before the next meeting to ensure the committee continues to be representative of the UK FX market. An update on progress will be given at the next meeting (20 September 2017).</w:t>
            </w:r>
          </w:p>
        </w:tc>
      </w:tr>
      <w:tr>
        <w:trPr>
          <w:trHeight w:val="802" w:hRule="atLeast"/>
        </w:trPr>
        <w:tc>
          <w:tcPr>
            <w:tcW w:w="779" w:type="dxa"/>
          </w:tcPr>
          <w:p>
            <w:pPr>
              <w:pStyle w:val="TableParagraph"/>
              <w:spacing w:before="112"/>
              <w:ind w:left="200"/>
              <w:rPr>
                <w:sz w:val="20"/>
              </w:rPr>
            </w:pPr>
            <w:r>
              <w:rPr>
                <w:sz w:val="20"/>
              </w:rPr>
              <w:t>9.</w:t>
            </w:r>
          </w:p>
        </w:tc>
        <w:tc>
          <w:tcPr>
            <w:tcW w:w="7486" w:type="dxa"/>
          </w:tcPr>
          <w:p>
            <w:pPr>
              <w:pStyle w:val="TableParagraph"/>
              <w:spacing w:before="109"/>
              <w:ind w:left="414"/>
              <w:rPr>
                <w:b/>
                <w:sz w:val="20"/>
              </w:rPr>
            </w:pPr>
            <w:r>
              <w:rPr>
                <w:b/>
                <w:sz w:val="20"/>
              </w:rPr>
              <w:t>Any other business</w:t>
            </w:r>
          </w:p>
          <w:p>
            <w:pPr>
              <w:pStyle w:val="TableParagraph"/>
              <w:spacing w:line="230" w:lineRule="atLeast" w:before="3"/>
              <w:ind w:left="414" w:right="154"/>
              <w:rPr>
                <w:sz w:val="20"/>
              </w:rPr>
            </w:pPr>
            <w:r>
              <w:rPr>
                <w:sz w:val="20"/>
              </w:rPr>
              <w:t>The next meeting of the FXJSC will be held on 20 September 2017 at the Bank of England.</w:t>
            </w:r>
          </w:p>
        </w:tc>
      </w:tr>
    </w:tbl>
    <w:sectPr>
      <w:pgSz w:w="11910" w:h="16840"/>
      <w:pgMar w:header="571" w:footer="0" w:top="880" w:bottom="280" w:left="9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880005pt;margin-top:27.543459pt;width:11.55pt;height:13.15pt;mso-position-horizontal-relative:page;mso-position-vertical-relative:page;z-index:-251885568"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ind w:left="173"/>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fca.org.uk/publications/corporate-documents/our-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Foreign Exchange Joint Standing Committee</dc:creator>
  <dc:subject>Minutes 11 May 2017</dc:subject>
  <dc:title>Foreign Exchange Joint Standing Committee Minutes 11 May 2017</dc:title>
  <dcterms:created xsi:type="dcterms:W3CDTF">2020-06-01T02:01:12Z</dcterms:created>
  <dcterms:modified xsi:type="dcterms:W3CDTF">2020-06-01T02:01:12Z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LastSaved">
    <vt:filetime>2020-06-01T00:00:00Z</vt:filetime>
  </property>
</Properties>
</file>