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left="1411" w:right="1351"/>
        <w:jc w:val="center"/>
      </w:pPr>
      <w:r>
        <w:rPr>
          <w:w w:val="105"/>
        </w:rPr>
        <w:t>FOREIGN EXCHANGE JOINT STANDING COMMITTEE</w:t>
      </w:r>
    </w:p>
    <w:p>
      <w:pPr>
        <w:pStyle w:val="BodyText"/>
        <w:spacing w:before="2"/>
        <w:rPr>
          <w:b/>
          <w:sz w:val="23"/>
        </w:rPr>
      </w:pPr>
    </w:p>
    <w:p>
      <w:pPr>
        <w:spacing w:before="0"/>
        <w:ind w:left="1410" w:right="1351" w:firstLine="0"/>
        <w:jc w:val="center"/>
        <w:rPr>
          <w:b/>
          <w:sz w:val="22"/>
        </w:rPr>
      </w:pPr>
      <w:r>
        <w:rPr>
          <w:b/>
          <w:w w:val="105"/>
          <w:sz w:val="22"/>
        </w:rPr>
        <w:t>Tuesday 17 November 2015</w:t>
      </w:r>
    </w:p>
    <w:p>
      <w:pPr>
        <w:pStyle w:val="BodyText"/>
        <w:spacing w:before="1"/>
        <w:rPr>
          <w:b/>
          <w:sz w:val="23"/>
        </w:rPr>
      </w:pPr>
    </w:p>
    <w:p>
      <w:pPr>
        <w:pStyle w:val="BodyText"/>
        <w:ind w:left="1411" w:right="1350"/>
        <w:jc w:val="center"/>
      </w:pPr>
      <w:r>
        <w:rPr>
          <w:w w:val="105"/>
        </w:rPr>
        <w:t>Bank of England, Threadneedle Street, London, EC2R 8AH</w:t>
      </w:r>
    </w:p>
    <w:p>
      <w:pPr>
        <w:pStyle w:val="BodyText"/>
        <w:spacing w:before="10"/>
        <w:rPr>
          <w:sz w:val="14"/>
        </w:rPr>
      </w:pPr>
    </w:p>
    <w:p>
      <w:pPr>
        <w:spacing w:before="96"/>
        <w:ind w:left="1411" w:right="1351" w:firstLine="0"/>
        <w:jc w:val="center"/>
        <w:rPr>
          <w:b/>
          <w:sz w:val="22"/>
        </w:rPr>
      </w:pPr>
      <w:r>
        <w:rPr>
          <w:b/>
          <w:w w:val="105"/>
          <w:sz w:val="22"/>
          <w:u w:val="thick"/>
        </w:rPr>
        <w:t>MINUTES</w:t>
      </w:r>
    </w:p>
    <w:p>
      <w:pPr>
        <w:spacing w:before="7"/>
        <w:ind w:left="552" w:right="0" w:firstLine="0"/>
        <w:jc w:val="left"/>
        <w:rPr>
          <w:b/>
          <w:sz w:val="22"/>
        </w:rPr>
      </w:pPr>
      <w:r>
        <w:rPr>
          <w:b/>
          <w:w w:val="105"/>
          <w:sz w:val="22"/>
        </w:rPr>
        <w:t>In Attendance</w:t>
      </w:r>
    </w:p>
    <w:p>
      <w:pPr>
        <w:pStyle w:val="BodyText"/>
        <w:spacing w:before="9"/>
        <w:rPr>
          <w:b/>
        </w:rPr>
      </w:pPr>
    </w:p>
    <w:tbl>
      <w:tblPr>
        <w:tblW w:w="0" w:type="auto"/>
        <w:jc w:val="left"/>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6"/>
        <w:gridCol w:w="4982"/>
      </w:tblGrid>
      <w:tr>
        <w:trPr>
          <w:trHeight w:val="290" w:hRule="atLeast"/>
        </w:trPr>
        <w:tc>
          <w:tcPr>
            <w:tcW w:w="3036" w:type="dxa"/>
          </w:tcPr>
          <w:p>
            <w:pPr>
              <w:pStyle w:val="TableParagraph"/>
              <w:spacing w:before="35"/>
              <w:rPr>
                <w:b/>
                <w:i/>
                <w:sz w:val="19"/>
              </w:rPr>
            </w:pPr>
            <w:r>
              <w:rPr>
                <w:b/>
                <w:i/>
                <w:sz w:val="19"/>
              </w:rPr>
              <w:t>Chris Salmon</w:t>
            </w:r>
          </w:p>
        </w:tc>
        <w:tc>
          <w:tcPr>
            <w:tcW w:w="4982" w:type="dxa"/>
          </w:tcPr>
          <w:p>
            <w:pPr>
              <w:pStyle w:val="TableParagraph"/>
              <w:spacing w:before="35"/>
              <w:rPr>
                <w:b/>
                <w:i/>
                <w:sz w:val="19"/>
              </w:rPr>
            </w:pPr>
            <w:r>
              <w:rPr>
                <w:b/>
                <w:i/>
                <w:sz w:val="19"/>
              </w:rPr>
              <w:t>Bank of England (Chair)</w:t>
            </w:r>
          </w:p>
        </w:tc>
      </w:tr>
      <w:tr>
        <w:trPr>
          <w:trHeight w:val="291" w:hRule="atLeast"/>
        </w:trPr>
        <w:tc>
          <w:tcPr>
            <w:tcW w:w="3036" w:type="dxa"/>
          </w:tcPr>
          <w:p>
            <w:pPr>
              <w:pStyle w:val="TableParagraph"/>
              <w:spacing w:before="36"/>
              <w:rPr>
                <w:b/>
                <w:i/>
                <w:sz w:val="19"/>
              </w:rPr>
            </w:pPr>
            <w:r>
              <w:rPr>
                <w:b/>
                <w:i/>
                <w:sz w:val="19"/>
              </w:rPr>
              <w:t>Jacqueline Joyston-Bechal</w:t>
            </w:r>
          </w:p>
        </w:tc>
        <w:tc>
          <w:tcPr>
            <w:tcW w:w="4982" w:type="dxa"/>
          </w:tcPr>
          <w:p>
            <w:pPr>
              <w:pStyle w:val="TableParagraph"/>
              <w:spacing w:before="36"/>
              <w:rPr>
                <w:b/>
                <w:i/>
                <w:sz w:val="19"/>
              </w:rPr>
            </w:pPr>
            <w:r>
              <w:rPr>
                <w:b/>
                <w:i/>
                <w:sz w:val="19"/>
              </w:rPr>
              <w:t>Bank of England (Legal)</w:t>
            </w:r>
          </w:p>
        </w:tc>
      </w:tr>
      <w:tr>
        <w:trPr>
          <w:trHeight w:val="291" w:hRule="atLeast"/>
        </w:trPr>
        <w:tc>
          <w:tcPr>
            <w:tcW w:w="3036" w:type="dxa"/>
          </w:tcPr>
          <w:p>
            <w:pPr>
              <w:pStyle w:val="TableParagraph"/>
              <w:spacing w:before="35"/>
              <w:rPr>
                <w:b/>
                <w:i/>
                <w:sz w:val="19"/>
              </w:rPr>
            </w:pPr>
            <w:r>
              <w:rPr>
                <w:b/>
                <w:i/>
                <w:sz w:val="19"/>
              </w:rPr>
              <w:t>Lisa Gupta</w:t>
            </w:r>
          </w:p>
        </w:tc>
        <w:tc>
          <w:tcPr>
            <w:tcW w:w="4982" w:type="dxa"/>
          </w:tcPr>
          <w:p>
            <w:pPr>
              <w:pStyle w:val="TableParagraph"/>
              <w:spacing w:before="35"/>
              <w:rPr>
                <w:b/>
                <w:i/>
                <w:sz w:val="19"/>
              </w:rPr>
            </w:pPr>
            <w:r>
              <w:rPr>
                <w:b/>
                <w:i/>
                <w:sz w:val="19"/>
              </w:rPr>
              <w:t>Bank of England (Secretariat)</w:t>
            </w:r>
          </w:p>
        </w:tc>
      </w:tr>
      <w:tr>
        <w:trPr>
          <w:trHeight w:val="290" w:hRule="atLeast"/>
        </w:trPr>
        <w:tc>
          <w:tcPr>
            <w:tcW w:w="3036" w:type="dxa"/>
          </w:tcPr>
          <w:p>
            <w:pPr>
              <w:pStyle w:val="TableParagraph"/>
              <w:rPr>
                <w:sz w:val="19"/>
              </w:rPr>
            </w:pPr>
            <w:r>
              <w:rPr>
                <w:sz w:val="19"/>
              </w:rPr>
              <w:t>Ronald Kent</w:t>
            </w:r>
          </w:p>
        </w:tc>
        <w:tc>
          <w:tcPr>
            <w:tcW w:w="4982" w:type="dxa"/>
          </w:tcPr>
          <w:p>
            <w:pPr>
              <w:pStyle w:val="TableParagraph"/>
              <w:rPr>
                <w:sz w:val="19"/>
              </w:rPr>
            </w:pPr>
            <w:r>
              <w:rPr>
                <w:sz w:val="19"/>
              </w:rPr>
              <w:t>British Bankers’ Association</w:t>
            </w:r>
          </w:p>
        </w:tc>
      </w:tr>
      <w:tr>
        <w:trPr>
          <w:trHeight w:val="291" w:hRule="atLeast"/>
        </w:trPr>
        <w:tc>
          <w:tcPr>
            <w:tcW w:w="3036" w:type="dxa"/>
          </w:tcPr>
          <w:p>
            <w:pPr>
              <w:pStyle w:val="TableParagraph"/>
              <w:spacing w:before="35"/>
              <w:rPr>
                <w:sz w:val="19"/>
              </w:rPr>
            </w:pPr>
            <w:r>
              <w:rPr>
                <w:sz w:val="19"/>
              </w:rPr>
              <w:t>Andrew Rogan</w:t>
            </w:r>
          </w:p>
        </w:tc>
        <w:tc>
          <w:tcPr>
            <w:tcW w:w="4982" w:type="dxa"/>
          </w:tcPr>
          <w:p>
            <w:pPr>
              <w:pStyle w:val="TableParagraph"/>
              <w:spacing w:before="35"/>
              <w:ind w:left="101"/>
              <w:rPr>
                <w:sz w:val="19"/>
              </w:rPr>
            </w:pPr>
            <w:r>
              <w:rPr>
                <w:sz w:val="19"/>
              </w:rPr>
              <w:t>British Bankers’ Association</w:t>
            </w:r>
          </w:p>
        </w:tc>
      </w:tr>
      <w:tr>
        <w:trPr>
          <w:trHeight w:val="291" w:hRule="atLeast"/>
        </w:trPr>
        <w:tc>
          <w:tcPr>
            <w:tcW w:w="3036" w:type="dxa"/>
          </w:tcPr>
          <w:p>
            <w:pPr>
              <w:pStyle w:val="TableParagraph"/>
              <w:rPr>
                <w:sz w:val="19"/>
              </w:rPr>
            </w:pPr>
            <w:r>
              <w:rPr>
                <w:sz w:val="19"/>
              </w:rPr>
              <w:t>James Bindler</w:t>
            </w:r>
          </w:p>
        </w:tc>
        <w:tc>
          <w:tcPr>
            <w:tcW w:w="4982" w:type="dxa"/>
          </w:tcPr>
          <w:p>
            <w:pPr>
              <w:pStyle w:val="TableParagraph"/>
              <w:ind w:left="99"/>
              <w:rPr>
                <w:sz w:val="19"/>
              </w:rPr>
            </w:pPr>
            <w:r>
              <w:rPr>
                <w:sz w:val="19"/>
              </w:rPr>
              <w:t>Citi</w:t>
            </w:r>
          </w:p>
        </w:tc>
      </w:tr>
      <w:tr>
        <w:trPr>
          <w:trHeight w:val="290" w:hRule="atLeast"/>
        </w:trPr>
        <w:tc>
          <w:tcPr>
            <w:tcW w:w="3036" w:type="dxa"/>
          </w:tcPr>
          <w:p>
            <w:pPr>
              <w:pStyle w:val="TableParagraph"/>
              <w:rPr>
                <w:sz w:val="19"/>
              </w:rPr>
            </w:pPr>
            <w:r>
              <w:rPr>
                <w:sz w:val="19"/>
              </w:rPr>
              <w:t>Heather Pilley</w:t>
            </w:r>
          </w:p>
        </w:tc>
        <w:tc>
          <w:tcPr>
            <w:tcW w:w="4982" w:type="dxa"/>
          </w:tcPr>
          <w:p>
            <w:pPr>
              <w:pStyle w:val="TableParagraph"/>
              <w:ind w:left="101"/>
              <w:rPr>
                <w:sz w:val="19"/>
              </w:rPr>
            </w:pPr>
            <w:r>
              <w:rPr>
                <w:sz w:val="19"/>
              </w:rPr>
              <w:t>Financial Conduct Authority</w:t>
            </w:r>
          </w:p>
        </w:tc>
      </w:tr>
      <w:tr>
        <w:trPr>
          <w:trHeight w:val="291" w:hRule="atLeast"/>
        </w:trPr>
        <w:tc>
          <w:tcPr>
            <w:tcW w:w="3036" w:type="dxa"/>
          </w:tcPr>
          <w:p>
            <w:pPr>
              <w:pStyle w:val="TableParagraph"/>
              <w:spacing w:before="35"/>
              <w:rPr>
                <w:sz w:val="19"/>
              </w:rPr>
            </w:pPr>
            <w:r>
              <w:rPr>
                <w:sz w:val="19"/>
              </w:rPr>
              <w:t>Frederic Boillereau</w:t>
            </w:r>
          </w:p>
        </w:tc>
        <w:tc>
          <w:tcPr>
            <w:tcW w:w="4982" w:type="dxa"/>
          </w:tcPr>
          <w:p>
            <w:pPr>
              <w:pStyle w:val="TableParagraph"/>
              <w:spacing w:before="35"/>
              <w:rPr>
                <w:sz w:val="19"/>
              </w:rPr>
            </w:pPr>
            <w:r>
              <w:rPr>
                <w:sz w:val="19"/>
              </w:rPr>
              <w:t>HSBC</w:t>
            </w:r>
          </w:p>
        </w:tc>
      </w:tr>
      <w:tr>
        <w:trPr>
          <w:trHeight w:val="291" w:hRule="atLeast"/>
        </w:trPr>
        <w:tc>
          <w:tcPr>
            <w:tcW w:w="3036" w:type="dxa"/>
          </w:tcPr>
          <w:p>
            <w:pPr>
              <w:pStyle w:val="TableParagraph"/>
              <w:rPr>
                <w:sz w:val="19"/>
              </w:rPr>
            </w:pPr>
            <w:r>
              <w:rPr>
                <w:sz w:val="19"/>
              </w:rPr>
              <w:t>Lisa Scott-Smith</w:t>
            </w:r>
          </w:p>
        </w:tc>
        <w:tc>
          <w:tcPr>
            <w:tcW w:w="4982" w:type="dxa"/>
          </w:tcPr>
          <w:p>
            <w:pPr>
              <w:pStyle w:val="TableParagraph"/>
              <w:ind w:left="99"/>
              <w:rPr>
                <w:sz w:val="19"/>
              </w:rPr>
            </w:pPr>
            <w:r>
              <w:rPr>
                <w:sz w:val="19"/>
              </w:rPr>
              <w:t>Millennium Global (Buy-side Sub-committee Chair)</w:t>
            </w:r>
          </w:p>
        </w:tc>
      </w:tr>
      <w:tr>
        <w:trPr>
          <w:trHeight w:val="290" w:hRule="atLeast"/>
        </w:trPr>
        <w:tc>
          <w:tcPr>
            <w:tcW w:w="3036" w:type="dxa"/>
          </w:tcPr>
          <w:p>
            <w:pPr>
              <w:pStyle w:val="TableParagraph"/>
              <w:rPr>
                <w:sz w:val="19"/>
              </w:rPr>
            </w:pPr>
            <w:r>
              <w:rPr>
                <w:sz w:val="19"/>
              </w:rPr>
              <w:t>Isabelle Dennigan</w:t>
            </w:r>
          </w:p>
        </w:tc>
        <w:tc>
          <w:tcPr>
            <w:tcW w:w="4982" w:type="dxa"/>
          </w:tcPr>
          <w:p>
            <w:pPr>
              <w:pStyle w:val="TableParagraph"/>
              <w:rPr>
                <w:sz w:val="19"/>
              </w:rPr>
            </w:pPr>
            <w:r>
              <w:rPr>
                <w:sz w:val="19"/>
              </w:rPr>
              <w:t>RBC (Operations Sub-committee Chair)</w:t>
            </w:r>
          </w:p>
        </w:tc>
      </w:tr>
      <w:tr>
        <w:trPr>
          <w:trHeight w:val="291" w:hRule="atLeast"/>
        </w:trPr>
        <w:tc>
          <w:tcPr>
            <w:tcW w:w="3036" w:type="dxa"/>
          </w:tcPr>
          <w:p>
            <w:pPr>
              <w:pStyle w:val="TableParagraph"/>
              <w:spacing w:before="34"/>
              <w:rPr>
                <w:sz w:val="19"/>
              </w:rPr>
            </w:pPr>
            <w:r>
              <w:rPr>
                <w:sz w:val="19"/>
              </w:rPr>
              <w:t>Richard Metcalfe</w:t>
            </w:r>
          </w:p>
        </w:tc>
        <w:tc>
          <w:tcPr>
            <w:tcW w:w="4982" w:type="dxa"/>
          </w:tcPr>
          <w:p>
            <w:pPr>
              <w:pStyle w:val="TableParagraph"/>
              <w:spacing w:before="34"/>
              <w:ind w:left="101"/>
              <w:rPr>
                <w:sz w:val="19"/>
              </w:rPr>
            </w:pPr>
            <w:r>
              <w:rPr>
                <w:sz w:val="19"/>
              </w:rPr>
              <w:t>The Investment Association</w:t>
            </w:r>
          </w:p>
        </w:tc>
      </w:tr>
      <w:tr>
        <w:trPr>
          <w:trHeight w:val="291" w:hRule="atLeast"/>
        </w:trPr>
        <w:tc>
          <w:tcPr>
            <w:tcW w:w="3036" w:type="dxa"/>
          </w:tcPr>
          <w:p>
            <w:pPr>
              <w:pStyle w:val="TableParagraph"/>
              <w:spacing w:before="32"/>
              <w:rPr>
                <w:sz w:val="19"/>
              </w:rPr>
            </w:pPr>
            <w:r>
              <w:rPr>
                <w:sz w:val="19"/>
              </w:rPr>
              <w:t>Phil Weisberg</w:t>
            </w:r>
          </w:p>
        </w:tc>
        <w:tc>
          <w:tcPr>
            <w:tcW w:w="4982" w:type="dxa"/>
          </w:tcPr>
          <w:p>
            <w:pPr>
              <w:pStyle w:val="TableParagraph"/>
              <w:spacing w:before="32"/>
              <w:ind w:left="101"/>
              <w:rPr>
                <w:sz w:val="19"/>
              </w:rPr>
            </w:pPr>
            <w:r>
              <w:rPr>
                <w:sz w:val="19"/>
              </w:rPr>
              <w:t>Thomson Reuters</w:t>
            </w:r>
          </w:p>
        </w:tc>
      </w:tr>
      <w:tr>
        <w:trPr>
          <w:trHeight w:val="290" w:hRule="atLeast"/>
        </w:trPr>
        <w:tc>
          <w:tcPr>
            <w:tcW w:w="3036" w:type="dxa"/>
          </w:tcPr>
          <w:p>
            <w:pPr>
              <w:pStyle w:val="TableParagraph"/>
              <w:rPr>
                <w:sz w:val="19"/>
              </w:rPr>
            </w:pPr>
            <w:r>
              <w:rPr>
                <w:sz w:val="19"/>
              </w:rPr>
              <w:t>James Potter</w:t>
            </w:r>
          </w:p>
        </w:tc>
        <w:tc>
          <w:tcPr>
            <w:tcW w:w="4982" w:type="dxa"/>
          </w:tcPr>
          <w:p>
            <w:pPr>
              <w:pStyle w:val="TableParagraph"/>
              <w:ind w:left="101"/>
              <w:rPr>
                <w:sz w:val="19"/>
              </w:rPr>
            </w:pPr>
            <w:r>
              <w:rPr>
                <w:sz w:val="19"/>
              </w:rPr>
              <w:t>Tullett Prebon</w:t>
            </w:r>
          </w:p>
        </w:tc>
      </w:tr>
      <w:tr>
        <w:trPr>
          <w:trHeight w:val="291" w:hRule="atLeast"/>
        </w:trPr>
        <w:tc>
          <w:tcPr>
            <w:tcW w:w="3036" w:type="dxa"/>
          </w:tcPr>
          <w:p>
            <w:pPr>
              <w:pStyle w:val="TableParagraph"/>
              <w:spacing w:before="35"/>
              <w:rPr>
                <w:sz w:val="19"/>
              </w:rPr>
            </w:pPr>
            <w:r>
              <w:rPr>
                <w:sz w:val="19"/>
              </w:rPr>
              <w:t>George Athanasopoulos</w:t>
            </w:r>
          </w:p>
        </w:tc>
        <w:tc>
          <w:tcPr>
            <w:tcW w:w="4982" w:type="dxa"/>
          </w:tcPr>
          <w:p>
            <w:pPr>
              <w:pStyle w:val="TableParagraph"/>
              <w:spacing w:before="35"/>
              <w:ind w:left="101"/>
              <w:rPr>
                <w:sz w:val="19"/>
              </w:rPr>
            </w:pPr>
            <w:r>
              <w:rPr>
                <w:sz w:val="19"/>
              </w:rPr>
              <w:t>UBS</w:t>
            </w:r>
          </w:p>
        </w:tc>
      </w:tr>
      <w:tr>
        <w:trPr>
          <w:trHeight w:val="291" w:hRule="atLeast"/>
        </w:trPr>
        <w:tc>
          <w:tcPr>
            <w:tcW w:w="3036" w:type="dxa"/>
          </w:tcPr>
          <w:p>
            <w:pPr>
              <w:pStyle w:val="TableParagraph"/>
              <w:rPr>
                <w:sz w:val="19"/>
              </w:rPr>
            </w:pPr>
            <w:r>
              <w:rPr>
                <w:sz w:val="19"/>
              </w:rPr>
              <w:t>Alex McDonald</w:t>
            </w:r>
          </w:p>
        </w:tc>
        <w:tc>
          <w:tcPr>
            <w:tcW w:w="4982" w:type="dxa"/>
          </w:tcPr>
          <w:p>
            <w:pPr>
              <w:pStyle w:val="TableParagraph"/>
              <w:ind w:left="99"/>
              <w:rPr>
                <w:sz w:val="19"/>
              </w:rPr>
            </w:pPr>
            <w:r>
              <w:rPr>
                <w:sz w:val="19"/>
              </w:rPr>
              <w:t>Wholesale Markets Brokers Association</w:t>
            </w:r>
          </w:p>
        </w:tc>
      </w:tr>
      <w:tr>
        <w:trPr>
          <w:trHeight w:val="290" w:hRule="atLeast"/>
        </w:trPr>
        <w:tc>
          <w:tcPr>
            <w:tcW w:w="3036" w:type="dxa"/>
          </w:tcPr>
          <w:p>
            <w:pPr>
              <w:pStyle w:val="TableParagraph"/>
              <w:rPr>
                <w:i/>
                <w:sz w:val="19"/>
              </w:rPr>
            </w:pPr>
            <w:r>
              <w:rPr>
                <w:i/>
                <w:sz w:val="19"/>
              </w:rPr>
              <w:t>Grigoria Christodoulou</w:t>
            </w:r>
          </w:p>
        </w:tc>
        <w:tc>
          <w:tcPr>
            <w:tcW w:w="4982" w:type="dxa"/>
          </w:tcPr>
          <w:p>
            <w:pPr>
              <w:pStyle w:val="TableParagraph"/>
              <w:rPr>
                <w:i/>
                <w:sz w:val="19"/>
              </w:rPr>
            </w:pPr>
            <w:r>
              <w:rPr>
                <w:i/>
                <w:sz w:val="19"/>
              </w:rPr>
              <w:t>Bank of England (Speaker)</w:t>
            </w:r>
          </w:p>
        </w:tc>
      </w:tr>
      <w:tr>
        <w:trPr>
          <w:trHeight w:val="291" w:hRule="atLeast"/>
        </w:trPr>
        <w:tc>
          <w:tcPr>
            <w:tcW w:w="3036" w:type="dxa"/>
          </w:tcPr>
          <w:p>
            <w:pPr>
              <w:pStyle w:val="TableParagraph"/>
              <w:spacing w:before="35"/>
              <w:rPr>
                <w:i/>
                <w:sz w:val="19"/>
              </w:rPr>
            </w:pPr>
            <w:r>
              <w:rPr>
                <w:i/>
                <w:sz w:val="19"/>
              </w:rPr>
              <w:t>Liam Crowley-Reidy</w:t>
            </w:r>
          </w:p>
        </w:tc>
        <w:tc>
          <w:tcPr>
            <w:tcW w:w="4982" w:type="dxa"/>
          </w:tcPr>
          <w:p>
            <w:pPr>
              <w:pStyle w:val="TableParagraph"/>
              <w:spacing w:before="35"/>
              <w:rPr>
                <w:i/>
                <w:sz w:val="19"/>
              </w:rPr>
            </w:pPr>
            <w:r>
              <w:rPr>
                <w:i/>
                <w:sz w:val="19"/>
              </w:rPr>
              <w:t>Bank of England (Speaker)</w:t>
            </w:r>
          </w:p>
        </w:tc>
      </w:tr>
      <w:tr>
        <w:trPr>
          <w:trHeight w:val="291" w:hRule="atLeast"/>
        </w:trPr>
        <w:tc>
          <w:tcPr>
            <w:tcW w:w="3036" w:type="dxa"/>
          </w:tcPr>
          <w:p>
            <w:pPr>
              <w:pStyle w:val="TableParagraph"/>
              <w:rPr>
                <w:i/>
                <w:sz w:val="19"/>
              </w:rPr>
            </w:pPr>
            <w:r>
              <w:rPr>
                <w:i/>
                <w:sz w:val="19"/>
              </w:rPr>
              <w:t>Elizabeth Darkens</w:t>
            </w:r>
          </w:p>
        </w:tc>
        <w:tc>
          <w:tcPr>
            <w:tcW w:w="4982" w:type="dxa"/>
          </w:tcPr>
          <w:p>
            <w:pPr>
              <w:pStyle w:val="TableParagraph"/>
              <w:rPr>
                <w:i/>
                <w:sz w:val="19"/>
              </w:rPr>
            </w:pPr>
            <w:r>
              <w:rPr>
                <w:i/>
                <w:sz w:val="19"/>
              </w:rPr>
              <w:t>Bank of England (Speaker)</w:t>
            </w:r>
          </w:p>
        </w:tc>
      </w:tr>
      <w:tr>
        <w:trPr>
          <w:trHeight w:val="290" w:hRule="atLeast"/>
        </w:trPr>
        <w:tc>
          <w:tcPr>
            <w:tcW w:w="3036" w:type="dxa"/>
          </w:tcPr>
          <w:p>
            <w:pPr>
              <w:pStyle w:val="TableParagraph"/>
              <w:rPr>
                <w:i/>
                <w:sz w:val="19"/>
              </w:rPr>
            </w:pPr>
            <w:r>
              <w:rPr>
                <w:i/>
                <w:sz w:val="19"/>
              </w:rPr>
              <w:t>Rebecca Jackson</w:t>
            </w:r>
          </w:p>
        </w:tc>
        <w:tc>
          <w:tcPr>
            <w:tcW w:w="4982" w:type="dxa"/>
          </w:tcPr>
          <w:p>
            <w:pPr>
              <w:pStyle w:val="TableParagraph"/>
              <w:rPr>
                <w:i/>
                <w:sz w:val="19"/>
              </w:rPr>
            </w:pPr>
            <w:r>
              <w:rPr>
                <w:i/>
                <w:sz w:val="19"/>
              </w:rPr>
              <w:t>Bank of England</w:t>
            </w:r>
          </w:p>
        </w:tc>
      </w:tr>
      <w:tr>
        <w:trPr>
          <w:trHeight w:val="291" w:hRule="atLeast"/>
        </w:trPr>
        <w:tc>
          <w:tcPr>
            <w:tcW w:w="3036" w:type="dxa"/>
          </w:tcPr>
          <w:p>
            <w:pPr>
              <w:pStyle w:val="TableParagraph"/>
              <w:spacing w:before="34"/>
              <w:rPr>
                <w:i/>
                <w:sz w:val="19"/>
              </w:rPr>
            </w:pPr>
            <w:r>
              <w:rPr>
                <w:i/>
                <w:sz w:val="19"/>
              </w:rPr>
              <w:t>James O’Connor</w:t>
            </w:r>
          </w:p>
        </w:tc>
        <w:tc>
          <w:tcPr>
            <w:tcW w:w="4982" w:type="dxa"/>
          </w:tcPr>
          <w:p>
            <w:pPr>
              <w:pStyle w:val="TableParagraph"/>
              <w:spacing w:before="34"/>
              <w:ind w:left="99"/>
              <w:rPr>
                <w:i/>
                <w:sz w:val="19"/>
              </w:rPr>
            </w:pPr>
            <w:r>
              <w:rPr>
                <w:i/>
                <w:sz w:val="19"/>
              </w:rPr>
              <w:t>Bank of England</w:t>
            </w:r>
          </w:p>
        </w:tc>
      </w:tr>
    </w:tbl>
    <w:p>
      <w:pPr>
        <w:pStyle w:val="BodyText"/>
        <w:spacing w:before="7"/>
        <w:rPr>
          <w:b/>
          <w:sz w:val="14"/>
        </w:rPr>
      </w:pPr>
    </w:p>
    <w:p>
      <w:pPr>
        <w:spacing w:before="96"/>
        <w:ind w:left="552" w:right="0" w:firstLine="0"/>
        <w:jc w:val="left"/>
        <w:rPr>
          <w:b/>
          <w:sz w:val="22"/>
        </w:rPr>
      </w:pPr>
      <w:r>
        <w:rPr>
          <w:b/>
          <w:w w:val="105"/>
          <w:sz w:val="22"/>
        </w:rPr>
        <w:t>Apologies</w:t>
      </w:r>
    </w:p>
    <w:p>
      <w:pPr>
        <w:pStyle w:val="BodyText"/>
        <w:spacing w:before="8" w:after="1"/>
        <w:rPr>
          <w:b/>
        </w:rPr>
      </w:pPr>
    </w:p>
    <w:tbl>
      <w:tblPr>
        <w:tblW w:w="0" w:type="auto"/>
        <w:jc w:val="left"/>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4935"/>
      </w:tblGrid>
      <w:tr>
        <w:trPr>
          <w:trHeight w:val="291" w:hRule="atLeast"/>
        </w:trPr>
        <w:tc>
          <w:tcPr>
            <w:tcW w:w="3068" w:type="dxa"/>
          </w:tcPr>
          <w:p>
            <w:pPr>
              <w:pStyle w:val="TableParagraph"/>
              <w:ind w:left="101"/>
              <w:rPr>
                <w:sz w:val="19"/>
              </w:rPr>
            </w:pPr>
            <w:r>
              <w:rPr>
                <w:sz w:val="19"/>
              </w:rPr>
              <w:t>Rob Loewy</w:t>
            </w:r>
          </w:p>
        </w:tc>
        <w:tc>
          <w:tcPr>
            <w:tcW w:w="4935" w:type="dxa"/>
          </w:tcPr>
          <w:p>
            <w:pPr>
              <w:pStyle w:val="TableParagraph"/>
              <w:ind w:left="101"/>
              <w:rPr>
                <w:sz w:val="19"/>
              </w:rPr>
            </w:pPr>
            <w:r>
              <w:rPr>
                <w:sz w:val="19"/>
              </w:rPr>
              <w:t>Bank of China</w:t>
            </w:r>
          </w:p>
        </w:tc>
      </w:tr>
      <w:tr>
        <w:trPr>
          <w:trHeight w:val="290" w:hRule="atLeast"/>
        </w:trPr>
        <w:tc>
          <w:tcPr>
            <w:tcW w:w="3068" w:type="dxa"/>
          </w:tcPr>
          <w:p>
            <w:pPr>
              <w:pStyle w:val="TableParagraph"/>
              <w:ind w:left="101"/>
              <w:rPr>
                <w:sz w:val="19"/>
              </w:rPr>
            </w:pPr>
            <w:r>
              <w:rPr>
                <w:sz w:val="19"/>
              </w:rPr>
              <w:t>Richard Gill</w:t>
            </w:r>
          </w:p>
        </w:tc>
        <w:tc>
          <w:tcPr>
            <w:tcW w:w="4935" w:type="dxa"/>
          </w:tcPr>
          <w:p>
            <w:pPr>
              <w:pStyle w:val="TableParagraph"/>
              <w:rPr>
                <w:sz w:val="19"/>
              </w:rPr>
            </w:pPr>
            <w:r>
              <w:rPr>
                <w:sz w:val="19"/>
              </w:rPr>
              <w:t>Bank of New York Mellon</w:t>
            </w:r>
          </w:p>
        </w:tc>
      </w:tr>
      <w:tr>
        <w:trPr>
          <w:trHeight w:val="291" w:hRule="atLeast"/>
        </w:trPr>
        <w:tc>
          <w:tcPr>
            <w:tcW w:w="3068" w:type="dxa"/>
          </w:tcPr>
          <w:p>
            <w:pPr>
              <w:pStyle w:val="TableParagraph"/>
              <w:spacing w:before="35"/>
              <w:ind w:left="101"/>
              <w:rPr>
                <w:sz w:val="19"/>
              </w:rPr>
            </w:pPr>
            <w:r>
              <w:rPr>
                <w:sz w:val="19"/>
              </w:rPr>
              <w:t>Chris Allen</w:t>
            </w:r>
          </w:p>
        </w:tc>
        <w:tc>
          <w:tcPr>
            <w:tcW w:w="4935" w:type="dxa"/>
          </w:tcPr>
          <w:p>
            <w:pPr>
              <w:pStyle w:val="TableParagraph"/>
              <w:spacing w:before="35"/>
              <w:rPr>
                <w:sz w:val="19"/>
              </w:rPr>
            </w:pPr>
            <w:r>
              <w:rPr>
                <w:sz w:val="19"/>
              </w:rPr>
              <w:t>Barclays (Legal Sub-committee Chair)</w:t>
            </w:r>
          </w:p>
        </w:tc>
      </w:tr>
      <w:tr>
        <w:trPr>
          <w:trHeight w:val="291" w:hRule="atLeast"/>
        </w:trPr>
        <w:tc>
          <w:tcPr>
            <w:tcW w:w="3068" w:type="dxa"/>
          </w:tcPr>
          <w:p>
            <w:pPr>
              <w:pStyle w:val="TableParagraph"/>
              <w:ind w:left="101"/>
              <w:rPr>
                <w:sz w:val="19"/>
              </w:rPr>
            </w:pPr>
            <w:r>
              <w:rPr>
                <w:sz w:val="19"/>
              </w:rPr>
              <w:t>David Puth</w:t>
            </w:r>
          </w:p>
        </w:tc>
        <w:tc>
          <w:tcPr>
            <w:tcW w:w="4935" w:type="dxa"/>
          </w:tcPr>
          <w:p>
            <w:pPr>
              <w:pStyle w:val="TableParagraph"/>
              <w:ind w:left="101"/>
              <w:rPr>
                <w:sz w:val="19"/>
              </w:rPr>
            </w:pPr>
            <w:r>
              <w:rPr>
                <w:sz w:val="19"/>
              </w:rPr>
              <w:t>CLS Bank</w:t>
            </w:r>
          </w:p>
        </w:tc>
      </w:tr>
      <w:tr>
        <w:trPr>
          <w:trHeight w:val="291" w:hRule="atLeast"/>
        </w:trPr>
        <w:tc>
          <w:tcPr>
            <w:tcW w:w="3068" w:type="dxa"/>
          </w:tcPr>
          <w:p>
            <w:pPr>
              <w:pStyle w:val="TableParagraph"/>
              <w:ind w:left="101"/>
              <w:rPr>
                <w:sz w:val="19"/>
              </w:rPr>
            </w:pPr>
            <w:r>
              <w:rPr>
                <w:sz w:val="19"/>
              </w:rPr>
              <w:t>Gil Mandelzis</w:t>
            </w:r>
          </w:p>
        </w:tc>
        <w:tc>
          <w:tcPr>
            <w:tcW w:w="4935" w:type="dxa"/>
          </w:tcPr>
          <w:p>
            <w:pPr>
              <w:pStyle w:val="TableParagraph"/>
              <w:ind w:left="101"/>
              <w:rPr>
                <w:sz w:val="19"/>
              </w:rPr>
            </w:pPr>
            <w:r>
              <w:rPr>
                <w:sz w:val="19"/>
              </w:rPr>
              <w:t>EBS BrokerTec</w:t>
            </w:r>
          </w:p>
        </w:tc>
      </w:tr>
    </w:tbl>
    <w:p>
      <w:pPr>
        <w:spacing w:after="0"/>
        <w:rPr>
          <w:sz w:val="19"/>
        </w:rPr>
        <w:sectPr>
          <w:footerReference w:type="default" r:id="rId5"/>
          <w:type w:val="continuous"/>
          <w:pgSz w:w="12240" w:h="15840"/>
          <w:pgMar w:footer="634" w:top="1280" w:bottom="820" w:left="1660" w:right="1720"/>
        </w:sectPr>
      </w:pPr>
    </w:p>
    <w:p>
      <w:pPr>
        <w:pStyle w:val="ListParagraph"/>
        <w:numPr>
          <w:ilvl w:val="0"/>
          <w:numId w:val="1"/>
        </w:numPr>
        <w:tabs>
          <w:tab w:pos="552" w:val="left" w:leader="none"/>
          <w:tab w:pos="553" w:val="left" w:leader="none"/>
        </w:tabs>
        <w:spacing w:line="240" w:lineRule="auto" w:before="80" w:after="0"/>
        <w:ind w:left="552" w:right="0" w:hanging="438"/>
        <w:jc w:val="left"/>
        <w:rPr>
          <w:b/>
          <w:sz w:val="22"/>
        </w:rPr>
      </w:pPr>
      <w:r>
        <w:rPr>
          <w:b/>
          <w:w w:val="105"/>
          <w:sz w:val="22"/>
        </w:rPr>
        <w:t>Apologies for</w:t>
      </w:r>
      <w:r>
        <w:rPr>
          <w:b/>
          <w:spacing w:val="-5"/>
          <w:w w:val="105"/>
          <w:sz w:val="22"/>
        </w:rPr>
        <w:t> </w:t>
      </w:r>
      <w:r>
        <w:rPr>
          <w:b/>
          <w:w w:val="105"/>
          <w:sz w:val="22"/>
        </w:rPr>
        <w:t>absence</w:t>
      </w:r>
    </w:p>
    <w:p>
      <w:pPr>
        <w:pStyle w:val="BodyText"/>
        <w:rPr>
          <w:b/>
          <w:sz w:val="24"/>
        </w:rPr>
      </w:pPr>
    </w:p>
    <w:p>
      <w:pPr>
        <w:pStyle w:val="BodyText"/>
        <w:spacing w:before="11"/>
        <w:rPr>
          <w:b/>
          <w:sz w:val="21"/>
        </w:rPr>
      </w:pPr>
    </w:p>
    <w:p>
      <w:pPr>
        <w:pStyle w:val="BodyText"/>
        <w:tabs>
          <w:tab w:pos="2118" w:val="left" w:leader="none"/>
        </w:tabs>
        <w:spacing w:line="491" w:lineRule="auto"/>
        <w:ind w:left="552" w:right="536"/>
      </w:pPr>
      <w:r>
        <w:rPr>
          <w:w w:val="105"/>
        </w:rPr>
        <w:t>Apologies</w:t>
      </w:r>
      <w:r>
        <w:rPr>
          <w:spacing w:val="-18"/>
          <w:w w:val="105"/>
        </w:rPr>
        <w:t> </w:t>
      </w:r>
      <w:r>
        <w:rPr>
          <w:w w:val="105"/>
        </w:rPr>
        <w:t>were</w:t>
      </w:r>
      <w:r>
        <w:rPr>
          <w:spacing w:val="-17"/>
          <w:w w:val="105"/>
        </w:rPr>
        <w:t> </w:t>
      </w:r>
      <w:r>
        <w:rPr>
          <w:w w:val="105"/>
        </w:rPr>
        <w:t>received</w:t>
      </w:r>
      <w:r>
        <w:rPr>
          <w:spacing w:val="-18"/>
          <w:w w:val="105"/>
        </w:rPr>
        <w:t> </w:t>
      </w:r>
      <w:r>
        <w:rPr>
          <w:w w:val="105"/>
        </w:rPr>
        <w:t>from</w:t>
      </w:r>
      <w:r>
        <w:rPr>
          <w:spacing w:val="-19"/>
          <w:w w:val="105"/>
        </w:rPr>
        <w:t> </w:t>
      </w:r>
      <w:r>
        <w:rPr>
          <w:w w:val="105"/>
        </w:rPr>
        <w:t>Rob</w:t>
      </w:r>
      <w:r>
        <w:rPr>
          <w:spacing w:val="-18"/>
          <w:w w:val="105"/>
        </w:rPr>
        <w:t> </w:t>
      </w:r>
      <w:r>
        <w:rPr>
          <w:w w:val="105"/>
        </w:rPr>
        <w:t>Loewy,</w:t>
      </w:r>
      <w:r>
        <w:rPr>
          <w:spacing w:val="-18"/>
          <w:w w:val="105"/>
        </w:rPr>
        <w:t> </w:t>
      </w:r>
      <w:r>
        <w:rPr>
          <w:w w:val="105"/>
        </w:rPr>
        <w:t>Richard</w:t>
      </w:r>
      <w:r>
        <w:rPr>
          <w:spacing w:val="-18"/>
          <w:w w:val="105"/>
        </w:rPr>
        <w:t> </w:t>
      </w:r>
      <w:r>
        <w:rPr>
          <w:w w:val="105"/>
        </w:rPr>
        <w:t>Gill,</w:t>
      </w:r>
      <w:r>
        <w:rPr>
          <w:spacing w:val="-17"/>
          <w:w w:val="105"/>
        </w:rPr>
        <w:t> </w:t>
      </w:r>
      <w:r>
        <w:rPr>
          <w:w w:val="105"/>
        </w:rPr>
        <w:t>Chris</w:t>
      </w:r>
      <w:r>
        <w:rPr>
          <w:spacing w:val="-18"/>
          <w:w w:val="105"/>
        </w:rPr>
        <w:t> </w:t>
      </w:r>
      <w:r>
        <w:rPr>
          <w:w w:val="105"/>
        </w:rPr>
        <w:t>Allen,</w:t>
      </w:r>
      <w:r>
        <w:rPr>
          <w:spacing w:val="-18"/>
          <w:w w:val="105"/>
        </w:rPr>
        <w:t> </w:t>
      </w:r>
      <w:r>
        <w:rPr>
          <w:w w:val="105"/>
        </w:rPr>
        <w:t>David</w:t>
      </w:r>
      <w:r>
        <w:rPr>
          <w:spacing w:val="-17"/>
          <w:w w:val="105"/>
        </w:rPr>
        <w:t> </w:t>
      </w:r>
      <w:r>
        <w:rPr>
          <w:w w:val="105"/>
        </w:rPr>
        <w:t>Puth</w:t>
      </w:r>
      <w:r>
        <w:rPr>
          <w:spacing w:val="-18"/>
          <w:w w:val="105"/>
        </w:rPr>
        <w:t> </w:t>
      </w:r>
      <w:r>
        <w:rPr>
          <w:w w:val="105"/>
        </w:rPr>
        <w:t>and Gil</w:t>
      </w:r>
      <w:r>
        <w:rPr>
          <w:spacing w:val="-14"/>
          <w:w w:val="105"/>
        </w:rPr>
        <w:t> </w:t>
      </w:r>
      <w:r>
        <w:rPr>
          <w:w w:val="105"/>
        </w:rPr>
        <w:t>Mandelzis.</w:t>
        <w:tab/>
        <w:t>The Chair thanked Andrew Rogan for his contributions to the Committee and welcomed his replacement Ronald</w:t>
      </w:r>
      <w:r>
        <w:rPr>
          <w:spacing w:val="-25"/>
          <w:w w:val="105"/>
        </w:rPr>
        <w:t> </w:t>
      </w:r>
      <w:r>
        <w:rPr>
          <w:w w:val="105"/>
        </w:rPr>
        <w:t>Kent.</w:t>
      </w:r>
    </w:p>
    <w:p>
      <w:pPr>
        <w:pStyle w:val="BodyText"/>
        <w:spacing w:before="2"/>
        <w:rPr>
          <w:sz w:val="23"/>
        </w:rPr>
      </w:pPr>
    </w:p>
    <w:p>
      <w:pPr>
        <w:pStyle w:val="Heading1"/>
        <w:numPr>
          <w:ilvl w:val="0"/>
          <w:numId w:val="1"/>
        </w:numPr>
        <w:tabs>
          <w:tab w:pos="552" w:val="left" w:leader="none"/>
          <w:tab w:pos="553" w:val="left" w:leader="none"/>
        </w:tabs>
        <w:spacing w:line="240" w:lineRule="auto" w:before="1" w:after="0"/>
        <w:ind w:left="552" w:right="0" w:hanging="438"/>
        <w:jc w:val="left"/>
      </w:pPr>
      <w:r>
        <w:rPr>
          <w:w w:val="105"/>
        </w:rPr>
        <w:t>Minutes of 22 September meeting and matters</w:t>
      </w:r>
      <w:r>
        <w:rPr>
          <w:spacing w:val="-26"/>
          <w:w w:val="105"/>
        </w:rPr>
        <w:t> </w:t>
      </w:r>
      <w:r>
        <w:rPr>
          <w:w w:val="105"/>
        </w:rPr>
        <w:t>arising</w:t>
      </w:r>
    </w:p>
    <w:p>
      <w:pPr>
        <w:pStyle w:val="BodyText"/>
        <w:rPr>
          <w:b/>
          <w:sz w:val="24"/>
        </w:rPr>
      </w:pPr>
    </w:p>
    <w:p>
      <w:pPr>
        <w:pStyle w:val="BodyText"/>
        <w:spacing w:before="10"/>
        <w:rPr>
          <w:b/>
          <w:sz w:val="21"/>
        </w:rPr>
      </w:pPr>
    </w:p>
    <w:p>
      <w:pPr>
        <w:pStyle w:val="BodyText"/>
        <w:ind w:left="552"/>
      </w:pPr>
      <w:r>
        <w:rPr>
          <w:w w:val="105"/>
        </w:rPr>
        <w:t>The minutes of the September meeting were agreed.</w:t>
      </w:r>
    </w:p>
    <w:p>
      <w:pPr>
        <w:pStyle w:val="BodyText"/>
        <w:rPr>
          <w:sz w:val="24"/>
        </w:rPr>
      </w:pPr>
    </w:p>
    <w:p>
      <w:pPr>
        <w:pStyle w:val="BodyText"/>
        <w:spacing w:before="2"/>
      </w:pPr>
    </w:p>
    <w:p>
      <w:pPr>
        <w:pStyle w:val="Heading1"/>
        <w:numPr>
          <w:ilvl w:val="0"/>
          <w:numId w:val="1"/>
        </w:numPr>
        <w:tabs>
          <w:tab w:pos="552" w:val="left" w:leader="none"/>
          <w:tab w:pos="553" w:val="left" w:leader="none"/>
        </w:tabs>
        <w:spacing w:line="240" w:lineRule="auto" w:before="0" w:after="0"/>
        <w:ind w:left="552" w:right="0" w:hanging="438"/>
        <w:jc w:val="left"/>
      </w:pPr>
      <w:r>
        <w:rPr>
          <w:w w:val="105"/>
        </w:rPr>
        <w:t>Bank</w:t>
      </w:r>
      <w:r>
        <w:rPr>
          <w:spacing w:val="-7"/>
          <w:w w:val="105"/>
        </w:rPr>
        <w:t> </w:t>
      </w:r>
      <w:r>
        <w:rPr>
          <w:w w:val="105"/>
        </w:rPr>
        <w:t>of</w:t>
      </w:r>
      <w:r>
        <w:rPr>
          <w:spacing w:val="-5"/>
          <w:w w:val="105"/>
        </w:rPr>
        <w:t> </w:t>
      </w:r>
      <w:r>
        <w:rPr>
          <w:w w:val="105"/>
        </w:rPr>
        <w:t>England</w:t>
      </w:r>
      <w:r>
        <w:rPr>
          <w:spacing w:val="-4"/>
          <w:w w:val="105"/>
        </w:rPr>
        <w:t> </w:t>
      </w:r>
      <w:r>
        <w:rPr>
          <w:w w:val="105"/>
        </w:rPr>
        <w:t>Paper</w:t>
      </w:r>
      <w:r>
        <w:rPr>
          <w:spacing w:val="-6"/>
          <w:w w:val="105"/>
        </w:rPr>
        <w:t> </w:t>
      </w:r>
      <w:r>
        <w:rPr>
          <w:w w:val="105"/>
        </w:rPr>
        <w:t>–</w:t>
      </w:r>
      <w:r>
        <w:rPr>
          <w:spacing w:val="-6"/>
          <w:w w:val="105"/>
        </w:rPr>
        <w:t> </w:t>
      </w:r>
      <w:r>
        <w:rPr>
          <w:w w:val="105"/>
        </w:rPr>
        <w:t>The</w:t>
      </w:r>
      <w:r>
        <w:rPr>
          <w:spacing w:val="-5"/>
          <w:w w:val="105"/>
        </w:rPr>
        <w:t> </w:t>
      </w:r>
      <w:r>
        <w:rPr>
          <w:w w:val="105"/>
        </w:rPr>
        <w:t>resilience</w:t>
      </w:r>
      <w:r>
        <w:rPr>
          <w:spacing w:val="-6"/>
          <w:w w:val="105"/>
        </w:rPr>
        <w:t> </w:t>
      </w:r>
      <w:r>
        <w:rPr>
          <w:w w:val="105"/>
        </w:rPr>
        <w:t>of</w:t>
      </w:r>
      <w:r>
        <w:rPr>
          <w:spacing w:val="-6"/>
          <w:w w:val="105"/>
        </w:rPr>
        <w:t> </w:t>
      </w:r>
      <w:r>
        <w:rPr>
          <w:w w:val="105"/>
        </w:rPr>
        <w:t>financial</w:t>
      </w:r>
      <w:r>
        <w:rPr>
          <w:spacing w:val="-6"/>
          <w:w w:val="105"/>
        </w:rPr>
        <w:t> </w:t>
      </w:r>
      <w:r>
        <w:rPr>
          <w:w w:val="105"/>
        </w:rPr>
        <w:t>market</w:t>
      </w:r>
      <w:r>
        <w:rPr>
          <w:spacing w:val="-6"/>
          <w:w w:val="105"/>
        </w:rPr>
        <w:t> </w:t>
      </w:r>
      <w:r>
        <w:rPr>
          <w:w w:val="105"/>
        </w:rPr>
        <w:t>liquidity</w:t>
      </w:r>
      <w:r>
        <w:rPr>
          <w:w w:val="105"/>
          <w:vertAlign w:val="superscript"/>
        </w:rPr>
        <w:t>1</w:t>
      </w:r>
    </w:p>
    <w:p>
      <w:pPr>
        <w:pStyle w:val="BodyText"/>
        <w:rPr>
          <w:b/>
          <w:sz w:val="28"/>
        </w:rPr>
      </w:pPr>
    </w:p>
    <w:p>
      <w:pPr>
        <w:pStyle w:val="BodyText"/>
        <w:spacing w:line="491" w:lineRule="auto" w:before="207"/>
        <w:ind w:left="552" w:right="506"/>
      </w:pPr>
      <w:r>
        <w:rPr>
          <w:w w:val="105"/>
        </w:rPr>
        <w:t>Liam</w:t>
      </w:r>
      <w:r>
        <w:rPr>
          <w:spacing w:val="-18"/>
          <w:w w:val="105"/>
        </w:rPr>
        <w:t> </w:t>
      </w:r>
      <w:r>
        <w:rPr>
          <w:w w:val="105"/>
        </w:rPr>
        <w:t>Crowley-Reidy</w:t>
      </w:r>
      <w:r>
        <w:rPr>
          <w:spacing w:val="-14"/>
          <w:w w:val="105"/>
        </w:rPr>
        <w:t> </w:t>
      </w:r>
      <w:r>
        <w:rPr>
          <w:w w:val="105"/>
        </w:rPr>
        <w:t>(Bank</w:t>
      </w:r>
      <w:r>
        <w:rPr>
          <w:spacing w:val="-16"/>
          <w:w w:val="105"/>
        </w:rPr>
        <w:t> </w:t>
      </w:r>
      <w:r>
        <w:rPr>
          <w:w w:val="105"/>
        </w:rPr>
        <w:t>of</w:t>
      </w:r>
      <w:r>
        <w:rPr>
          <w:spacing w:val="-16"/>
          <w:w w:val="105"/>
        </w:rPr>
        <w:t> </w:t>
      </w:r>
      <w:r>
        <w:rPr>
          <w:w w:val="105"/>
        </w:rPr>
        <w:t>England)</w:t>
      </w:r>
      <w:r>
        <w:rPr>
          <w:spacing w:val="-16"/>
          <w:w w:val="105"/>
        </w:rPr>
        <w:t> </w:t>
      </w:r>
      <w:r>
        <w:rPr>
          <w:w w:val="105"/>
        </w:rPr>
        <w:t>introduced</w:t>
      </w:r>
      <w:r>
        <w:rPr>
          <w:spacing w:val="-16"/>
          <w:w w:val="105"/>
        </w:rPr>
        <w:t> </w:t>
      </w:r>
      <w:r>
        <w:rPr>
          <w:w w:val="105"/>
        </w:rPr>
        <w:t>the</w:t>
      </w:r>
      <w:r>
        <w:rPr>
          <w:spacing w:val="-17"/>
          <w:w w:val="105"/>
        </w:rPr>
        <w:t> </w:t>
      </w:r>
      <w:r>
        <w:rPr>
          <w:w w:val="105"/>
        </w:rPr>
        <w:t>paper,</w:t>
      </w:r>
      <w:r>
        <w:rPr>
          <w:spacing w:val="-16"/>
          <w:w w:val="105"/>
        </w:rPr>
        <w:t> </w:t>
      </w:r>
      <w:r>
        <w:rPr>
          <w:w w:val="105"/>
        </w:rPr>
        <w:t>setting</w:t>
      </w:r>
      <w:r>
        <w:rPr>
          <w:spacing w:val="-16"/>
          <w:w w:val="105"/>
        </w:rPr>
        <w:t> </w:t>
      </w:r>
      <w:r>
        <w:rPr>
          <w:w w:val="105"/>
        </w:rPr>
        <w:t>out</w:t>
      </w:r>
      <w:r>
        <w:rPr>
          <w:spacing w:val="-15"/>
          <w:w w:val="105"/>
        </w:rPr>
        <w:t> </w:t>
      </w:r>
      <w:r>
        <w:rPr>
          <w:w w:val="105"/>
        </w:rPr>
        <w:t>the</w:t>
      </w:r>
      <w:r>
        <w:rPr>
          <w:spacing w:val="-16"/>
          <w:w w:val="105"/>
        </w:rPr>
        <w:t> </w:t>
      </w:r>
      <w:r>
        <w:rPr>
          <w:w w:val="105"/>
        </w:rPr>
        <w:t>impact on</w:t>
      </w:r>
      <w:r>
        <w:rPr>
          <w:spacing w:val="-15"/>
          <w:w w:val="105"/>
        </w:rPr>
        <w:t> </w:t>
      </w:r>
      <w:r>
        <w:rPr>
          <w:w w:val="105"/>
        </w:rPr>
        <w:t>market</w:t>
      </w:r>
      <w:r>
        <w:rPr>
          <w:spacing w:val="-15"/>
          <w:w w:val="105"/>
        </w:rPr>
        <w:t> </w:t>
      </w:r>
      <w:r>
        <w:rPr>
          <w:w w:val="105"/>
        </w:rPr>
        <w:t>liquidity</w:t>
      </w:r>
      <w:r>
        <w:rPr>
          <w:spacing w:val="-15"/>
          <w:w w:val="105"/>
        </w:rPr>
        <w:t> </w:t>
      </w:r>
      <w:r>
        <w:rPr>
          <w:w w:val="105"/>
        </w:rPr>
        <w:t>of</w:t>
      </w:r>
      <w:r>
        <w:rPr>
          <w:spacing w:val="-16"/>
          <w:w w:val="105"/>
        </w:rPr>
        <w:t> </w:t>
      </w:r>
      <w:r>
        <w:rPr>
          <w:w w:val="105"/>
        </w:rPr>
        <w:t>structural</w:t>
      </w:r>
      <w:r>
        <w:rPr>
          <w:spacing w:val="-16"/>
          <w:w w:val="105"/>
        </w:rPr>
        <w:t> </w:t>
      </w:r>
      <w:r>
        <w:rPr>
          <w:w w:val="105"/>
        </w:rPr>
        <w:t>changes</w:t>
      </w:r>
      <w:r>
        <w:rPr>
          <w:spacing w:val="-16"/>
          <w:w w:val="105"/>
        </w:rPr>
        <w:t> </w:t>
      </w:r>
      <w:r>
        <w:rPr>
          <w:w w:val="105"/>
        </w:rPr>
        <w:t>in</w:t>
      </w:r>
      <w:r>
        <w:rPr>
          <w:spacing w:val="-16"/>
          <w:w w:val="105"/>
        </w:rPr>
        <w:t> </w:t>
      </w:r>
      <w:r>
        <w:rPr>
          <w:w w:val="105"/>
        </w:rPr>
        <w:t>financial</w:t>
      </w:r>
      <w:r>
        <w:rPr>
          <w:spacing w:val="-15"/>
          <w:w w:val="105"/>
        </w:rPr>
        <w:t> </w:t>
      </w:r>
      <w:r>
        <w:rPr>
          <w:w w:val="105"/>
        </w:rPr>
        <w:t>markets</w:t>
      </w:r>
      <w:r>
        <w:rPr>
          <w:spacing w:val="-16"/>
          <w:w w:val="105"/>
        </w:rPr>
        <w:t> </w:t>
      </w:r>
      <w:r>
        <w:rPr>
          <w:w w:val="105"/>
        </w:rPr>
        <w:t>over</w:t>
      </w:r>
      <w:r>
        <w:rPr>
          <w:spacing w:val="-16"/>
          <w:w w:val="105"/>
        </w:rPr>
        <w:t> </w:t>
      </w:r>
      <w:r>
        <w:rPr>
          <w:w w:val="105"/>
        </w:rPr>
        <w:t>the</w:t>
      </w:r>
      <w:r>
        <w:rPr>
          <w:spacing w:val="-16"/>
          <w:w w:val="105"/>
        </w:rPr>
        <w:t> </w:t>
      </w:r>
      <w:r>
        <w:rPr>
          <w:w w:val="105"/>
        </w:rPr>
        <w:t>past</w:t>
      </w:r>
      <w:r>
        <w:rPr>
          <w:spacing w:val="-16"/>
          <w:w w:val="105"/>
        </w:rPr>
        <w:t> </w:t>
      </w:r>
      <w:r>
        <w:rPr>
          <w:w w:val="105"/>
        </w:rPr>
        <w:t>few</w:t>
      </w:r>
      <w:r>
        <w:rPr>
          <w:spacing w:val="-17"/>
          <w:w w:val="105"/>
        </w:rPr>
        <w:t> </w:t>
      </w:r>
      <w:r>
        <w:rPr>
          <w:w w:val="105"/>
        </w:rPr>
        <w:t>years, such as ongoing innovation, changing preferences among investors and regulatory influences.</w:t>
      </w:r>
    </w:p>
    <w:p>
      <w:pPr>
        <w:pStyle w:val="BodyText"/>
        <w:spacing w:before="1"/>
        <w:rPr>
          <w:sz w:val="23"/>
        </w:rPr>
      </w:pPr>
    </w:p>
    <w:p>
      <w:pPr>
        <w:pStyle w:val="BodyText"/>
        <w:spacing w:line="491" w:lineRule="auto" w:before="1"/>
        <w:ind w:left="552" w:right="506"/>
      </w:pPr>
      <w:r>
        <w:rPr>
          <w:w w:val="105"/>
        </w:rPr>
        <w:t>The Committee considered the impact on liquidity in the FX market as a result of evolving structures and trading approaches. In particular, members discussed the impact</w:t>
      </w:r>
      <w:r>
        <w:rPr>
          <w:spacing w:val="-18"/>
          <w:w w:val="105"/>
        </w:rPr>
        <w:t> </w:t>
      </w:r>
      <w:r>
        <w:rPr>
          <w:w w:val="105"/>
        </w:rPr>
        <w:t>of:</w:t>
      </w:r>
      <w:r>
        <w:rPr>
          <w:spacing w:val="-18"/>
          <w:w w:val="105"/>
        </w:rPr>
        <w:t> </w:t>
      </w:r>
      <w:r>
        <w:rPr>
          <w:w w:val="105"/>
        </w:rPr>
        <w:t>(i)</w:t>
      </w:r>
      <w:r>
        <w:rPr>
          <w:spacing w:val="-18"/>
          <w:w w:val="105"/>
        </w:rPr>
        <w:t> </w:t>
      </w:r>
      <w:r>
        <w:rPr>
          <w:w w:val="105"/>
        </w:rPr>
        <w:t>increasing</w:t>
      </w:r>
      <w:r>
        <w:rPr>
          <w:spacing w:val="-17"/>
          <w:w w:val="105"/>
        </w:rPr>
        <w:t> </w:t>
      </w:r>
      <w:r>
        <w:rPr>
          <w:w w:val="105"/>
        </w:rPr>
        <w:t>assets</w:t>
      </w:r>
      <w:r>
        <w:rPr>
          <w:spacing w:val="-18"/>
          <w:w w:val="105"/>
        </w:rPr>
        <w:t> </w:t>
      </w:r>
      <w:r>
        <w:rPr>
          <w:w w:val="105"/>
        </w:rPr>
        <w:t>under</w:t>
      </w:r>
      <w:r>
        <w:rPr>
          <w:spacing w:val="-17"/>
          <w:w w:val="105"/>
        </w:rPr>
        <w:t> </w:t>
      </w:r>
      <w:r>
        <w:rPr>
          <w:w w:val="105"/>
        </w:rPr>
        <w:t>management;</w:t>
      </w:r>
      <w:r>
        <w:rPr>
          <w:spacing w:val="-18"/>
          <w:w w:val="105"/>
        </w:rPr>
        <w:t> </w:t>
      </w:r>
      <w:r>
        <w:rPr>
          <w:w w:val="105"/>
        </w:rPr>
        <w:t>(ii)</w:t>
      </w:r>
      <w:r>
        <w:rPr>
          <w:spacing w:val="-17"/>
          <w:w w:val="105"/>
        </w:rPr>
        <w:t> </w:t>
      </w:r>
      <w:r>
        <w:rPr>
          <w:w w:val="105"/>
        </w:rPr>
        <w:t>newer</w:t>
      </w:r>
      <w:r>
        <w:rPr>
          <w:spacing w:val="-18"/>
          <w:w w:val="105"/>
        </w:rPr>
        <w:t> </w:t>
      </w:r>
      <w:r>
        <w:rPr>
          <w:w w:val="105"/>
        </w:rPr>
        <w:t>sources</w:t>
      </w:r>
      <w:r>
        <w:rPr>
          <w:spacing w:val="-18"/>
          <w:w w:val="105"/>
        </w:rPr>
        <w:t> </w:t>
      </w:r>
      <w:r>
        <w:rPr>
          <w:w w:val="105"/>
        </w:rPr>
        <w:t>of</w:t>
      </w:r>
      <w:r>
        <w:rPr>
          <w:spacing w:val="-18"/>
          <w:w w:val="105"/>
        </w:rPr>
        <w:t> </w:t>
      </w:r>
      <w:r>
        <w:rPr>
          <w:w w:val="105"/>
        </w:rPr>
        <w:t>liquidity</w:t>
      </w:r>
      <w:r>
        <w:rPr>
          <w:spacing w:val="-17"/>
          <w:w w:val="105"/>
        </w:rPr>
        <w:t> </w:t>
      </w:r>
      <w:r>
        <w:rPr>
          <w:w w:val="105"/>
        </w:rPr>
        <w:t>and;</w:t>
      </w:r>
    </w:p>
    <w:p>
      <w:pPr>
        <w:pStyle w:val="BodyText"/>
        <w:spacing w:line="491" w:lineRule="auto"/>
        <w:ind w:left="552"/>
      </w:pPr>
      <w:r>
        <w:rPr>
          <w:w w:val="105"/>
        </w:rPr>
        <w:t>(iii)</w:t>
      </w:r>
      <w:r>
        <w:rPr>
          <w:spacing w:val="-23"/>
          <w:w w:val="105"/>
        </w:rPr>
        <w:t> </w:t>
      </w:r>
      <w:r>
        <w:rPr>
          <w:w w:val="105"/>
        </w:rPr>
        <w:t>greater</w:t>
      </w:r>
      <w:r>
        <w:rPr>
          <w:spacing w:val="-23"/>
          <w:w w:val="105"/>
        </w:rPr>
        <w:t> </w:t>
      </w:r>
      <w:r>
        <w:rPr>
          <w:w w:val="105"/>
        </w:rPr>
        <w:t>internalisation</w:t>
      </w:r>
      <w:r>
        <w:rPr>
          <w:spacing w:val="-23"/>
          <w:w w:val="105"/>
        </w:rPr>
        <w:t> </w:t>
      </w:r>
      <w:r>
        <w:rPr>
          <w:w w:val="105"/>
        </w:rPr>
        <w:t>within</w:t>
      </w:r>
      <w:r>
        <w:rPr>
          <w:spacing w:val="-22"/>
          <w:w w:val="105"/>
        </w:rPr>
        <w:t> </w:t>
      </w:r>
      <w:r>
        <w:rPr>
          <w:w w:val="105"/>
        </w:rPr>
        <w:t>institutions</w:t>
      </w:r>
      <w:r>
        <w:rPr>
          <w:spacing w:val="-22"/>
          <w:w w:val="105"/>
        </w:rPr>
        <w:t> </w:t>
      </w:r>
      <w:r>
        <w:rPr>
          <w:w w:val="105"/>
        </w:rPr>
        <w:t>to</w:t>
      </w:r>
      <w:r>
        <w:rPr>
          <w:spacing w:val="-23"/>
          <w:w w:val="105"/>
        </w:rPr>
        <w:t> </w:t>
      </w:r>
      <w:r>
        <w:rPr>
          <w:w w:val="105"/>
        </w:rPr>
        <w:t>facilitate</w:t>
      </w:r>
      <w:r>
        <w:rPr>
          <w:spacing w:val="-22"/>
          <w:w w:val="105"/>
        </w:rPr>
        <w:t> </w:t>
      </w:r>
      <w:r>
        <w:rPr>
          <w:w w:val="105"/>
        </w:rPr>
        <w:t>more</w:t>
      </w:r>
      <w:r>
        <w:rPr>
          <w:spacing w:val="-22"/>
          <w:w w:val="105"/>
        </w:rPr>
        <w:t> </w:t>
      </w:r>
      <w:r>
        <w:rPr>
          <w:w w:val="105"/>
        </w:rPr>
        <w:t>efficient</w:t>
      </w:r>
      <w:r>
        <w:rPr>
          <w:spacing w:val="-23"/>
          <w:w w:val="105"/>
        </w:rPr>
        <w:t> </w:t>
      </w:r>
      <w:r>
        <w:rPr>
          <w:w w:val="105"/>
        </w:rPr>
        <w:t>inventory management.</w:t>
      </w:r>
    </w:p>
    <w:p>
      <w:pPr>
        <w:pStyle w:val="BodyText"/>
        <w:spacing w:before="3"/>
        <w:rPr>
          <w:sz w:val="23"/>
        </w:rPr>
      </w:pPr>
    </w:p>
    <w:p>
      <w:pPr>
        <w:pStyle w:val="Heading1"/>
        <w:numPr>
          <w:ilvl w:val="0"/>
          <w:numId w:val="1"/>
        </w:numPr>
        <w:tabs>
          <w:tab w:pos="552" w:val="left" w:leader="none"/>
          <w:tab w:pos="553" w:val="left" w:leader="none"/>
        </w:tabs>
        <w:spacing w:line="240" w:lineRule="auto" w:before="0" w:after="0"/>
        <w:ind w:left="552" w:right="0" w:hanging="437"/>
        <w:jc w:val="left"/>
      </w:pPr>
      <w:r>
        <w:rPr>
          <w:w w:val="105"/>
        </w:rPr>
        <w:t>Discussion of recent market</w:t>
      </w:r>
      <w:r>
        <w:rPr>
          <w:spacing w:val="-14"/>
          <w:w w:val="105"/>
        </w:rPr>
        <w:t> </w:t>
      </w:r>
      <w:r>
        <w:rPr>
          <w:w w:val="105"/>
        </w:rPr>
        <w:t>developments</w:t>
      </w:r>
    </w:p>
    <w:p>
      <w:pPr>
        <w:pStyle w:val="BodyText"/>
        <w:spacing w:before="9"/>
        <w:rPr>
          <w:b/>
          <w:sz w:val="34"/>
        </w:rPr>
      </w:pPr>
    </w:p>
    <w:p>
      <w:pPr>
        <w:pStyle w:val="BodyText"/>
        <w:spacing w:line="491" w:lineRule="auto" w:after="7"/>
        <w:ind w:left="552" w:right="506"/>
      </w:pPr>
      <w:r>
        <w:rPr>
          <w:w w:val="105"/>
        </w:rPr>
        <w:t>The Committee discussed foreign exchange market conditions, with a focus on the path</w:t>
      </w:r>
      <w:r>
        <w:rPr>
          <w:spacing w:val="-18"/>
          <w:w w:val="105"/>
        </w:rPr>
        <w:t> </w:t>
      </w:r>
      <w:r>
        <w:rPr>
          <w:w w:val="105"/>
        </w:rPr>
        <w:t>of</w:t>
      </w:r>
      <w:r>
        <w:rPr>
          <w:spacing w:val="-15"/>
          <w:w w:val="105"/>
        </w:rPr>
        <w:t> </w:t>
      </w:r>
      <w:r>
        <w:rPr>
          <w:w w:val="105"/>
        </w:rPr>
        <w:t>monetary</w:t>
      </w:r>
      <w:r>
        <w:rPr>
          <w:spacing w:val="-16"/>
          <w:w w:val="105"/>
        </w:rPr>
        <w:t> </w:t>
      </w:r>
      <w:r>
        <w:rPr>
          <w:w w:val="105"/>
        </w:rPr>
        <w:t>policy</w:t>
      </w:r>
      <w:r>
        <w:rPr>
          <w:spacing w:val="-16"/>
          <w:w w:val="105"/>
        </w:rPr>
        <w:t> </w:t>
      </w:r>
      <w:r>
        <w:rPr>
          <w:w w:val="105"/>
        </w:rPr>
        <w:t>and</w:t>
      </w:r>
      <w:r>
        <w:rPr>
          <w:spacing w:val="-17"/>
          <w:w w:val="105"/>
        </w:rPr>
        <w:t> </w:t>
      </w:r>
      <w:r>
        <w:rPr>
          <w:w w:val="105"/>
        </w:rPr>
        <w:t>the</w:t>
      </w:r>
      <w:r>
        <w:rPr>
          <w:spacing w:val="-17"/>
          <w:w w:val="105"/>
        </w:rPr>
        <w:t> </w:t>
      </w:r>
      <w:r>
        <w:rPr>
          <w:w w:val="105"/>
        </w:rPr>
        <w:t>anticipated</w:t>
      </w:r>
      <w:r>
        <w:rPr>
          <w:spacing w:val="-17"/>
          <w:w w:val="105"/>
        </w:rPr>
        <w:t> </w:t>
      </w:r>
      <w:r>
        <w:rPr>
          <w:w w:val="105"/>
        </w:rPr>
        <w:t>policy</w:t>
      </w:r>
      <w:r>
        <w:rPr>
          <w:spacing w:val="-16"/>
          <w:w w:val="105"/>
        </w:rPr>
        <w:t> </w:t>
      </w:r>
      <w:r>
        <w:rPr>
          <w:w w:val="105"/>
        </w:rPr>
        <w:t>divergence</w:t>
      </w:r>
      <w:r>
        <w:rPr>
          <w:spacing w:val="-17"/>
          <w:w w:val="105"/>
        </w:rPr>
        <w:t> </w:t>
      </w:r>
      <w:r>
        <w:rPr>
          <w:w w:val="105"/>
        </w:rPr>
        <w:t>between</w:t>
      </w:r>
      <w:r>
        <w:rPr>
          <w:spacing w:val="-16"/>
          <w:w w:val="105"/>
        </w:rPr>
        <w:t> </w:t>
      </w:r>
      <w:r>
        <w:rPr>
          <w:w w:val="105"/>
        </w:rPr>
        <w:t>major</w:t>
      </w:r>
      <w:r>
        <w:rPr>
          <w:spacing w:val="-17"/>
          <w:w w:val="105"/>
        </w:rPr>
        <w:t> </w:t>
      </w:r>
      <w:r>
        <w:rPr>
          <w:w w:val="105"/>
        </w:rPr>
        <w:t>global economies.</w:t>
      </w:r>
      <w:r>
        <w:rPr>
          <w:spacing w:val="28"/>
          <w:w w:val="105"/>
        </w:rPr>
        <w:t> </w:t>
      </w:r>
      <w:r>
        <w:rPr>
          <w:w w:val="105"/>
        </w:rPr>
        <w:t>Members</w:t>
      </w:r>
      <w:r>
        <w:rPr>
          <w:spacing w:val="-15"/>
          <w:w w:val="105"/>
        </w:rPr>
        <w:t> </w:t>
      </w:r>
      <w:r>
        <w:rPr>
          <w:w w:val="105"/>
        </w:rPr>
        <w:t>broadly</w:t>
      </w:r>
      <w:r>
        <w:rPr>
          <w:spacing w:val="-14"/>
          <w:w w:val="105"/>
        </w:rPr>
        <w:t> </w:t>
      </w:r>
      <w:r>
        <w:rPr>
          <w:w w:val="105"/>
        </w:rPr>
        <w:t>agreed</w:t>
      </w:r>
      <w:r>
        <w:rPr>
          <w:spacing w:val="-14"/>
          <w:w w:val="105"/>
        </w:rPr>
        <w:t> </w:t>
      </w:r>
      <w:r>
        <w:rPr>
          <w:w w:val="105"/>
        </w:rPr>
        <w:t>that</w:t>
      </w:r>
      <w:r>
        <w:rPr>
          <w:spacing w:val="-15"/>
          <w:w w:val="105"/>
        </w:rPr>
        <w:t> </w:t>
      </w:r>
      <w:r>
        <w:rPr>
          <w:w w:val="105"/>
        </w:rPr>
        <w:t>the</w:t>
      </w:r>
      <w:r>
        <w:rPr>
          <w:spacing w:val="-15"/>
          <w:w w:val="105"/>
        </w:rPr>
        <w:t> </w:t>
      </w:r>
      <w:r>
        <w:rPr>
          <w:w w:val="105"/>
        </w:rPr>
        <w:t>market</w:t>
      </w:r>
      <w:r>
        <w:rPr>
          <w:spacing w:val="-15"/>
          <w:w w:val="105"/>
        </w:rPr>
        <w:t> </w:t>
      </w:r>
      <w:r>
        <w:rPr>
          <w:w w:val="105"/>
        </w:rPr>
        <w:t>was</w:t>
      </w:r>
      <w:r>
        <w:rPr>
          <w:spacing w:val="-15"/>
          <w:w w:val="105"/>
        </w:rPr>
        <w:t> </w:t>
      </w:r>
      <w:r>
        <w:rPr>
          <w:w w:val="105"/>
        </w:rPr>
        <w:t>expecting</w:t>
      </w:r>
      <w:r>
        <w:rPr>
          <w:spacing w:val="-15"/>
          <w:w w:val="105"/>
        </w:rPr>
        <w:t> </w:t>
      </w:r>
      <w:r>
        <w:rPr>
          <w:w w:val="105"/>
        </w:rPr>
        <w:t>a</w:t>
      </w:r>
      <w:r>
        <w:rPr>
          <w:spacing w:val="-15"/>
          <w:w w:val="105"/>
        </w:rPr>
        <w:t> </w:t>
      </w:r>
      <w:r>
        <w:rPr>
          <w:w w:val="105"/>
        </w:rPr>
        <w:t>US</w:t>
      </w:r>
      <w:r>
        <w:rPr>
          <w:spacing w:val="-15"/>
          <w:w w:val="105"/>
        </w:rPr>
        <w:t> </w:t>
      </w:r>
      <w:r>
        <w:rPr>
          <w:w w:val="105"/>
        </w:rPr>
        <w:t>rate</w:t>
      </w:r>
      <w:r>
        <w:rPr>
          <w:spacing w:val="-17"/>
          <w:w w:val="105"/>
        </w:rPr>
        <w:t> </w:t>
      </w:r>
      <w:r>
        <w:rPr>
          <w:w w:val="105"/>
        </w:rPr>
        <w:t>rise</w:t>
      </w:r>
      <w:r>
        <w:rPr>
          <w:spacing w:val="-17"/>
          <w:w w:val="105"/>
        </w:rPr>
        <w:t> </w:t>
      </w:r>
      <w:r>
        <w:rPr>
          <w:w w:val="105"/>
        </w:rPr>
        <w:t>on</w:t>
      </w:r>
    </w:p>
    <w:p>
      <w:pPr>
        <w:pStyle w:val="BodyText"/>
        <w:spacing w:line="20" w:lineRule="exact"/>
        <w:ind w:left="546"/>
        <w:rPr>
          <w:sz w:val="2"/>
        </w:rPr>
      </w:pPr>
      <w:r>
        <w:rPr>
          <w:sz w:val="2"/>
        </w:rPr>
        <w:pict>
          <v:group style="width:135.5pt;height:.550pt;mso-position-horizontal-relative:char;mso-position-vertical-relative:line" coordorigin="0,0" coordsize="2710,11">
            <v:line style="position:absolute" from="0,5" to="2710,5" stroked="true" strokeweight=".53998pt" strokecolor="#000000">
              <v:stroke dashstyle="solid"/>
            </v:line>
          </v:group>
        </w:pict>
      </w:r>
      <w:r>
        <w:rPr>
          <w:sz w:val="2"/>
        </w:rPr>
      </w:r>
    </w:p>
    <w:p>
      <w:pPr>
        <w:spacing w:line="235" w:lineRule="auto" w:before="64"/>
        <w:ind w:left="552" w:right="1354" w:firstLine="0"/>
        <w:jc w:val="left"/>
        <w:rPr>
          <w:sz w:val="19"/>
        </w:rPr>
      </w:pPr>
      <w:r>
        <w:rPr>
          <w:position w:val="9"/>
          <w:sz w:val="12"/>
        </w:rPr>
        <w:t>1 </w:t>
      </w:r>
      <w:r>
        <w:rPr>
          <w:sz w:val="19"/>
        </w:rPr>
        <w:t>The paper can be accessed here: </w:t>
      </w:r>
      <w:hyperlink r:id="rId6">
        <w:r>
          <w:rPr>
            <w:color w:val="0000FF"/>
            <w:sz w:val="19"/>
            <w:u w:val="single" w:color="0000FF"/>
          </w:rPr>
          <w:t>http://www.bankofengland.co.uk/financialstability/Documents/fpc/fspapers/fs_paper34.pdf</w:t>
        </w:r>
      </w:hyperlink>
    </w:p>
    <w:p>
      <w:pPr>
        <w:spacing w:after="0" w:line="235" w:lineRule="auto"/>
        <w:jc w:val="left"/>
        <w:rPr>
          <w:sz w:val="19"/>
        </w:rPr>
        <w:sectPr>
          <w:pgSz w:w="12240" w:h="15840"/>
          <w:pgMar w:header="0" w:footer="634" w:top="1280" w:bottom="820" w:left="1660" w:right="1720"/>
        </w:sectPr>
      </w:pPr>
    </w:p>
    <w:p>
      <w:pPr>
        <w:pStyle w:val="BodyText"/>
        <w:spacing w:line="491" w:lineRule="auto" w:before="78"/>
        <w:ind w:left="552" w:right="506"/>
      </w:pPr>
      <w:r>
        <w:rPr>
          <w:w w:val="105"/>
        </w:rPr>
        <w:t>16 December and that, barring any surprise, the impact on liquidity would be manageable. Additionally, the Committee discussed the recent attacks in Paris and the</w:t>
      </w:r>
      <w:r>
        <w:rPr>
          <w:spacing w:val="-17"/>
          <w:w w:val="105"/>
        </w:rPr>
        <w:t> </w:t>
      </w:r>
      <w:r>
        <w:rPr>
          <w:w w:val="105"/>
        </w:rPr>
        <w:t>potential</w:t>
      </w:r>
      <w:r>
        <w:rPr>
          <w:spacing w:val="-15"/>
          <w:w w:val="105"/>
        </w:rPr>
        <w:t> </w:t>
      </w:r>
      <w:r>
        <w:rPr>
          <w:w w:val="105"/>
        </w:rPr>
        <w:t>implications</w:t>
      </w:r>
      <w:r>
        <w:rPr>
          <w:spacing w:val="-17"/>
          <w:w w:val="105"/>
        </w:rPr>
        <w:t> </w:t>
      </w:r>
      <w:r>
        <w:rPr>
          <w:w w:val="105"/>
        </w:rPr>
        <w:t>on</w:t>
      </w:r>
      <w:r>
        <w:rPr>
          <w:spacing w:val="-16"/>
          <w:w w:val="105"/>
        </w:rPr>
        <w:t> </w:t>
      </w:r>
      <w:r>
        <w:rPr>
          <w:w w:val="105"/>
        </w:rPr>
        <w:t>a</w:t>
      </w:r>
      <w:r>
        <w:rPr>
          <w:spacing w:val="-16"/>
          <w:w w:val="105"/>
        </w:rPr>
        <w:t> </w:t>
      </w:r>
      <w:r>
        <w:rPr>
          <w:w w:val="105"/>
        </w:rPr>
        <w:t>US</w:t>
      </w:r>
      <w:r>
        <w:rPr>
          <w:spacing w:val="-17"/>
          <w:w w:val="105"/>
        </w:rPr>
        <w:t> </w:t>
      </w:r>
      <w:r>
        <w:rPr>
          <w:w w:val="105"/>
        </w:rPr>
        <w:t>rate</w:t>
      </w:r>
      <w:r>
        <w:rPr>
          <w:spacing w:val="-17"/>
          <w:w w:val="105"/>
        </w:rPr>
        <w:t> </w:t>
      </w:r>
      <w:r>
        <w:rPr>
          <w:w w:val="105"/>
        </w:rPr>
        <w:t>rise</w:t>
      </w:r>
      <w:r>
        <w:rPr>
          <w:spacing w:val="-15"/>
          <w:w w:val="105"/>
        </w:rPr>
        <w:t> </w:t>
      </w:r>
      <w:r>
        <w:rPr>
          <w:w w:val="105"/>
        </w:rPr>
        <w:t>in</w:t>
      </w:r>
      <w:r>
        <w:rPr>
          <w:spacing w:val="-17"/>
          <w:w w:val="105"/>
        </w:rPr>
        <w:t> </w:t>
      </w:r>
      <w:r>
        <w:rPr>
          <w:w w:val="105"/>
        </w:rPr>
        <w:t>December</w:t>
      </w:r>
      <w:r>
        <w:rPr>
          <w:spacing w:val="-16"/>
          <w:w w:val="105"/>
        </w:rPr>
        <w:t> </w:t>
      </w:r>
      <w:r>
        <w:rPr>
          <w:w w:val="105"/>
        </w:rPr>
        <w:t>if</w:t>
      </w:r>
      <w:r>
        <w:rPr>
          <w:spacing w:val="-16"/>
          <w:w w:val="105"/>
        </w:rPr>
        <w:t> </w:t>
      </w:r>
      <w:r>
        <w:rPr>
          <w:w w:val="105"/>
        </w:rPr>
        <w:t>financial</w:t>
      </w:r>
      <w:r>
        <w:rPr>
          <w:spacing w:val="-15"/>
          <w:w w:val="105"/>
        </w:rPr>
        <w:t> </w:t>
      </w:r>
      <w:r>
        <w:rPr>
          <w:w w:val="105"/>
        </w:rPr>
        <w:t>market</w:t>
      </w:r>
      <w:r>
        <w:rPr>
          <w:spacing w:val="-16"/>
          <w:w w:val="105"/>
        </w:rPr>
        <w:t> </w:t>
      </w:r>
      <w:r>
        <w:rPr>
          <w:w w:val="105"/>
        </w:rPr>
        <w:t>conditions deteriorated</w:t>
      </w:r>
      <w:r>
        <w:rPr>
          <w:spacing w:val="-2"/>
          <w:w w:val="105"/>
        </w:rPr>
        <w:t> </w:t>
      </w:r>
      <w:r>
        <w:rPr>
          <w:w w:val="105"/>
        </w:rPr>
        <w:t>significantly.</w:t>
      </w:r>
    </w:p>
    <w:p>
      <w:pPr>
        <w:pStyle w:val="BodyText"/>
        <w:spacing w:before="2"/>
        <w:rPr>
          <w:sz w:val="23"/>
        </w:rPr>
      </w:pPr>
    </w:p>
    <w:p>
      <w:pPr>
        <w:pStyle w:val="BodyText"/>
        <w:tabs>
          <w:tab w:pos="3393" w:val="left" w:leader="none"/>
        </w:tabs>
        <w:spacing w:line="491" w:lineRule="auto"/>
        <w:ind w:left="552" w:right="543"/>
      </w:pPr>
      <w:r>
        <w:rPr>
          <w:w w:val="105"/>
        </w:rPr>
        <w:t>Some</w:t>
      </w:r>
      <w:r>
        <w:rPr>
          <w:spacing w:val="-12"/>
          <w:w w:val="105"/>
        </w:rPr>
        <w:t> </w:t>
      </w:r>
      <w:r>
        <w:rPr>
          <w:w w:val="105"/>
        </w:rPr>
        <w:t>members</w:t>
      </w:r>
      <w:r>
        <w:rPr>
          <w:spacing w:val="-14"/>
          <w:w w:val="105"/>
        </w:rPr>
        <w:t> </w:t>
      </w:r>
      <w:r>
        <w:rPr>
          <w:w w:val="105"/>
        </w:rPr>
        <w:t>noted</w:t>
      </w:r>
      <w:r>
        <w:rPr>
          <w:spacing w:val="-13"/>
          <w:w w:val="105"/>
        </w:rPr>
        <w:t> </w:t>
      </w:r>
      <w:r>
        <w:rPr>
          <w:w w:val="105"/>
        </w:rPr>
        <w:t>that</w:t>
      </w:r>
      <w:r>
        <w:rPr>
          <w:spacing w:val="-14"/>
          <w:w w:val="105"/>
        </w:rPr>
        <w:t> </w:t>
      </w:r>
      <w:r>
        <w:rPr>
          <w:w w:val="105"/>
        </w:rPr>
        <w:t>FX</w:t>
      </w:r>
      <w:r>
        <w:rPr>
          <w:spacing w:val="-13"/>
          <w:w w:val="105"/>
        </w:rPr>
        <w:t> </w:t>
      </w:r>
      <w:r>
        <w:rPr>
          <w:w w:val="105"/>
        </w:rPr>
        <w:t>implied</w:t>
      </w:r>
      <w:r>
        <w:rPr>
          <w:spacing w:val="-13"/>
          <w:w w:val="105"/>
        </w:rPr>
        <w:t> </w:t>
      </w:r>
      <w:r>
        <w:rPr>
          <w:w w:val="105"/>
        </w:rPr>
        <w:t>volatility</w:t>
      </w:r>
      <w:r>
        <w:rPr>
          <w:spacing w:val="-12"/>
          <w:w w:val="105"/>
        </w:rPr>
        <w:t> </w:t>
      </w:r>
      <w:r>
        <w:rPr>
          <w:w w:val="105"/>
        </w:rPr>
        <w:t>for</w:t>
      </w:r>
      <w:r>
        <w:rPr>
          <w:spacing w:val="-14"/>
          <w:w w:val="105"/>
        </w:rPr>
        <w:t> </w:t>
      </w:r>
      <w:r>
        <w:rPr>
          <w:w w:val="105"/>
        </w:rPr>
        <w:t>the</w:t>
      </w:r>
      <w:r>
        <w:rPr>
          <w:spacing w:val="-13"/>
          <w:w w:val="105"/>
        </w:rPr>
        <w:t> </w:t>
      </w:r>
      <w:r>
        <w:rPr>
          <w:w w:val="105"/>
        </w:rPr>
        <w:t>one</w:t>
      </w:r>
      <w:r>
        <w:rPr>
          <w:spacing w:val="-12"/>
          <w:w w:val="105"/>
        </w:rPr>
        <w:t> </w:t>
      </w:r>
      <w:r>
        <w:rPr>
          <w:w w:val="105"/>
        </w:rPr>
        <w:t>month</w:t>
      </w:r>
      <w:r>
        <w:rPr>
          <w:spacing w:val="-14"/>
          <w:w w:val="105"/>
        </w:rPr>
        <w:t> </w:t>
      </w:r>
      <w:r>
        <w:rPr>
          <w:w w:val="105"/>
        </w:rPr>
        <w:t>tenor</w:t>
      </w:r>
      <w:r>
        <w:rPr>
          <w:spacing w:val="-13"/>
          <w:w w:val="105"/>
        </w:rPr>
        <w:t> </w:t>
      </w:r>
      <w:r>
        <w:rPr>
          <w:w w:val="105"/>
        </w:rPr>
        <w:t>had</w:t>
      </w:r>
      <w:r>
        <w:rPr>
          <w:spacing w:val="-13"/>
          <w:w w:val="105"/>
        </w:rPr>
        <w:t> </w:t>
      </w:r>
      <w:r>
        <w:rPr>
          <w:w w:val="105"/>
        </w:rPr>
        <w:t>recently increased,</w:t>
      </w:r>
      <w:r>
        <w:rPr>
          <w:spacing w:val="-16"/>
          <w:w w:val="105"/>
        </w:rPr>
        <w:t> </w:t>
      </w:r>
      <w:r>
        <w:rPr>
          <w:w w:val="105"/>
        </w:rPr>
        <w:t>as</w:t>
      </w:r>
      <w:r>
        <w:rPr>
          <w:spacing w:val="-15"/>
          <w:w w:val="105"/>
        </w:rPr>
        <w:t> </w:t>
      </w:r>
      <w:r>
        <w:rPr>
          <w:w w:val="105"/>
        </w:rPr>
        <w:t>the</w:t>
      </w:r>
      <w:r>
        <w:rPr>
          <w:spacing w:val="-18"/>
          <w:w w:val="105"/>
        </w:rPr>
        <w:t> </w:t>
      </w:r>
      <w:r>
        <w:rPr>
          <w:w w:val="105"/>
        </w:rPr>
        <w:t>16</w:t>
      </w:r>
      <w:r>
        <w:rPr>
          <w:spacing w:val="-16"/>
          <w:w w:val="105"/>
        </w:rPr>
        <w:t> </w:t>
      </w:r>
      <w:r>
        <w:rPr>
          <w:w w:val="105"/>
        </w:rPr>
        <w:t>December</w:t>
      </w:r>
      <w:r>
        <w:rPr>
          <w:spacing w:val="-17"/>
          <w:w w:val="105"/>
        </w:rPr>
        <w:t> </w:t>
      </w:r>
      <w:r>
        <w:rPr>
          <w:w w:val="105"/>
        </w:rPr>
        <w:t>Federal</w:t>
      </w:r>
      <w:r>
        <w:rPr>
          <w:spacing w:val="-17"/>
          <w:w w:val="105"/>
        </w:rPr>
        <w:t> </w:t>
      </w:r>
      <w:r>
        <w:rPr>
          <w:w w:val="105"/>
        </w:rPr>
        <w:t>Reserve</w:t>
      </w:r>
      <w:r>
        <w:rPr>
          <w:spacing w:val="-16"/>
          <w:w w:val="105"/>
        </w:rPr>
        <w:t> </w:t>
      </w:r>
      <w:r>
        <w:rPr>
          <w:w w:val="105"/>
        </w:rPr>
        <w:t>Bank</w:t>
      </w:r>
      <w:r>
        <w:rPr>
          <w:spacing w:val="-16"/>
          <w:w w:val="105"/>
        </w:rPr>
        <w:t> </w:t>
      </w:r>
      <w:r>
        <w:rPr>
          <w:w w:val="105"/>
        </w:rPr>
        <w:t>of</w:t>
      </w:r>
      <w:r>
        <w:rPr>
          <w:spacing w:val="-17"/>
          <w:w w:val="105"/>
        </w:rPr>
        <w:t> </w:t>
      </w:r>
      <w:r>
        <w:rPr>
          <w:w w:val="105"/>
        </w:rPr>
        <w:t>New</w:t>
      </w:r>
      <w:r>
        <w:rPr>
          <w:spacing w:val="-16"/>
          <w:w w:val="105"/>
        </w:rPr>
        <w:t> </w:t>
      </w:r>
      <w:r>
        <w:rPr>
          <w:w w:val="105"/>
        </w:rPr>
        <w:t>York</w:t>
      </w:r>
      <w:r>
        <w:rPr>
          <w:spacing w:val="-17"/>
          <w:w w:val="105"/>
        </w:rPr>
        <w:t> </w:t>
      </w:r>
      <w:r>
        <w:rPr>
          <w:w w:val="105"/>
        </w:rPr>
        <w:t>decision</w:t>
      </w:r>
      <w:r>
        <w:rPr>
          <w:spacing w:val="-15"/>
          <w:w w:val="105"/>
        </w:rPr>
        <w:t> </w:t>
      </w:r>
      <w:r>
        <w:rPr>
          <w:w w:val="105"/>
        </w:rPr>
        <w:t>moved</w:t>
      </w:r>
      <w:r>
        <w:rPr>
          <w:spacing w:val="-16"/>
          <w:w w:val="105"/>
        </w:rPr>
        <w:t> </w:t>
      </w:r>
      <w:r>
        <w:rPr>
          <w:w w:val="105"/>
        </w:rPr>
        <w:t>to within the one</w:t>
      </w:r>
      <w:r>
        <w:rPr>
          <w:spacing w:val="-37"/>
          <w:w w:val="105"/>
        </w:rPr>
        <w:t> </w:t>
      </w:r>
      <w:r>
        <w:rPr>
          <w:w w:val="105"/>
        </w:rPr>
        <w:t>month</w:t>
      </w:r>
      <w:r>
        <w:rPr>
          <w:spacing w:val="-12"/>
          <w:w w:val="105"/>
        </w:rPr>
        <w:t> </w:t>
      </w:r>
      <w:r>
        <w:rPr>
          <w:w w:val="105"/>
        </w:rPr>
        <w:t>period.</w:t>
        <w:tab/>
        <w:t>Other members noted the increased cost of securing US</w:t>
      </w:r>
      <w:r>
        <w:rPr>
          <w:spacing w:val="-12"/>
          <w:w w:val="105"/>
        </w:rPr>
        <w:t> </w:t>
      </w:r>
      <w:r>
        <w:rPr>
          <w:w w:val="105"/>
        </w:rPr>
        <w:t>dollar</w:t>
      </w:r>
      <w:r>
        <w:rPr>
          <w:spacing w:val="-12"/>
          <w:w w:val="105"/>
        </w:rPr>
        <w:t> </w:t>
      </w:r>
      <w:r>
        <w:rPr>
          <w:w w:val="105"/>
        </w:rPr>
        <w:t>funding</w:t>
      </w:r>
      <w:r>
        <w:rPr>
          <w:spacing w:val="-12"/>
          <w:w w:val="105"/>
        </w:rPr>
        <w:t> </w:t>
      </w:r>
      <w:r>
        <w:rPr>
          <w:w w:val="105"/>
        </w:rPr>
        <w:t>to</w:t>
      </w:r>
      <w:r>
        <w:rPr>
          <w:spacing w:val="-12"/>
          <w:w w:val="105"/>
        </w:rPr>
        <w:t> </w:t>
      </w:r>
      <w:r>
        <w:rPr>
          <w:w w:val="105"/>
        </w:rPr>
        <w:t>cover</w:t>
      </w:r>
      <w:r>
        <w:rPr>
          <w:spacing w:val="-12"/>
          <w:w w:val="105"/>
        </w:rPr>
        <w:t> </w:t>
      </w:r>
      <w:r>
        <w:rPr>
          <w:w w:val="105"/>
        </w:rPr>
        <w:t>the</w:t>
      </w:r>
      <w:r>
        <w:rPr>
          <w:spacing w:val="-12"/>
          <w:w w:val="105"/>
        </w:rPr>
        <w:t> </w:t>
      </w:r>
      <w:r>
        <w:rPr>
          <w:w w:val="105"/>
        </w:rPr>
        <w:t>year</w:t>
      </w:r>
      <w:r>
        <w:rPr>
          <w:spacing w:val="-12"/>
          <w:w w:val="105"/>
        </w:rPr>
        <w:t> </w:t>
      </w:r>
      <w:r>
        <w:rPr>
          <w:w w:val="105"/>
        </w:rPr>
        <w:t>end</w:t>
      </w:r>
      <w:r>
        <w:rPr>
          <w:spacing w:val="-12"/>
          <w:w w:val="105"/>
        </w:rPr>
        <w:t> </w:t>
      </w:r>
      <w:r>
        <w:rPr>
          <w:w w:val="105"/>
        </w:rPr>
        <w:t>reporting</w:t>
      </w:r>
      <w:r>
        <w:rPr>
          <w:spacing w:val="-11"/>
          <w:w w:val="105"/>
        </w:rPr>
        <w:t> </w:t>
      </w:r>
      <w:r>
        <w:rPr>
          <w:w w:val="105"/>
        </w:rPr>
        <w:t>date</w:t>
      </w:r>
      <w:r>
        <w:rPr>
          <w:spacing w:val="-12"/>
          <w:w w:val="105"/>
        </w:rPr>
        <w:t> </w:t>
      </w:r>
      <w:r>
        <w:rPr>
          <w:w w:val="105"/>
        </w:rPr>
        <w:t>of</w:t>
      </w:r>
      <w:r>
        <w:rPr>
          <w:spacing w:val="-12"/>
          <w:w w:val="105"/>
        </w:rPr>
        <w:t> </w:t>
      </w:r>
      <w:r>
        <w:rPr>
          <w:w w:val="105"/>
        </w:rPr>
        <w:t>31</w:t>
      </w:r>
      <w:r>
        <w:rPr>
          <w:spacing w:val="-11"/>
          <w:w w:val="105"/>
        </w:rPr>
        <w:t> </w:t>
      </w:r>
      <w:r>
        <w:rPr>
          <w:w w:val="105"/>
        </w:rPr>
        <w:t>December,</w:t>
      </w:r>
      <w:r>
        <w:rPr>
          <w:spacing w:val="-11"/>
          <w:w w:val="105"/>
        </w:rPr>
        <w:t> </w:t>
      </w:r>
      <w:r>
        <w:rPr>
          <w:w w:val="105"/>
        </w:rPr>
        <w:t>as</w:t>
      </w:r>
      <w:r>
        <w:rPr>
          <w:spacing w:val="-12"/>
          <w:w w:val="105"/>
        </w:rPr>
        <w:t> </w:t>
      </w:r>
      <w:r>
        <w:rPr>
          <w:w w:val="105"/>
        </w:rPr>
        <w:t>a</w:t>
      </w:r>
      <w:r>
        <w:rPr>
          <w:spacing w:val="-12"/>
          <w:w w:val="105"/>
        </w:rPr>
        <w:t> </w:t>
      </w:r>
      <w:r>
        <w:rPr>
          <w:w w:val="105"/>
        </w:rPr>
        <w:t>result</w:t>
      </w:r>
      <w:r>
        <w:rPr>
          <w:spacing w:val="-14"/>
          <w:w w:val="105"/>
        </w:rPr>
        <w:t> </w:t>
      </w:r>
      <w:r>
        <w:rPr>
          <w:w w:val="105"/>
        </w:rPr>
        <w:t>of market uncertainty. The Committee also discussed the impact of a US rate rise on leveraged US dollar</w:t>
      </w:r>
      <w:r>
        <w:rPr>
          <w:spacing w:val="-8"/>
          <w:w w:val="105"/>
        </w:rPr>
        <w:t> </w:t>
      </w:r>
      <w:r>
        <w:rPr>
          <w:w w:val="105"/>
        </w:rPr>
        <w:t>positions.</w:t>
      </w:r>
    </w:p>
    <w:p>
      <w:pPr>
        <w:pStyle w:val="BodyText"/>
        <w:spacing w:before="4"/>
        <w:rPr>
          <w:sz w:val="23"/>
        </w:rPr>
      </w:pPr>
    </w:p>
    <w:p>
      <w:pPr>
        <w:pStyle w:val="Heading1"/>
        <w:numPr>
          <w:ilvl w:val="0"/>
          <w:numId w:val="1"/>
        </w:numPr>
        <w:tabs>
          <w:tab w:pos="552" w:val="left" w:leader="none"/>
          <w:tab w:pos="553" w:val="left" w:leader="none"/>
        </w:tabs>
        <w:spacing w:line="240" w:lineRule="auto" w:before="1" w:after="0"/>
        <w:ind w:left="552" w:right="0" w:hanging="438"/>
        <w:jc w:val="left"/>
      </w:pPr>
      <w:r>
        <w:rPr>
          <w:w w:val="105"/>
        </w:rPr>
        <w:t>Global FX</w:t>
      </w:r>
      <w:r>
        <w:rPr>
          <w:spacing w:val="-5"/>
          <w:w w:val="105"/>
        </w:rPr>
        <w:t> </w:t>
      </w:r>
      <w:r>
        <w:rPr>
          <w:w w:val="105"/>
        </w:rPr>
        <w:t>Code</w:t>
      </w:r>
    </w:p>
    <w:p>
      <w:pPr>
        <w:pStyle w:val="BodyText"/>
        <w:rPr>
          <w:b/>
          <w:sz w:val="24"/>
        </w:rPr>
      </w:pPr>
    </w:p>
    <w:p>
      <w:pPr>
        <w:pStyle w:val="BodyText"/>
        <w:spacing w:before="10"/>
        <w:rPr>
          <w:b/>
          <w:sz w:val="21"/>
        </w:rPr>
      </w:pPr>
    </w:p>
    <w:p>
      <w:pPr>
        <w:pStyle w:val="BodyText"/>
        <w:spacing w:line="491" w:lineRule="auto"/>
        <w:ind w:left="552" w:right="506"/>
      </w:pPr>
      <w:r>
        <w:rPr>
          <w:w w:val="105"/>
        </w:rPr>
        <w:t>Chris</w:t>
      </w:r>
      <w:r>
        <w:rPr>
          <w:spacing w:val="-16"/>
          <w:w w:val="105"/>
        </w:rPr>
        <w:t> </w:t>
      </w:r>
      <w:r>
        <w:rPr>
          <w:w w:val="105"/>
        </w:rPr>
        <w:t>Salmon</w:t>
      </w:r>
      <w:r>
        <w:rPr>
          <w:spacing w:val="-15"/>
          <w:w w:val="105"/>
        </w:rPr>
        <w:t> </w:t>
      </w:r>
      <w:r>
        <w:rPr>
          <w:w w:val="105"/>
        </w:rPr>
        <w:t>(Bank</w:t>
      </w:r>
      <w:r>
        <w:rPr>
          <w:spacing w:val="-15"/>
          <w:w w:val="105"/>
        </w:rPr>
        <w:t> </w:t>
      </w:r>
      <w:r>
        <w:rPr>
          <w:w w:val="105"/>
        </w:rPr>
        <w:t>of</w:t>
      </w:r>
      <w:r>
        <w:rPr>
          <w:spacing w:val="-16"/>
          <w:w w:val="105"/>
        </w:rPr>
        <w:t> </w:t>
      </w:r>
      <w:r>
        <w:rPr>
          <w:w w:val="105"/>
        </w:rPr>
        <w:t>England)</w:t>
      </w:r>
      <w:r>
        <w:rPr>
          <w:spacing w:val="-15"/>
          <w:w w:val="105"/>
        </w:rPr>
        <w:t> </w:t>
      </w:r>
      <w:r>
        <w:rPr>
          <w:w w:val="105"/>
        </w:rPr>
        <w:t>urged</w:t>
      </w:r>
      <w:r>
        <w:rPr>
          <w:spacing w:val="-16"/>
          <w:w w:val="105"/>
        </w:rPr>
        <w:t> </w:t>
      </w:r>
      <w:r>
        <w:rPr>
          <w:w w:val="105"/>
        </w:rPr>
        <w:t>FXJSC</w:t>
      </w:r>
      <w:r>
        <w:rPr>
          <w:spacing w:val="-15"/>
          <w:w w:val="105"/>
        </w:rPr>
        <w:t> </w:t>
      </w:r>
      <w:r>
        <w:rPr>
          <w:w w:val="105"/>
        </w:rPr>
        <w:t>members</w:t>
      </w:r>
      <w:r>
        <w:rPr>
          <w:spacing w:val="-15"/>
          <w:w w:val="105"/>
        </w:rPr>
        <w:t> </w:t>
      </w:r>
      <w:r>
        <w:rPr>
          <w:w w:val="105"/>
        </w:rPr>
        <w:t>to</w:t>
      </w:r>
      <w:r>
        <w:rPr>
          <w:spacing w:val="-14"/>
          <w:w w:val="105"/>
        </w:rPr>
        <w:t> </w:t>
      </w:r>
      <w:r>
        <w:rPr>
          <w:w w:val="105"/>
        </w:rPr>
        <w:t>remain</w:t>
      </w:r>
      <w:r>
        <w:rPr>
          <w:spacing w:val="-15"/>
          <w:w w:val="105"/>
        </w:rPr>
        <w:t> </w:t>
      </w:r>
      <w:r>
        <w:rPr>
          <w:w w:val="105"/>
        </w:rPr>
        <w:t>actively</w:t>
      </w:r>
      <w:r>
        <w:rPr>
          <w:spacing w:val="-14"/>
          <w:w w:val="105"/>
        </w:rPr>
        <w:t> </w:t>
      </w:r>
      <w:r>
        <w:rPr>
          <w:w w:val="105"/>
        </w:rPr>
        <w:t>engaged in the Global FX Code (the ‘Code’) process and contribute as appropriate. FXJSC members</w:t>
      </w:r>
      <w:r>
        <w:rPr>
          <w:spacing w:val="-13"/>
          <w:w w:val="105"/>
        </w:rPr>
        <w:t> </w:t>
      </w:r>
      <w:r>
        <w:rPr>
          <w:w w:val="105"/>
        </w:rPr>
        <w:t>had</w:t>
      </w:r>
      <w:r>
        <w:rPr>
          <w:spacing w:val="-12"/>
          <w:w w:val="105"/>
        </w:rPr>
        <w:t> </w:t>
      </w:r>
      <w:r>
        <w:rPr>
          <w:w w:val="105"/>
        </w:rPr>
        <w:t>a</w:t>
      </w:r>
      <w:r>
        <w:rPr>
          <w:spacing w:val="-13"/>
          <w:w w:val="105"/>
        </w:rPr>
        <w:t> </w:t>
      </w:r>
      <w:r>
        <w:rPr>
          <w:w w:val="105"/>
        </w:rPr>
        <w:t>pivotal</w:t>
      </w:r>
      <w:r>
        <w:rPr>
          <w:spacing w:val="-12"/>
          <w:w w:val="105"/>
        </w:rPr>
        <w:t> </w:t>
      </w:r>
      <w:r>
        <w:rPr>
          <w:w w:val="105"/>
        </w:rPr>
        <w:t>role</w:t>
      </w:r>
      <w:r>
        <w:rPr>
          <w:spacing w:val="-12"/>
          <w:w w:val="105"/>
        </w:rPr>
        <w:t> </w:t>
      </w:r>
      <w:r>
        <w:rPr>
          <w:w w:val="105"/>
        </w:rPr>
        <w:t>to</w:t>
      </w:r>
      <w:r>
        <w:rPr>
          <w:spacing w:val="-12"/>
          <w:w w:val="105"/>
        </w:rPr>
        <w:t> </w:t>
      </w:r>
      <w:r>
        <w:rPr>
          <w:w w:val="105"/>
        </w:rPr>
        <w:t>play</w:t>
      </w:r>
      <w:r>
        <w:rPr>
          <w:spacing w:val="-11"/>
          <w:w w:val="105"/>
        </w:rPr>
        <w:t> </w:t>
      </w:r>
      <w:r>
        <w:rPr>
          <w:w w:val="105"/>
        </w:rPr>
        <w:t>in</w:t>
      </w:r>
      <w:r>
        <w:rPr>
          <w:spacing w:val="-12"/>
          <w:w w:val="105"/>
        </w:rPr>
        <w:t> </w:t>
      </w:r>
      <w:r>
        <w:rPr>
          <w:w w:val="105"/>
        </w:rPr>
        <w:t>endorsing</w:t>
      </w:r>
      <w:r>
        <w:rPr>
          <w:spacing w:val="-12"/>
          <w:w w:val="105"/>
        </w:rPr>
        <w:t> </w:t>
      </w:r>
      <w:r>
        <w:rPr>
          <w:w w:val="105"/>
        </w:rPr>
        <w:t>and</w:t>
      </w:r>
      <w:r>
        <w:rPr>
          <w:spacing w:val="-12"/>
          <w:w w:val="105"/>
        </w:rPr>
        <w:t> </w:t>
      </w:r>
      <w:r>
        <w:rPr>
          <w:w w:val="105"/>
        </w:rPr>
        <w:t>adopting</w:t>
      </w:r>
      <w:r>
        <w:rPr>
          <w:spacing w:val="-12"/>
          <w:w w:val="105"/>
        </w:rPr>
        <w:t> </w:t>
      </w:r>
      <w:r>
        <w:rPr>
          <w:w w:val="105"/>
        </w:rPr>
        <w:t>the</w:t>
      </w:r>
      <w:r>
        <w:rPr>
          <w:spacing w:val="-13"/>
          <w:w w:val="105"/>
        </w:rPr>
        <w:t> </w:t>
      </w:r>
      <w:r>
        <w:rPr>
          <w:w w:val="105"/>
        </w:rPr>
        <w:t>Code</w:t>
      </w:r>
      <w:r>
        <w:rPr>
          <w:spacing w:val="-13"/>
          <w:w w:val="105"/>
        </w:rPr>
        <w:t> </w:t>
      </w:r>
      <w:r>
        <w:rPr>
          <w:w w:val="105"/>
        </w:rPr>
        <w:t>in</w:t>
      </w:r>
      <w:r>
        <w:rPr>
          <w:spacing w:val="-13"/>
          <w:w w:val="105"/>
        </w:rPr>
        <w:t> </w:t>
      </w:r>
      <w:r>
        <w:rPr>
          <w:w w:val="105"/>
        </w:rPr>
        <w:t>the</w:t>
      </w:r>
      <w:r>
        <w:rPr>
          <w:spacing w:val="-12"/>
          <w:w w:val="105"/>
        </w:rPr>
        <w:t> </w:t>
      </w:r>
      <w:r>
        <w:rPr>
          <w:w w:val="105"/>
        </w:rPr>
        <w:t>United Kingdom.</w:t>
      </w:r>
      <w:r>
        <w:rPr>
          <w:spacing w:val="29"/>
          <w:w w:val="105"/>
        </w:rPr>
        <w:t> </w:t>
      </w:r>
      <w:r>
        <w:rPr>
          <w:w w:val="105"/>
        </w:rPr>
        <w:t>The</w:t>
      </w:r>
      <w:r>
        <w:rPr>
          <w:spacing w:val="-16"/>
          <w:w w:val="105"/>
        </w:rPr>
        <w:t> </w:t>
      </w:r>
      <w:r>
        <w:rPr>
          <w:w w:val="105"/>
        </w:rPr>
        <w:t>Code</w:t>
      </w:r>
      <w:r>
        <w:rPr>
          <w:spacing w:val="-17"/>
          <w:w w:val="105"/>
        </w:rPr>
        <w:t> </w:t>
      </w:r>
      <w:r>
        <w:rPr>
          <w:w w:val="105"/>
        </w:rPr>
        <w:t>would</w:t>
      </w:r>
      <w:r>
        <w:rPr>
          <w:spacing w:val="-14"/>
          <w:w w:val="105"/>
        </w:rPr>
        <w:t> </w:t>
      </w:r>
      <w:r>
        <w:rPr>
          <w:w w:val="105"/>
        </w:rPr>
        <w:t>be</w:t>
      </w:r>
      <w:r>
        <w:rPr>
          <w:spacing w:val="-14"/>
          <w:w w:val="105"/>
        </w:rPr>
        <w:t> </w:t>
      </w:r>
      <w:r>
        <w:rPr>
          <w:w w:val="105"/>
        </w:rPr>
        <w:t>a</w:t>
      </w:r>
      <w:r>
        <w:rPr>
          <w:spacing w:val="-16"/>
          <w:w w:val="105"/>
        </w:rPr>
        <w:t> </w:t>
      </w:r>
      <w:r>
        <w:rPr>
          <w:w w:val="105"/>
        </w:rPr>
        <w:t>standing</w:t>
      </w:r>
      <w:r>
        <w:rPr>
          <w:spacing w:val="-15"/>
          <w:w w:val="105"/>
        </w:rPr>
        <w:t> </w:t>
      </w:r>
      <w:r>
        <w:rPr>
          <w:w w:val="105"/>
        </w:rPr>
        <w:t>agenda</w:t>
      </w:r>
      <w:r>
        <w:rPr>
          <w:spacing w:val="-15"/>
          <w:w w:val="105"/>
        </w:rPr>
        <w:t> </w:t>
      </w:r>
      <w:r>
        <w:rPr>
          <w:w w:val="105"/>
        </w:rPr>
        <w:t>item</w:t>
      </w:r>
      <w:r>
        <w:rPr>
          <w:spacing w:val="-17"/>
          <w:w w:val="105"/>
        </w:rPr>
        <w:t> </w:t>
      </w:r>
      <w:r>
        <w:rPr>
          <w:w w:val="105"/>
        </w:rPr>
        <w:t>at</w:t>
      </w:r>
      <w:r>
        <w:rPr>
          <w:spacing w:val="-15"/>
          <w:w w:val="105"/>
        </w:rPr>
        <w:t> </w:t>
      </w:r>
      <w:r>
        <w:rPr>
          <w:w w:val="105"/>
        </w:rPr>
        <w:t>future</w:t>
      </w:r>
      <w:r>
        <w:rPr>
          <w:spacing w:val="-14"/>
          <w:w w:val="105"/>
        </w:rPr>
        <w:t> </w:t>
      </w:r>
      <w:r>
        <w:rPr>
          <w:w w:val="105"/>
        </w:rPr>
        <w:t>FXJSC</w:t>
      </w:r>
      <w:r>
        <w:rPr>
          <w:spacing w:val="-16"/>
          <w:w w:val="105"/>
        </w:rPr>
        <w:t> </w:t>
      </w:r>
      <w:r>
        <w:rPr>
          <w:w w:val="105"/>
        </w:rPr>
        <w:t>meetings</w:t>
      </w:r>
      <w:r>
        <w:rPr>
          <w:spacing w:val="-14"/>
          <w:w w:val="105"/>
        </w:rPr>
        <w:t> </w:t>
      </w:r>
      <w:r>
        <w:rPr>
          <w:w w:val="105"/>
        </w:rPr>
        <w:t>until at least May</w:t>
      </w:r>
      <w:r>
        <w:rPr>
          <w:spacing w:val="-4"/>
          <w:w w:val="105"/>
        </w:rPr>
        <w:t> </w:t>
      </w:r>
      <w:r>
        <w:rPr>
          <w:w w:val="105"/>
        </w:rPr>
        <w:t>2017.</w:t>
      </w:r>
    </w:p>
    <w:p>
      <w:pPr>
        <w:pStyle w:val="BodyText"/>
        <w:spacing w:before="2"/>
        <w:rPr>
          <w:sz w:val="23"/>
        </w:rPr>
      </w:pPr>
    </w:p>
    <w:p>
      <w:pPr>
        <w:pStyle w:val="BodyText"/>
        <w:spacing w:line="491" w:lineRule="auto"/>
        <w:ind w:left="552" w:right="506"/>
      </w:pPr>
      <w:r>
        <w:rPr>
          <w:w w:val="105"/>
        </w:rPr>
        <w:t>Grigoria Christodoulou (Bank of England) provided an overview of the two Code work</w:t>
      </w:r>
      <w:r>
        <w:rPr>
          <w:spacing w:val="-15"/>
          <w:w w:val="105"/>
        </w:rPr>
        <w:t> </w:t>
      </w:r>
      <w:r>
        <w:rPr>
          <w:w w:val="105"/>
        </w:rPr>
        <w:t>streams;</w:t>
      </w:r>
      <w:r>
        <w:rPr>
          <w:spacing w:val="-14"/>
          <w:w w:val="105"/>
        </w:rPr>
        <w:t> </w:t>
      </w:r>
      <w:r>
        <w:rPr>
          <w:w w:val="105"/>
        </w:rPr>
        <w:t>one</w:t>
      </w:r>
      <w:r>
        <w:rPr>
          <w:spacing w:val="-14"/>
          <w:w w:val="105"/>
        </w:rPr>
        <w:t> </w:t>
      </w:r>
      <w:r>
        <w:rPr>
          <w:w w:val="105"/>
        </w:rPr>
        <w:t>to</w:t>
      </w:r>
      <w:r>
        <w:rPr>
          <w:spacing w:val="-14"/>
          <w:w w:val="105"/>
        </w:rPr>
        <w:t> </w:t>
      </w:r>
      <w:r>
        <w:rPr>
          <w:w w:val="105"/>
        </w:rPr>
        <w:t>draft</w:t>
      </w:r>
      <w:r>
        <w:rPr>
          <w:spacing w:val="-14"/>
          <w:w w:val="105"/>
        </w:rPr>
        <w:t> </w:t>
      </w:r>
      <w:r>
        <w:rPr>
          <w:w w:val="105"/>
        </w:rPr>
        <w:t>the</w:t>
      </w:r>
      <w:r>
        <w:rPr>
          <w:spacing w:val="-15"/>
          <w:w w:val="105"/>
        </w:rPr>
        <w:t> </w:t>
      </w:r>
      <w:r>
        <w:rPr>
          <w:w w:val="105"/>
        </w:rPr>
        <w:t>new</w:t>
      </w:r>
      <w:r>
        <w:rPr>
          <w:spacing w:val="-14"/>
          <w:w w:val="105"/>
        </w:rPr>
        <w:t> </w:t>
      </w:r>
      <w:r>
        <w:rPr>
          <w:w w:val="105"/>
        </w:rPr>
        <w:t>Code</w:t>
      </w:r>
      <w:r>
        <w:rPr>
          <w:spacing w:val="-14"/>
          <w:w w:val="105"/>
        </w:rPr>
        <w:t> </w:t>
      </w:r>
      <w:r>
        <w:rPr>
          <w:w w:val="105"/>
        </w:rPr>
        <w:t>(led</w:t>
      </w:r>
      <w:r>
        <w:rPr>
          <w:spacing w:val="-15"/>
          <w:w w:val="105"/>
        </w:rPr>
        <w:t> </w:t>
      </w:r>
      <w:r>
        <w:rPr>
          <w:w w:val="105"/>
        </w:rPr>
        <w:t>by</w:t>
      </w:r>
      <w:r>
        <w:rPr>
          <w:spacing w:val="-13"/>
          <w:w w:val="105"/>
        </w:rPr>
        <w:t> </w:t>
      </w:r>
      <w:r>
        <w:rPr>
          <w:w w:val="105"/>
        </w:rPr>
        <w:t>Simon</w:t>
      </w:r>
      <w:r>
        <w:rPr>
          <w:spacing w:val="-15"/>
          <w:w w:val="105"/>
        </w:rPr>
        <w:t> </w:t>
      </w:r>
      <w:r>
        <w:rPr>
          <w:w w:val="105"/>
        </w:rPr>
        <w:t>Potter,</w:t>
      </w:r>
      <w:r>
        <w:rPr>
          <w:spacing w:val="-14"/>
          <w:w w:val="105"/>
        </w:rPr>
        <w:t> </w:t>
      </w:r>
      <w:r>
        <w:rPr>
          <w:w w:val="105"/>
        </w:rPr>
        <w:t>Federal</w:t>
      </w:r>
      <w:r>
        <w:rPr>
          <w:spacing w:val="-14"/>
          <w:w w:val="105"/>
        </w:rPr>
        <w:t> </w:t>
      </w:r>
      <w:r>
        <w:rPr>
          <w:w w:val="105"/>
        </w:rPr>
        <w:t>Reserve</w:t>
      </w:r>
      <w:r>
        <w:rPr>
          <w:spacing w:val="-16"/>
          <w:w w:val="105"/>
        </w:rPr>
        <w:t> </w:t>
      </w:r>
      <w:r>
        <w:rPr>
          <w:w w:val="105"/>
        </w:rPr>
        <w:t>Bank of New York) and a second to develop proposals to promote and incentivise adherence</w:t>
      </w:r>
      <w:r>
        <w:rPr>
          <w:spacing w:val="-7"/>
          <w:w w:val="105"/>
        </w:rPr>
        <w:t> </w:t>
      </w:r>
      <w:r>
        <w:rPr>
          <w:w w:val="105"/>
        </w:rPr>
        <w:t>to</w:t>
      </w:r>
      <w:r>
        <w:rPr>
          <w:spacing w:val="-5"/>
          <w:w w:val="105"/>
        </w:rPr>
        <w:t> </w:t>
      </w:r>
      <w:r>
        <w:rPr>
          <w:w w:val="105"/>
        </w:rPr>
        <w:t>the</w:t>
      </w:r>
      <w:r>
        <w:rPr>
          <w:spacing w:val="-6"/>
          <w:w w:val="105"/>
        </w:rPr>
        <w:t> </w:t>
      </w:r>
      <w:r>
        <w:rPr>
          <w:w w:val="105"/>
        </w:rPr>
        <w:t>new</w:t>
      </w:r>
      <w:r>
        <w:rPr>
          <w:spacing w:val="-6"/>
          <w:w w:val="105"/>
        </w:rPr>
        <w:t> </w:t>
      </w:r>
      <w:r>
        <w:rPr>
          <w:w w:val="105"/>
        </w:rPr>
        <w:t>Code</w:t>
      </w:r>
      <w:r>
        <w:rPr>
          <w:spacing w:val="-6"/>
          <w:w w:val="105"/>
        </w:rPr>
        <w:t> </w:t>
      </w:r>
      <w:r>
        <w:rPr>
          <w:w w:val="105"/>
        </w:rPr>
        <w:t>(led</w:t>
      </w:r>
      <w:r>
        <w:rPr>
          <w:spacing w:val="-6"/>
          <w:w w:val="105"/>
        </w:rPr>
        <w:t> </w:t>
      </w:r>
      <w:r>
        <w:rPr>
          <w:w w:val="105"/>
        </w:rPr>
        <w:t>by</w:t>
      </w:r>
      <w:r>
        <w:rPr>
          <w:spacing w:val="-4"/>
          <w:w w:val="105"/>
        </w:rPr>
        <w:t> </w:t>
      </w:r>
      <w:r>
        <w:rPr>
          <w:w w:val="105"/>
        </w:rPr>
        <w:t>Chris</w:t>
      </w:r>
      <w:r>
        <w:rPr>
          <w:spacing w:val="-6"/>
          <w:w w:val="105"/>
        </w:rPr>
        <w:t> </w:t>
      </w:r>
      <w:r>
        <w:rPr>
          <w:w w:val="105"/>
        </w:rPr>
        <w:t>Salmon,</w:t>
      </w:r>
      <w:r>
        <w:rPr>
          <w:spacing w:val="-5"/>
          <w:w w:val="105"/>
        </w:rPr>
        <w:t> </w:t>
      </w:r>
      <w:r>
        <w:rPr>
          <w:w w:val="105"/>
        </w:rPr>
        <w:t>Bank</w:t>
      </w:r>
      <w:r>
        <w:rPr>
          <w:spacing w:val="-6"/>
          <w:w w:val="105"/>
        </w:rPr>
        <w:t> </w:t>
      </w:r>
      <w:r>
        <w:rPr>
          <w:w w:val="105"/>
        </w:rPr>
        <w:t>of</w:t>
      </w:r>
      <w:r>
        <w:rPr>
          <w:spacing w:val="-6"/>
          <w:w w:val="105"/>
        </w:rPr>
        <w:t> </w:t>
      </w:r>
      <w:r>
        <w:rPr>
          <w:w w:val="105"/>
        </w:rPr>
        <w:t>England).</w:t>
      </w:r>
    </w:p>
    <w:p>
      <w:pPr>
        <w:pStyle w:val="BodyText"/>
        <w:spacing w:before="4"/>
        <w:rPr>
          <w:sz w:val="23"/>
        </w:rPr>
      </w:pPr>
    </w:p>
    <w:p>
      <w:pPr>
        <w:pStyle w:val="BodyText"/>
        <w:spacing w:line="491" w:lineRule="auto"/>
        <w:ind w:left="552" w:right="506"/>
      </w:pPr>
      <w:r>
        <w:rPr>
          <w:w w:val="105"/>
        </w:rPr>
        <w:t>On</w:t>
      </w:r>
      <w:r>
        <w:rPr>
          <w:spacing w:val="-16"/>
          <w:w w:val="105"/>
        </w:rPr>
        <w:t> </w:t>
      </w:r>
      <w:r>
        <w:rPr>
          <w:w w:val="105"/>
        </w:rPr>
        <w:t>the</w:t>
      </w:r>
      <w:r>
        <w:rPr>
          <w:spacing w:val="-18"/>
          <w:w w:val="105"/>
        </w:rPr>
        <w:t> </w:t>
      </w:r>
      <w:r>
        <w:rPr>
          <w:w w:val="105"/>
        </w:rPr>
        <w:t>work</w:t>
      </w:r>
      <w:r>
        <w:rPr>
          <w:spacing w:val="-16"/>
          <w:w w:val="105"/>
        </w:rPr>
        <w:t> </w:t>
      </w:r>
      <w:r>
        <w:rPr>
          <w:w w:val="105"/>
        </w:rPr>
        <w:t>stream</w:t>
      </w:r>
      <w:r>
        <w:rPr>
          <w:spacing w:val="-17"/>
          <w:w w:val="105"/>
        </w:rPr>
        <w:t> </w:t>
      </w:r>
      <w:r>
        <w:rPr>
          <w:w w:val="105"/>
        </w:rPr>
        <w:t>to</w:t>
      </w:r>
      <w:r>
        <w:rPr>
          <w:spacing w:val="-15"/>
          <w:w w:val="105"/>
        </w:rPr>
        <w:t> </w:t>
      </w:r>
      <w:r>
        <w:rPr>
          <w:w w:val="105"/>
        </w:rPr>
        <w:t>draft</w:t>
      </w:r>
      <w:r>
        <w:rPr>
          <w:spacing w:val="-16"/>
          <w:w w:val="105"/>
        </w:rPr>
        <w:t> </w:t>
      </w:r>
      <w:r>
        <w:rPr>
          <w:w w:val="105"/>
        </w:rPr>
        <w:t>the</w:t>
      </w:r>
      <w:r>
        <w:rPr>
          <w:spacing w:val="-16"/>
          <w:w w:val="105"/>
        </w:rPr>
        <w:t> </w:t>
      </w:r>
      <w:r>
        <w:rPr>
          <w:w w:val="105"/>
        </w:rPr>
        <w:t>new</w:t>
      </w:r>
      <w:r>
        <w:rPr>
          <w:spacing w:val="-16"/>
          <w:w w:val="105"/>
        </w:rPr>
        <w:t> </w:t>
      </w:r>
      <w:r>
        <w:rPr>
          <w:w w:val="105"/>
        </w:rPr>
        <w:t>Code</w:t>
      </w:r>
      <w:r>
        <w:rPr>
          <w:spacing w:val="-16"/>
          <w:w w:val="105"/>
        </w:rPr>
        <w:t> </w:t>
      </w:r>
      <w:r>
        <w:rPr>
          <w:w w:val="105"/>
        </w:rPr>
        <w:t>Grigoria</w:t>
      </w:r>
      <w:r>
        <w:rPr>
          <w:spacing w:val="-15"/>
          <w:w w:val="105"/>
        </w:rPr>
        <w:t> </w:t>
      </w:r>
      <w:r>
        <w:rPr>
          <w:w w:val="105"/>
        </w:rPr>
        <w:t>Christodoulou</w:t>
      </w:r>
      <w:r>
        <w:rPr>
          <w:spacing w:val="-15"/>
          <w:w w:val="105"/>
        </w:rPr>
        <w:t> </w:t>
      </w:r>
      <w:r>
        <w:rPr>
          <w:w w:val="105"/>
        </w:rPr>
        <w:t>updated</w:t>
      </w:r>
      <w:r>
        <w:rPr>
          <w:spacing w:val="-16"/>
          <w:w w:val="105"/>
        </w:rPr>
        <w:t> </w:t>
      </w:r>
      <w:r>
        <w:rPr>
          <w:w w:val="105"/>
        </w:rPr>
        <w:t>the Committee</w:t>
      </w:r>
      <w:r>
        <w:rPr>
          <w:spacing w:val="-16"/>
          <w:w w:val="105"/>
        </w:rPr>
        <w:t> </w:t>
      </w:r>
      <w:r>
        <w:rPr>
          <w:w w:val="105"/>
        </w:rPr>
        <w:t>on</w:t>
      </w:r>
      <w:r>
        <w:rPr>
          <w:spacing w:val="-17"/>
          <w:w w:val="105"/>
        </w:rPr>
        <w:t> </w:t>
      </w:r>
      <w:r>
        <w:rPr>
          <w:w w:val="105"/>
        </w:rPr>
        <w:t>the</w:t>
      </w:r>
      <w:r>
        <w:rPr>
          <w:spacing w:val="-17"/>
          <w:w w:val="105"/>
        </w:rPr>
        <w:t> </w:t>
      </w:r>
      <w:r>
        <w:rPr>
          <w:w w:val="105"/>
        </w:rPr>
        <w:t>overall</w:t>
      </w:r>
      <w:r>
        <w:rPr>
          <w:spacing w:val="-16"/>
          <w:w w:val="105"/>
        </w:rPr>
        <w:t> </w:t>
      </w:r>
      <w:r>
        <w:rPr>
          <w:w w:val="105"/>
        </w:rPr>
        <w:t>approach</w:t>
      </w:r>
      <w:r>
        <w:rPr>
          <w:spacing w:val="-15"/>
          <w:w w:val="105"/>
        </w:rPr>
        <w:t> </w:t>
      </w:r>
      <w:r>
        <w:rPr>
          <w:w w:val="105"/>
        </w:rPr>
        <w:t>and</w:t>
      </w:r>
      <w:r>
        <w:rPr>
          <w:spacing w:val="-17"/>
          <w:w w:val="105"/>
        </w:rPr>
        <w:t> </w:t>
      </w:r>
      <w:r>
        <w:rPr>
          <w:w w:val="105"/>
        </w:rPr>
        <w:t>timetable,</w:t>
      </w:r>
      <w:r>
        <w:rPr>
          <w:spacing w:val="-17"/>
          <w:w w:val="105"/>
        </w:rPr>
        <w:t> </w:t>
      </w:r>
      <w:r>
        <w:rPr>
          <w:w w:val="105"/>
        </w:rPr>
        <w:t>including</w:t>
      </w:r>
      <w:r>
        <w:rPr>
          <w:spacing w:val="-16"/>
          <w:w w:val="105"/>
        </w:rPr>
        <w:t> </w:t>
      </w:r>
      <w:r>
        <w:rPr>
          <w:w w:val="105"/>
        </w:rPr>
        <w:t>the</w:t>
      </w:r>
      <w:r>
        <w:rPr>
          <w:spacing w:val="-17"/>
          <w:w w:val="105"/>
        </w:rPr>
        <w:t> </w:t>
      </w:r>
      <w:r>
        <w:rPr>
          <w:w w:val="105"/>
        </w:rPr>
        <w:t>engagement</w:t>
      </w:r>
    </w:p>
    <w:p>
      <w:pPr>
        <w:spacing w:after="0" w:line="491" w:lineRule="auto"/>
        <w:sectPr>
          <w:pgSz w:w="12240" w:h="15840"/>
          <w:pgMar w:header="0" w:footer="634" w:top="1280" w:bottom="820" w:left="1660" w:right="1720"/>
        </w:sectPr>
      </w:pPr>
    </w:p>
    <w:p>
      <w:pPr>
        <w:pStyle w:val="BodyText"/>
        <w:spacing w:line="491" w:lineRule="auto" w:before="78"/>
        <w:ind w:left="552" w:right="506"/>
      </w:pPr>
      <w:r>
        <w:rPr>
          <w:w w:val="105"/>
        </w:rPr>
        <w:t>mechanism</w:t>
      </w:r>
      <w:r>
        <w:rPr>
          <w:spacing w:val="-18"/>
          <w:w w:val="105"/>
        </w:rPr>
        <w:t> </w:t>
      </w:r>
      <w:r>
        <w:rPr>
          <w:w w:val="105"/>
        </w:rPr>
        <w:t>and</w:t>
      </w:r>
      <w:r>
        <w:rPr>
          <w:spacing w:val="-17"/>
          <w:w w:val="105"/>
        </w:rPr>
        <w:t> </w:t>
      </w:r>
      <w:r>
        <w:rPr>
          <w:w w:val="105"/>
        </w:rPr>
        <w:t>timeframe</w:t>
      </w:r>
      <w:r>
        <w:rPr>
          <w:spacing w:val="-15"/>
          <w:w w:val="105"/>
        </w:rPr>
        <w:t> </w:t>
      </w:r>
      <w:r>
        <w:rPr>
          <w:w w:val="105"/>
        </w:rPr>
        <w:t>for</w:t>
      </w:r>
      <w:r>
        <w:rPr>
          <w:spacing w:val="-17"/>
          <w:w w:val="105"/>
        </w:rPr>
        <w:t> </w:t>
      </w:r>
      <w:r>
        <w:rPr>
          <w:w w:val="105"/>
        </w:rPr>
        <w:t>gathering</w:t>
      </w:r>
      <w:r>
        <w:rPr>
          <w:spacing w:val="-17"/>
          <w:w w:val="105"/>
        </w:rPr>
        <w:t> </w:t>
      </w:r>
      <w:r>
        <w:rPr>
          <w:w w:val="105"/>
        </w:rPr>
        <w:t>feedback</w:t>
      </w:r>
      <w:r>
        <w:rPr>
          <w:spacing w:val="-16"/>
          <w:w w:val="105"/>
        </w:rPr>
        <w:t> </w:t>
      </w:r>
      <w:r>
        <w:rPr>
          <w:w w:val="105"/>
        </w:rPr>
        <w:t>from</w:t>
      </w:r>
      <w:r>
        <w:rPr>
          <w:spacing w:val="-19"/>
          <w:w w:val="105"/>
        </w:rPr>
        <w:t> </w:t>
      </w:r>
      <w:r>
        <w:rPr>
          <w:w w:val="105"/>
        </w:rPr>
        <w:t>the</w:t>
      </w:r>
      <w:r>
        <w:rPr>
          <w:spacing w:val="-18"/>
          <w:w w:val="105"/>
        </w:rPr>
        <w:t> </w:t>
      </w:r>
      <w:r>
        <w:rPr>
          <w:w w:val="105"/>
        </w:rPr>
        <w:t>FXJSC</w:t>
      </w:r>
      <w:r>
        <w:rPr>
          <w:spacing w:val="-16"/>
          <w:w w:val="105"/>
        </w:rPr>
        <w:t> </w:t>
      </w:r>
      <w:r>
        <w:rPr>
          <w:w w:val="105"/>
        </w:rPr>
        <w:t>ahead</w:t>
      </w:r>
      <w:r>
        <w:rPr>
          <w:spacing w:val="-16"/>
          <w:w w:val="105"/>
        </w:rPr>
        <w:t> </w:t>
      </w:r>
      <w:r>
        <w:rPr>
          <w:w w:val="105"/>
        </w:rPr>
        <w:t>of</w:t>
      </w:r>
      <w:r>
        <w:rPr>
          <w:spacing w:val="-16"/>
          <w:w w:val="105"/>
        </w:rPr>
        <w:t> </w:t>
      </w:r>
      <w:r>
        <w:rPr>
          <w:w w:val="105"/>
        </w:rPr>
        <w:t>the interim published update in May</w:t>
      </w:r>
      <w:r>
        <w:rPr>
          <w:spacing w:val="-14"/>
          <w:w w:val="105"/>
        </w:rPr>
        <w:t> </w:t>
      </w:r>
      <w:r>
        <w:rPr>
          <w:w w:val="105"/>
        </w:rPr>
        <w:t>2016.</w:t>
      </w:r>
    </w:p>
    <w:p>
      <w:pPr>
        <w:pStyle w:val="BodyText"/>
        <w:spacing w:before="1"/>
        <w:rPr>
          <w:sz w:val="23"/>
        </w:rPr>
      </w:pPr>
    </w:p>
    <w:p>
      <w:pPr>
        <w:pStyle w:val="BodyText"/>
        <w:spacing w:line="491" w:lineRule="auto"/>
        <w:ind w:left="552" w:right="506"/>
      </w:pPr>
      <w:r>
        <w:rPr>
          <w:w w:val="105"/>
        </w:rPr>
        <w:t>Elizabeth Darkens (Bank of England) outlined the objective of the adherence work stream to identify a framework that will maximise the prospect of widespread and effective adherence, given the unique features of local foreign exchange markets. Elizabeth</w:t>
      </w:r>
      <w:r>
        <w:rPr>
          <w:spacing w:val="-19"/>
          <w:w w:val="105"/>
        </w:rPr>
        <w:t> </w:t>
      </w:r>
      <w:r>
        <w:rPr>
          <w:w w:val="105"/>
        </w:rPr>
        <w:t>Darkens</w:t>
      </w:r>
      <w:r>
        <w:rPr>
          <w:spacing w:val="-19"/>
          <w:w w:val="105"/>
        </w:rPr>
        <w:t> </w:t>
      </w:r>
      <w:r>
        <w:rPr>
          <w:w w:val="105"/>
        </w:rPr>
        <w:t>also</w:t>
      </w:r>
      <w:r>
        <w:rPr>
          <w:spacing w:val="-18"/>
          <w:w w:val="105"/>
        </w:rPr>
        <w:t> </w:t>
      </w:r>
      <w:r>
        <w:rPr>
          <w:w w:val="105"/>
        </w:rPr>
        <w:t>explained</w:t>
      </w:r>
      <w:r>
        <w:rPr>
          <w:spacing w:val="-18"/>
          <w:w w:val="105"/>
        </w:rPr>
        <w:t> </w:t>
      </w:r>
      <w:r>
        <w:rPr>
          <w:w w:val="105"/>
        </w:rPr>
        <w:t>the</w:t>
      </w:r>
      <w:r>
        <w:rPr>
          <w:spacing w:val="-19"/>
          <w:w w:val="105"/>
        </w:rPr>
        <w:t> </w:t>
      </w:r>
      <w:r>
        <w:rPr>
          <w:w w:val="105"/>
        </w:rPr>
        <w:t>overall</w:t>
      </w:r>
      <w:r>
        <w:rPr>
          <w:spacing w:val="-19"/>
          <w:w w:val="105"/>
        </w:rPr>
        <w:t> </w:t>
      </w:r>
      <w:r>
        <w:rPr>
          <w:w w:val="105"/>
        </w:rPr>
        <w:t>approach</w:t>
      </w:r>
      <w:r>
        <w:rPr>
          <w:spacing w:val="-19"/>
          <w:w w:val="105"/>
        </w:rPr>
        <w:t> </w:t>
      </w:r>
      <w:r>
        <w:rPr>
          <w:w w:val="105"/>
        </w:rPr>
        <w:t>of</w:t>
      </w:r>
      <w:r>
        <w:rPr>
          <w:spacing w:val="-19"/>
          <w:w w:val="105"/>
        </w:rPr>
        <w:t> </w:t>
      </w:r>
      <w:r>
        <w:rPr>
          <w:w w:val="105"/>
        </w:rPr>
        <w:t>the</w:t>
      </w:r>
      <w:r>
        <w:rPr>
          <w:spacing w:val="-19"/>
          <w:w w:val="105"/>
        </w:rPr>
        <w:t> </w:t>
      </w:r>
      <w:r>
        <w:rPr>
          <w:w w:val="105"/>
        </w:rPr>
        <w:t>adherence</w:t>
      </w:r>
      <w:r>
        <w:rPr>
          <w:spacing w:val="-19"/>
          <w:w w:val="105"/>
        </w:rPr>
        <w:t> </w:t>
      </w:r>
      <w:r>
        <w:rPr>
          <w:w w:val="105"/>
        </w:rPr>
        <w:t>work</w:t>
      </w:r>
      <w:r>
        <w:rPr>
          <w:spacing w:val="-19"/>
          <w:w w:val="105"/>
        </w:rPr>
        <w:t> </w:t>
      </w:r>
      <w:r>
        <w:rPr>
          <w:w w:val="105"/>
        </w:rPr>
        <w:t>stream, in particular what the content of the interim published update in May 2016 may contain.</w:t>
      </w:r>
    </w:p>
    <w:p>
      <w:pPr>
        <w:pStyle w:val="BodyText"/>
        <w:rPr>
          <w:sz w:val="24"/>
        </w:rPr>
      </w:pPr>
    </w:p>
    <w:p>
      <w:pPr>
        <w:pStyle w:val="BodyText"/>
        <w:spacing w:before="5"/>
        <w:rPr>
          <w:sz w:val="21"/>
        </w:rPr>
      </w:pPr>
    </w:p>
    <w:p>
      <w:pPr>
        <w:pStyle w:val="BodyText"/>
        <w:spacing w:line="491" w:lineRule="auto"/>
        <w:ind w:left="552" w:right="519"/>
      </w:pPr>
      <w:r>
        <w:rPr>
          <w:w w:val="105"/>
        </w:rPr>
        <w:t>The work of the Foreign Exchange Working Group (FXWG) is being supplemented by</w:t>
      </w:r>
      <w:r>
        <w:rPr>
          <w:spacing w:val="-17"/>
          <w:w w:val="105"/>
        </w:rPr>
        <w:t> </w:t>
      </w:r>
      <w:r>
        <w:rPr>
          <w:w w:val="105"/>
        </w:rPr>
        <w:t>an</w:t>
      </w:r>
      <w:r>
        <w:rPr>
          <w:spacing w:val="-19"/>
          <w:w w:val="105"/>
        </w:rPr>
        <w:t> </w:t>
      </w:r>
      <w:r>
        <w:rPr>
          <w:w w:val="105"/>
        </w:rPr>
        <w:t>additional</w:t>
      </w:r>
      <w:r>
        <w:rPr>
          <w:spacing w:val="-18"/>
          <w:w w:val="105"/>
        </w:rPr>
        <w:t> </w:t>
      </w:r>
      <w:r>
        <w:rPr>
          <w:w w:val="105"/>
        </w:rPr>
        <w:t>group</w:t>
      </w:r>
      <w:r>
        <w:rPr>
          <w:spacing w:val="-18"/>
          <w:w w:val="105"/>
        </w:rPr>
        <w:t> </w:t>
      </w:r>
      <w:r>
        <w:rPr>
          <w:w w:val="105"/>
        </w:rPr>
        <w:t>of</w:t>
      </w:r>
      <w:r>
        <w:rPr>
          <w:spacing w:val="-18"/>
          <w:w w:val="105"/>
        </w:rPr>
        <w:t> </w:t>
      </w:r>
      <w:r>
        <w:rPr>
          <w:w w:val="105"/>
        </w:rPr>
        <w:t>private</w:t>
      </w:r>
      <w:r>
        <w:rPr>
          <w:spacing w:val="-18"/>
          <w:w w:val="105"/>
        </w:rPr>
        <w:t> </w:t>
      </w:r>
      <w:r>
        <w:rPr>
          <w:w w:val="105"/>
        </w:rPr>
        <w:t>sector</w:t>
      </w:r>
      <w:r>
        <w:rPr>
          <w:spacing w:val="-17"/>
          <w:w w:val="105"/>
        </w:rPr>
        <w:t> </w:t>
      </w:r>
      <w:r>
        <w:rPr>
          <w:w w:val="105"/>
        </w:rPr>
        <w:t>market</w:t>
      </w:r>
      <w:r>
        <w:rPr>
          <w:spacing w:val="-19"/>
          <w:w w:val="105"/>
        </w:rPr>
        <w:t> </w:t>
      </w:r>
      <w:r>
        <w:rPr>
          <w:w w:val="105"/>
        </w:rPr>
        <w:t>participants</w:t>
      </w:r>
      <w:r>
        <w:rPr>
          <w:spacing w:val="-17"/>
          <w:w w:val="105"/>
        </w:rPr>
        <w:t> </w:t>
      </w:r>
      <w:r>
        <w:rPr>
          <w:w w:val="105"/>
        </w:rPr>
        <w:t>–</w:t>
      </w:r>
      <w:r>
        <w:rPr>
          <w:spacing w:val="-18"/>
          <w:w w:val="105"/>
        </w:rPr>
        <w:t> </w:t>
      </w:r>
      <w:r>
        <w:rPr>
          <w:w w:val="105"/>
        </w:rPr>
        <w:t>the</w:t>
      </w:r>
      <w:r>
        <w:rPr>
          <w:spacing w:val="-17"/>
          <w:w w:val="105"/>
        </w:rPr>
        <w:t> </w:t>
      </w:r>
      <w:r>
        <w:rPr>
          <w:w w:val="105"/>
        </w:rPr>
        <w:t>“Market</w:t>
      </w:r>
      <w:r>
        <w:rPr>
          <w:spacing w:val="-18"/>
          <w:w w:val="105"/>
        </w:rPr>
        <w:t> </w:t>
      </w:r>
      <w:r>
        <w:rPr>
          <w:w w:val="105"/>
        </w:rPr>
        <w:t>Participants Group”</w:t>
      </w:r>
      <w:r>
        <w:rPr>
          <w:spacing w:val="-16"/>
          <w:w w:val="105"/>
        </w:rPr>
        <w:t> </w:t>
      </w:r>
      <w:r>
        <w:rPr>
          <w:w w:val="105"/>
        </w:rPr>
        <w:t>(MPG).</w:t>
      </w:r>
      <w:r>
        <w:rPr>
          <w:spacing w:val="27"/>
          <w:w w:val="105"/>
        </w:rPr>
        <w:t> </w:t>
      </w:r>
      <w:r>
        <w:rPr>
          <w:w w:val="105"/>
        </w:rPr>
        <w:t>Lisa</w:t>
      </w:r>
      <w:r>
        <w:rPr>
          <w:spacing w:val="-16"/>
          <w:w w:val="105"/>
        </w:rPr>
        <w:t> </w:t>
      </w:r>
      <w:r>
        <w:rPr>
          <w:w w:val="105"/>
        </w:rPr>
        <w:t>Scott-Smith,</w:t>
      </w:r>
      <w:r>
        <w:rPr>
          <w:spacing w:val="-15"/>
          <w:w w:val="105"/>
        </w:rPr>
        <w:t> </w:t>
      </w:r>
      <w:r>
        <w:rPr>
          <w:w w:val="105"/>
        </w:rPr>
        <w:t>James</w:t>
      </w:r>
      <w:r>
        <w:rPr>
          <w:spacing w:val="-15"/>
          <w:w w:val="105"/>
        </w:rPr>
        <w:t> </w:t>
      </w:r>
      <w:r>
        <w:rPr>
          <w:w w:val="105"/>
        </w:rPr>
        <w:t>Bindler</w:t>
      </w:r>
      <w:r>
        <w:rPr>
          <w:spacing w:val="-15"/>
          <w:w w:val="105"/>
        </w:rPr>
        <w:t> </w:t>
      </w:r>
      <w:r>
        <w:rPr>
          <w:w w:val="105"/>
        </w:rPr>
        <w:t>and</w:t>
      </w:r>
      <w:r>
        <w:rPr>
          <w:spacing w:val="-15"/>
          <w:w w:val="105"/>
        </w:rPr>
        <w:t> </w:t>
      </w:r>
      <w:r>
        <w:rPr>
          <w:w w:val="105"/>
        </w:rPr>
        <w:t>Phil</w:t>
      </w:r>
      <w:r>
        <w:rPr>
          <w:spacing w:val="-17"/>
          <w:w w:val="105"/>
        </w:rPr>
        <w:t> </w:t>
      </w:r>
      <w:r>
        <w:rPr>
          <w:w w:val="105"/>
        </w:rPr>
        <w:t>Weisberg</w:t>
      </w:r>
      <w:r>
        <w:rPr>
          <w:spacing w:val="-16"/>
          <w:w w:val="105"/>
        </w:rPr>
        <w:t> </w:t>
      </w:r>
      <w:r>
        <w:rPr>
          <w:w w:val="105"/>
        </w:rPr>
        <w:t>provided</w:t>
      </w:r>
      <w:r>
        <w:rPr>
          <w:spacing w:val="-14"/>
          <w:w w:val="105"/>
        </w:rPr>
        <w:t> </w:t>
      </w:r>
      <w:r>
        <w:rPr>
          <w:w w:val="105"/>
        </w:rPr>
        <w:t>a</w:t>
      </w:r>
      <w:r>
        <w:rPr>
          <w:spacing w:val="-16"/>
          <w:w w:val="105"/>
        </w:rPr>
        <w:t> </w:t>
      </w:r>
      <w:r>
        <w:rPr>
          <w:w w:val="105"/>
        </w:rPr>
        <w:t>brief update on their work on the</w:t>
      </w:r>
      <w:r>
        <w:rPr>
          <w:spacing w:val="-15"/>
          <w:w w:val="105"/>
        </w:rPr>
        <w:t> </w:t>
      </w:r>
      <w:r>
        <w:rPr>
          <w:w w:val="105"/>
        </w:rPr>
        <w:t>MPG.</w:t>
      </w:r>
    </w:p>
    <w:p>
      <w:pPr>
        <w:pStyle w:val="BodyText"/>
        <w:rPr>
          <w:sz w:val="24"/>
        </w:rPr>
      </w:pPr>
    </w:p>
    <w:p>
      <w:pPr>
        <w:pStyle w:val="BodyText"/>
        <w:spacing w:before="6"/>
        <w:rPr>
          <w:sz w:val="21"/>
        </w:rPr>
      </w:pPr>
    </w:p>
    <w:p>
      <w:pPr>
        <w:pStyle w:val="Heading1"/>
        <w:numPr>
          <w:ilvl w:val="0"/>
          <w:numId w:val="1"/>
        </w:numPr>
        <w:tabs>
          <w:tab w:pos="893" w:val="left" w:leader="none"/>
        </w:tabs>
        <w:spacing w:line="240" w:lineRule="auto" w:before="0" w:after="0"/>
        <w:ind w:left="892" w:right="0" w:hanging="341"/>
        <w:jc w:val="left"/>
      </w:pPr>
      <w:r>
        <w:rPr>
          <w:w w:val="105"/>
        </w:rPr>
        <w:t>Regulatory</w:t>
      </w:r>
      <w:r>
        <w:rPr>
          <w:spacing w:val="-3"/>
          <w:w w:val="105"/>
        </w:rPr>
        <w:t> </w:t>
      </w:r>
      <w:r>
        <w:rPr>
          <w:w w:val="105"/>
        </w:rPr>
        <w:t>Update</w:t>
      </w:r>
    </w:p>
    <w:p>
      <w:pPr>
        <w:pStyle w:val="BodyText"/>
        <w:rPr>
          <w:b/>
          <w:sz w:val="24"/>
        </w:rPr>
      </w:pPr>
    </w:p>
    <w:p>
      <w:pPr>
        <w:pStyle w:val="BodyText"/>
        <w:rPr>
          <w:b/>
        </w:rPr>
      </w:pPr>
    </w:p>
    <w:p>
      <w:pPr>
        <w:pStyle w:val="BodyText"/>
        <w:spacing w:line="491" w:lineRule="auto" w:before="1"/>
        <w:ind w:left="552" w:right="488"/>
        <w:jc w:val="both"/>
      </w:pPr>
      <w:r>
        <w:rPr>
          <w:w w:val="105"/>
        </w:rPr>
        <w:t>Heather</w:t>
      </w:r>
      <w:r>
        <w:rPr>
          <w:spacing w:val="-5"/>
          <w:w w:val="105"/>
        </w:rPr>
        <w:t> </w:t>
      </w:r>
      <w:r>
        <w:rPr>
          <w:w w:val="105"/>
        </w:rPr>
        <w:t>Pilley</w:t>
      </w:r>
      <w:r>
        <w:rPr>
          <w:spacing w:val="-3"/>
          <w:w w:val="105"/>
        </w:rPr>
        <w:t> </w:t>
      </w:r>
      <w:r>
        <w:rPr>
          <w:w w:val="105"/>
        </w:rPr>
        <w:t>(FCA)</w:t>
      </w:r>
      <w:r>
        <w:rPr>
          <w:spacing w:val="-4"/>
          <w:w w:val="105"/>
        </w:rPr>
        <w:t> </w:t>
      </w:r>
      <w:r>
        <w:rPr>
          <w:w w:val="105"/>
        </w:rPr>
        <w:t>gave</w:t>
      </w:r>
      <w:r>
        <w:rPr>
          <w:spacing w:val="-5"/>
          <w:w w:val="105"/>
        </w:rPr>
        <w:t> </w:t>
      </w:r>
      <w:r>
        <w:rPr>
          <w:w w:val="105"/>
        </w:rPr>
        <w:t>an</w:t>
      </w:r>
      <w:r>
        <w:rPr>
          <w:spacing w:val="-3"/>
          <w:w w:val="105"/>
        </w:rPr>
        <w:t> </w:t>
      </w:r>
      <w:r>
        <w:rPr>
          <w:w w:val="105"/>
        </w:rPr>
        <w:t>overview</w:t>
      </w:r>
      <w:r>
        <w:rPr>
          <w:spacing w:val="-4"/>
          <w:w w:val="105"/>
        </w:rPr>
        <w:t> </w:t>
      </w:r>
      <w:r>
        <w:rPr>
          <w:w w:val="105"/>
        </w:rPr>
        <w:t>of</w:t>
      </w:r>
      <w:r>
        <w:rPr>
          <w:spacing w:val="-4"/>
          <w:w w:val="105"/>
        </w:rPr>
        <w:t> </w:t>
      </w:r>
      <w:r>
        <w:rPr>
          <w:w w:val="105"/>
        </w:rPr>
        <w:t>recent</w:t>
      </w:r>
      <w:r>
        <w:rPr>
          <w:spacing w:val="-5"/>
          <w:w w:val="105"/>
        </w:rPr>
        <w:t> </w:t>
      </w:r>
      <w:r>
        <w:rPr>
          <w:w w:val="105"/>
        </w:rPr>
        <w:t>FX</w:t>
      </w:r>
      <w:r>
        <w:rPr>
          <w:spacing w:val="-3"/>
          <w:w w:val="105"/>
        </w:rPr>
        <w:t> </w:t>
      </w:r>
      <w:r>
        <w:rPr>
          <w:w w:val="105"/>
        </w:rPr>
        <w:t>regulatory</w:t>
      </w:r>
      <w:r>
        <w:rPr>
          <w:spacing w:val="-3"/>
          <w:w w:val="105"/>
        </w:rPr>
        <w:t> </w:t>
      </w:r>
      <w:r>
        <w:rPr>
          <w:w w:val="105"/>
        </w:rPr>
        <w:t>developments</w:t>
      </w:r>
      <w:r>
        <w:rPr>
          <w:spacing w:val="-4"/>
          <w:w w:val="105"/>
        </w:rPr>
        <w:t> </w:t>
      </w:r>
      <w:r>
        <w:rPr>
          <w:w w:val="105"/>
        </w:rPr>
        <w:t>to</w:t>
      </w:r>
      <w:r>
        <w:rPr>
          <w:spacing w:val="-4"/>
          <w:w w:val="105"/>
        </w:rPr>
        <w:t> </w:t>
      </w:r>
      <w:r>
        <w:rPr>
          <w:w w:val="105"/>
        </w:rPr>
        <w:t>the Committee.</w:t>
      </w:r>
      <w:r>
        <w:rPr>
          <w:spacing w:val="43"/>
          <w:w w:val="105"/>
        </w:rPr>
        <w:t> </w:t>
      </w:r>
      <w:r>
        <w:rPr>
          <w:w w:val="105"/>
        </w:rPr>
        <w:t>In</w:t>
      </w:r>
      <w:r>
        <w:rPr>
          <w:spacing w:val="-8"/>
          <w:w w:val="105"/>
        </w:rPr>
        <w:t> </w:t>
      </w:r>
      <w:r>
        <w:rPr>
          <w:w w:val="105"/>
        </w:rPr>
        <w:t>particular</w:t>
      </w:r>
      <w:r>
        <w:rPr>
          <w:spacing w:val="-7"/>
          <w:w w:val="105"/>
        </w:rPr>
        <w:t> </w:t>
      </w:r>
      <w:r>
        <w:rPr>
          <w:w w:val="105"/>
        </w:rPr>
        <w:t>she</w:t>
      </w:r>
      <w:r>
        <w:rPr>
          <w:spacing w:val="-8"/>
          <w:w w:val="105"/>
        </w:rPr>
        <w:t> </w:t>
      </w:r>
      <w:r>
        <w:rPr>
          <w:w w:val="105"/>
        </w:rPr>
        <w:t>provided:</w:t>
      </w:r>
      <w:r>
        <w:rPr>
          <w:spacing w:val="-8"/>
          <w:w w:val="105"/>
        </w:rPr>
        <w:t> </w:t>
      </w:r>
      <w:r>
        <w:rPr>
          <w:w w:val="105"/>
        </w:rPr>
        <w:t>(i)</w:t>
      </w:r>
      <w:r>
        <w:rPr>
          <w:spacing w:val="-6"/>
          <w:w w:val="105"/>
        </w:rPr>
        <w:t> </w:t>
      </w:r>
      <w:r>
        <w:rPr>
          <w:w w:val="105"/>
        </w:rPr>
        <w:t>an</w:t>
      </w:r>
      <w:r>
        <w:rPr>
          <w:spacing w:val="-7"/>
          <w:w w:val="105"/>
        </w:rPr>
        <w:t> </w:t>
      </w:r>
      <w:r>
        <w:rPr>
          <w:w w:val="105"/>
        </w:rPr>
        <w:t>update</w:t>
      </w:r>
      <w:r>
        <w:rPr>
          <w:spacing w:val="-9"/>
          <w:w w:val="105"/>
        </w:rPr>
        <w:t> </w:t>
      </w:r>
      <w:r>
        <w:rPr>
          <w:w w:val="105"/>
        </w:rPr>
        <w:t>on</w:t>
      </w:r>
      <w:r>
        <w:rPr>
          <w:spacing w:val="-7"/>
          <w:w w:val="105"/>
        </w:rPr>
        <w:t> </w:t>
      </w:r>
      <w:r>
        <w:rPr>
          <w:w w:val="105"/>
        </w:rPr>
        <w:t>the</w:t>
      </w:r>
      <w:r>
        <w:rPr>
          <w:spacing w:val="-8"/>
          <w:w w:val="105"/>
        </w:rPr>
        <w:t> </w:t>
      </w:r>
      <w:r>
        <w:rPr>
          <w:w w:val="105"/>
        </w:rPr>
        <w:t>delivery</w:t>
      </w:r>
      <w:r>
        <w:rPr>
          <w:spacing w:val="-7"/>
          <w:w w:val="105"/>
        </w:rPr>
        <w:t> </w:t>
      </w:r>
      <w:r>
        <w:rPr>
          <w:w w:val="105"/>
        </w:rPr>
        <w:t>by</w:t>
      </w:r>
      <w:r>
        <w:rPr>
          <w:spacing w:val="-7"/>
          <w:w w:val="105"/>
        </w:rPr>
        <w:t> </w:t>
      </w:r>
      <w:r>
        <w:rPr>
          <w:w w:val="105"/>
        </w:rPr>
        <w:t>the</w:t>
      </w:r>
      <w:r>
        <w:rPr>
          <w:spacing w:val="-8"/>
          <w:w w:val="105"/>
        </w:rPr>
        <w:t> </w:t>
      </w:r>
      <w:r>
        <w:rPr>
          <w:w w:val="105"/>
        </w:rPr>
        <w:t>European Securities and Markets Authority (ESMA) of draft regulatory and implementing technical</w:t>
      </w:r>
      <w:r>
        <w:rPr>
          <w:spacing w:val="-13"/>
          <w:w w:val="105"/>
        </w:rPr>
        <w:t> </w:t>
      </w:r>
      <w:r>
        <w:rPr>
          <w:w w:val="105"/>
        </w:rPr>
        <w:t>standards</w:t>
      </w:r>
      <w:r>
        <w:rPr>
          <w:spacing w:val="-13"/>
          <w:w w:val="105"/>
        </w:rPr>
        <w:t> </w:t>
      </w:r>
      <w:r>
        <w:rPr>
          <w:w w:val="105"/>
        </w:rPr>
        <w:t>for</w:t>
      </w:r>
      <w:r>
        <w:rPr>
          <w:spacing w:val="-12"/>
          <w:w w:val="105"/>
        </w:rPr>
        <w:t> </w:t>
      </w:r>
      <w:r>
        <w:rPr>
          <w:w w:val="105"/>
        </w:rPr>
        <w:t>the</w:t>
      </w:r>
      <w:r>
        <w:rPr>
          <w:spacing w:val="-13"/>
          <w:w w:val="105"/>
        </w:rPr>
        <w:t> </w:t>
      </w:r>
      <w:r>
        <w:rPr>
          <w:w w:val="105"/>
        </w:rPr>
        <w:t>Markets</w:t>
      </w:r>
      <w:r>
        <w:rPr>
          <w:spacing w:val="-13"/>
          <w:w w:val="105"/>
        </w:rPr>
        <w:t> </w:t>
      </w:r>
      <w:r>
        <w:rPr>
          <w:w w:val="105"/>
        </w:rPr>
        <w:t>in</w:t>
      </w:r>
      <w:r>
        <w:rPr>
          <w:spacing w:val="-12"/>
          <w:w w:val="105"/>
        </w:rPr>
        <w:t> </w:t>
      </w:r>
      <w:r>
        <w:rPr>
          <w:w w:val="105"/>
        </w:rPr>
        <w:t>Financial</w:t>
      </w:r>
      <w:r>
        <w:rPr>
          <w:spacing w:val="-12"/>
          <w:w w:val="105"/>
        </w:rPr>
        <w:t> </w:t>
      </w:r>
      <w:r>
        <w:rPr>
          <w:w w:val="105"/>
        </w:rPr>
        <w:t>Instruments</w:t>
      </w:r>
      <w:r>
        <w:rPr>
          <w:spacing w:val="-13"/>
          <w:w w:val="105"/>
        </w:rPr>
        <w:t> </w:t>
      </w:r>
      <w:r>
        <w:rPr>
          <w:w w:val="105"/>
        </w:rPr>
        <w:t>Directive</w:t>
      </w:r>
      <w:r>
        <w:rPr>
          <w:spacing w:val="-14"/>
          <w:w w:val="105"/>
        </w:rPr>
        <w:t> </w:t>
      </w:r>
      <w:r>
        <w:rPr>
          <w:w w:val="105"/>
        </w:rPr>
        <w:t>and</w:t>
      </w:r>
      <w:r>
        <w:rPr>
          <w:spacing w:val="-12"/>
          <w:w w:val="105"/>
        </w:rPr>
        <w:t> </w:t>
      </w:r>
      <w:r>
        <w:rPr>
          <w:w w:val="105"/>
        </w:rPr>
        <w:t>Regulation (MiFID II); (ii) an update of the European Commission’s work on the definition of foreign</w:t>
      </w:r>
      <w:r>
        <w:rPr>
          <w:spacing w:val="-11"/>
          <w:w w:val="105"/>
        </w:rPr>
        <w:t> </w:t>
      </w:r>
      <w:r>
        <w:rPr>
          <w:w w:val="105"/>
        </w:rPr>
        <w:t>exchange</w:t>
      </w:r>
      <w:r>
        <w:rPr>
          <w:spacing w:val="-10"/>
          <w:w w:val="105"/>
        </w:rPr>
        <w:t> </w:t>
      </w:r>
      <w:r>
        <w:rPr>
          <w:w w:val="105"/>
        </w:rPr>
        <w:t>derivative</w:t>
      </w:r>
      <w:r>
        <w:rPr>
          <w:spacing w:val="-10"/>
          <w:w w:val="105"/>
        </w:rPr>
        <w:t> </w:t>
      </w:r>
      <w:r>
        <w:rPr>
          <w:w w:val="105"/>
        </w:rPr>
        <w:t>instruments</w:t>
      </w:r>
      <w:r>
        <w:rPr>
          <w:spacing w:val="-10"/>
          <w:w w:val="105"/>
        </w:rPr>
        <w:t> </w:t>
      </w:r>
      <w:r>
        <w:rPr>
          <w:w w:val="105"/>
        </w:rPr>
        <w:t>under</w:t>
      </w:r>
      <w:r>
        <w:rPr>
          <w:spacing w:val="-11"/>
          <w:w w:val="105"/>
        </w:rPr>
        <w:t> </w:t>
      </w:r>
      <w:r>
        <w:rPr>
          <w:w w:val="105"/>
        </w:rPr>
        <w:t>the</w:t>
      </w:r>
      <w:r>
        <w:rPr>
          <w:spacing w:val="-11"/>
          <w:w w:val="105"/>
        </w:rPr>
        <w:t> </w:t>
      </w:r>
      <w:r>
        <w:rPr>
          <w:w w:val="105"/>
        </w:rPr>
        <w:t>delegated</w:t>
      </w:r>
      <w:r>
        <w:rPr>
          <w:spacing w:val="-11"/>
          <w:w w:val="105"/>
        </w:rPr>
        <w:t> </w:t>
      </w:r>
      <w:r>
        <w:rPr>
          <w:w w:val="105"/>
        </w:rPr>
        <w:t>acts</w:t>
      </w:r>
      <w:r>
        <w:rPr>
          <w:spacing w:val="-10"/>
          <w:w w:val="105"/>
        </w:rPr>
        <w:t> </w:t>
      </w:r>
      <w:r>
        <w:rPr>
          <w:w w:val="105"/>
        </w:rPr>
        <w:t>of</w:t>
      </w:r>
      <w:r>
        <w:rPr>
          <w:spacing w:val="-10"/>
          <w:w w:val="105"/>
        </w:rPr>
        <w:t> </w:t>
      </w:r>
      <w:r>
        <w:rPr>
          <w:w w:val="105"/>
        </w:rPr>
        <w:t>MiFID</w:t>
      </w:r>
      <w:r>
        <w:rPr>
          <w:spacing w:val="-10"/>
          <w:w w:val="105"/>
        </w:rPr>
        <w:t> </w:t>
      </w:r>
      <w:r>
        <w:rPr>
          <w:w w:val="105"/>
        </w:rPr>
        <w:t>II;</w:t>
      </w:r>
      <w:r>
        <w:rPr>
          <w:spacing w:val="-11"/>
          <w:w w:val="105"/>
        </w:rPr>
        <w:t> </w:t>
      </w:r>
      <w:r>
        <w:rPr>
          <w:w w:val="105"/>
        </w:rPr>
        <w:t>(iii)</w:t>
      </w:r>
      <w:r>
        <w:rPr>
          <w:spacing w:val="-10"/>
          <w:w w:val="105"/>
        </w:rPr>
        <w:t> </w:t>
      </w:r>
      <w:r>
        <w:rPr>
          <w:w w:val="105"/>
        </w:rPr>
        <w:t>an update on European Market Infrastructures Regulation (EMIR) developments, focusing</w:t>
      </w:r>
      <w:r>
        <w:rPr>
          <w:spacing w:val="-5"/>
          <w:w w:val="105"/>
        </w:rPr>
        <w:t> </w:t>
      </w:r>
      <w:r>
        <w:rPr>
          <w:w w:val="105"/>
        </w:rPr>
        <w:t>on</w:t>
      </w:r>
      <w:r>
        <w:rPr>
          <w:spacing w:val="-5"/>
          <w:w w:val="105"/>
        </w:rPr>
        <w:t> </w:t>
      </w:r>
      <w:r>
        <w:rPr>
          <w:w w:val="105"/>
        </w:rPr>
        <w:t>upcoming</w:t>
      </w:r>
      <w:r>
        <w:rPr>
          <w:spacing w:val="-3"/>
          <w:w w:val="105"/>
        </w:rPr>
        <w:t> </w:t>
      </w:r>
      <w:r>
        <w:rPr>
          <w:w w:val="105"/>
        </w:rPr>
        <w:t>margin</w:t>
      </w:r>
      <w:r>
        <w:rPr>
          <w:spacing w:val="-5"/>
          <w:w w:val="105"/>
        </w:rPr>
        <w:t> </w:t>
      </w:r>
      <w:r>
        <w:rPr>
          <w:w w:val="105"/>
        </w:rPr>
        <w:t>standards</w:t>
      </w:r>
      <w:r>
        <w:rPr>
          <w:spacing w:val="-5"/>
          <w:w w:val="105"/>
        </w:rPr>
        <w:t> </w:t>
      </w:r>
      <w:r>
        <w:rPr>
          <w:w w:val="105"/>
        </w:rPr>
        <w:t>and</w:t>
      </w:r>
      <w:r>
        <w:rPr>
          <w:spacing w:val="-4"/>
          <w:w w:val="105"/>
        </w:rPr>
        <w:t> </w:t>
      </w:r>
      <w:r>
        <w:rPr>
          <w:w w:val="105"/>
        </w:rPr>
        <w:t>amendments</w:t>
      </w:r>
      <w:r>
        <w:rPr>
          <w:spacing w:val="-6"/>
          <w:w w:val="105"/>
        </w:rPr>
        <w:t> </w:t>
      </w:r>
      <w:r>
        <w:rPr>
          <w:w w:val="105"/>
        </w:rPr>
        <w:t>to</w:t>
      </w:r>
      <w:r>
        <w:rPr>
          <w:spacing w:val="-5"/>
          <w:w w:val="105"/>
        </w:rPr>
        <w:t> </w:t>
      </w:r>
      <w:r>
        <w:rPr>
          <w:w w:val="105"/>
        </w:rPr>
        <w:t>trade</w:t>
      </w:r>
      <w:r>
        <w:rPr>
          <w:spacing w:val="-5"/>
          <w:w w:val="105"/>
        </w:rPr>
        <w:t> </w:t>
      </w:r>
      <w:r>
        <w:rPr>
          <w:w w:val="105"/>
        </w:rPr>
        <w:t>reporting</w:t>
      </w:r>
      <w:r>
        <w:rPr>
          <w:spacing w:val="-5"/>
          <w:w w:val="105"/>
        </w:rPr>
        <w:t> </w:t>
      </w:r>
      <w:r>
        <w:rPr>
          <w:w w:val="105"/>
        </w:rPr>
        <w:t>and;</w:t>
      </w:r>
      <w:r>
        <w:rPr>
          <w:spacing w:val="-6"/>
          <w:w w:val="105"/>
        </w:rPr>
        <w:t> </w:t>
      </w:r>
      <w:r>
        <w:rPr>
          <w:w w:val="105"/>
        </w:rPr>
        <w:t>(iv) an</w:t>
      </w:r>
      <w:r>
        <w:rPr>
          <w:spacing w:val="-14"/>
          <w:w w:val="105"/>
        </w:rPr>
        <w:t> </w:t>
      </w:r>
      <w:r>
        <w:rPr>
          <w:w w:val="105"/>
        </w:rPr>
        <w:t>overview</w:t>
      </w:r>
      <w:r>
        <w:rPr>
          <w:spacing w:val="-13"/>
          <w:w w:val="105"/>
        </w:rPr>
        <w:t> </w:t>
      </w:r>
      <w:r>
        <w:rPr>
          <w:w w:val="105"/>
        </w:rPr>
        <w:t>regarding</w:t>
      </w:r>
      <w:r>
        <w:rPr>
          <w:spacing w:val="-13"/>
          <w:w w:val="105"/>
        </w:rPr>
        <w:t> </w:t>
      </w:r>
      <w:r>
        <w:rPr>
          <w:w w:val="105"/>
        </w:rPr>
        <w:t>two</w:t>
      </w:r>
      <w:r>
        <w:rPr>
          <w:spacing w:val="-14"/>
          <w:w w:val="105"/>
        </w:rPr>
        <w:t> </w:t>
      </w:r>
      <w:r>
        <w:rPr>
          <w:w w:val="105"/>
        </w:rPr>
        <w:t>sets</w:t>
      </w:r>
      <w:r>
        <w:rPr>
          <w:spacing w:val="-13"/>
          <w:w w:val="105"/>
        </w:rPr>
        <w:t> </w:t>
      </w:r>
      <w:r>
        <w:rPr>
          <w:w w:val="105"/>
        </w:rPr>
        <w:t>of</w:t>
      </w:r>
      <w:r>
        <w:rPr>
          <w:spacing w:val="-14"/>
          <w:w w:val="105"/>
        </w:rPr>
        <w:t> </w:t>
      </w:r>
      <w:r>
        <w:rPr>
          <w:w w:val="105"/>
        </w:rPr>
        <w:t>proposed</w:t>
      </w:r>
      <w:r>
        <w:rPr>
          <w:spacing w:val="-14"/>
          <w:w w:val="105"/>
        </w:rPr>
        <w:t> </w:t>
      </w:r>
      <w:r>
        <w:rPr>
          <w:w w:val="105"/>
        </w:rPr>
        <w:t>regulatory</w:t>
      </w:r>
      <w:r>
        <w:rPr>
          <w:spacing w:val="-12"/>
          <w:w w:val="105"/>
        </w:rPr>
        <w:t> </w:t>
      </w:r>
      <w:r>
        <w:rPr>
          <w:w w:val="105"/>
        </w:rPr>
        <w:t>technical</w:t>
      </w:r>
      <w:r>
        <w:rPr>
          <w:spacing w:val="-14"/>
          <w:w w:val="105"/>
        </w:rPr>
        <w:t> </w:t>
      </w:r>
      <w:r>
        <w:rPr>
          <w:w w:val="105"/>
        </w:rPr>
        <w:t>standards</w:t>
      </w:r>
      <w:r>
        <w:rPr>
          <w:spacing w:val="-13"/>
          <w:w w:val="105"/>
        </w:rPr>
        <w:t> </w:t>
      </w:r>
      <w:r>
        <w:rPr>
          <w:w w:val="105"/>
        </w:rPr>
        <w:t>on</w:t>
      </w:r>
      <w:r>
        <w:rPr>
          <w:spacing w:val="-14"/>
          <w:w w:val="105"/>
        </w:rPr>
        <w:t> </w:t>
      </w:r>
      <w:r>
        <w:rPr>
          <w:w w:val="105"/>
        </w:rPr>
        <w:t>indirect</w:t>
      </w:r>
    </w:p>
    <w:p>
      <w:pPr>
        <w:spacing w:after="0" w:line="491" w:lineRule="auto"/>
        <w:jc w:val="both"/>
        <w:sectPr>
          <w:pgSz w:w="12240" w:h="15840"/>
          <w:pgMar w:header="0" w:footer="634" w:top="1280" w:bottom="820" w:left="1660" w:right="1720"/>
        </w:sectPr>
      </w:pPr>
    </w:p>
    <w:p>
      <w:pPr>
        <w:pStyle w:val="BodyText"/>
        <w:spacing w:line="491" w:lineRule="auto" w:before="78"/>
        <w:ind w:left="552" w:right="489"/>
        <w:jc w:val="both"/>
      </w:pPr>
      <w:r>
        <w:rPr>
          <w:w w:val="105"/>
        </w:rPr>
        <w:t>clearing</w:t>
      </w:r>
      <w:r>
        <w:rPr>
          <w:spacing w:val="-21"/>
          <w:w w:val="105"/>
        </w:rPr>
        <w:t> </w:t>
      </w:r>
      <w:r>
        <w:rPr>
          <w:w w:val="105"/>
        </w:rPr>
        <w:t>for</w:t>
      </w:r>
      <w:r>
        <w:rPr>
          <w:spacing w:val="-21"/>
          <w:w w:val="105"/>
        </w:rPr>
        <w:t> </w:t>
      </w:r>
      <w:r>
        <w:rPr>
          <w:w w:val="105"/>
        </w:rPr>
        <w:t>both</w:t>
      </w:r>
      <w:r>
        <w:rPr>
          <w:spacing w:val="-20"/>
          <w:w w:val="105"/>
        </w:rPr>
        <w:t> </w:t>
      </w:r>
      <w:r>
        <w:rPr>
          <w:w w:val="105"/>
        </w:rPr>
        <w:t>over-the-counter</w:t>
      </w:r>
      <w:r>
        <w:rPr>
          <w:spacing w:val="-19"/>
          <w:w w:val="105"/>
        </w:rPr>
        <w:t> </w:t>
      </w:r>
      <w:r>
        <w:rPr>
          <w:w w:val="105"/>
        </w:rPr>
        <w:t>derivatives</w:t>
      </w:r>
      <w:r>
        <w:rPr>
          <w:spacing w:val="-21"/>
          <w:w w:val="105"/>
        </w:rPr>
        <w:t> </w:t>
      </w:r>
      <w:r>
        <w:rPr>
          <w:w w:val="105"/>
        </w:rPr>
        <w:t>and</w:t>
      </w:r>
      <w:r>
        <w:rPr>
          <w:spacing w:val="-21"/>
          <w:w w:val="105"/>
        </w:rPr>
        <w:t> </w:t>
      </w:r>
      <w:r>
        <w:rPr>
          <w:w w:val="105"/>
        </w:rPr>
        <w:t>for</w:t>
      </w:r>
      <w:r>
        <w:rPr>
          <w:spacing w:val="-20"/>
          <w:w w:val="105"/>
        </w:rPr>
        <w:t> </w:t>
      </w:r>
      <w:r>
        <w:rPr>
          <w:w w:val="105"/>
        </w:rPr>
        <w:t>exchange-traded</w:t>
      </w:r>
      <w:r>
        <w:rPr>
          <w:spacing w:val="-21"/>
          <w:w w:val="105"/>
        </w:rPr>
        <w:t> </w:t>
      </w:r>
      <w:r>
        <w:rPr>
          <w:w w:val="105"/>
        </w:rPr>
        <w:t>derivatives</w:t>
      </w:r>
      <w:r>
        <w:rPr>
          <w:spacing w:val="-20"/>
          <w:w w:val="105"/>
        </w:rPr>
        <w:t> </w:t>
      </w:r>
      <w:r>
        <w:rPr>
          <w:w w:val="105"/>
        </w:rPr>
        <w:t>that ESMA will develop under EMIR and Markets in Financial Instruments Regulation (MiFIR) respectively. It was also noted that the Financial Stability Board published an update report for the G20 Antalya</w:t>
      </w:r>
      <w:r>
        <w:rPr>
          <w:spacing w:val="-22"/>
          <w:w w:val="105"/>
        </w:rPr>
        <w:t> </w:t>
      </w:r>
      <w:r>
        <w:rPr>
          <w:w w:val="105"/>
        </w:rPr>
        <w:t>summit.</w:t>
      </w:r>
    </w:p>
    <w:p>
      <w:pPr>
        <w:pStyle w:val="BodyText"/>
        <w:spacing w:before="3"/>
        <w:rPr>
          <w:sz w:val="23"/>
        </w:rPr>
      </w:pPr>
    </w:p>
    <w:p>
      <w:pPr>
        <w:pStyle w:val="Heading1"/>
        <w:numPr>
          <w:ilvl w:val="0"/>
          <w:numId w:val="1"/>
        </w:numPr>
        <w:tabs>
          <w:tab w:pos="893" w:val="left" w:leader="none"/>
        </w:tabs>
        <w:spacing w:line="240" w:lineRule="auto" w:before="0" w:after="0"/>
        <w:ind w:left="892" w:right="0" w:hanging="341"/>
        <w:jc w:val="left"/>
      </w:pPr>
      <w:r>
        <w:rPr>
          <w:w w:val="105"/>
        </w:rPr>
        <w:t>FXJSC – discussion of future role and membership</w:t>
      </w:r>
      <w:r>
        <w:rPr>
          <w:spacing w:val="-39"/>
          <w:w w:val="105"/>
        </w:rPr>
        <w:t> </w:t>
      </w:r>
      <w:r>
        <w:rPr>
          <w:w w:val="105"/>
        </w:rPr>
        <w:t>structure</w:t>
      </w:r>
    </w:p>
    <w:p>
      <w:pPr>
        <w:pStyle w:val="BodyText"/>
        <w:rPr>
          <w:b/>
          <w:sz w:val="24"/>
        </w:rPr>
      </w:pPr>
    </w:p>
    <w:p>
      <w:pPr>
        <w:pStyle w:val="BodyText"/>
        <w:spacing w:before="11"/>
        <w:rPr>
          <w:b/>
          <w:sz w:val="21"/>
        </w:rPr>
      </w:pPr>
    </w:p>
    <w:p>
      <w:pPr>
        <w:pStyle w:val="BodyText"/>
        <w:spacing w:line="491" w:lineRule="auto"/>
        <w:ind w:left="552" w:right="654"/>
      </w:pPr>
      <w:r>
        <w:rPr>
          <w:w w:val="105"/>
        </w:rPr>
        <w:t>The Chair presented the revised FXJSC terms of reference and invited members to feedback comments to the FXJSC Secretariat prior to the terms of reference being ratified</w:t>
      </w:r>
      <w:r>
        <w:rPr>
          <w:spacing w:val="-13"/>
          <w:w w:val="105"/>
        </w:rPr>
        <w:t> </w:t>
      </w:r>
      <w:r>
        <w:rPr>
          <w:w w:val="105"/>
        </w:rPr>
        <w:t>at</w:t>
      </w:r>
      <w:r>
        <w:rPr>
          <w:spacing w:val="-12"/>
          <w:w w:val="105"/>
        </w:rPr>
        <w:t> </w:t>
      </w:r>
      <w:r>
        <w:rPr>
          <w:w w:val="105"/>
        </w:rPr>
        <w:t>the</w:t>
      </w:r>
      <w:r>
        <w:rPr>
          <w:spacing w:val="-13"/>
          <w:w w:val="105"/>
        </w:rPr>
        <w:t> </w:t>
      </w:r>
      <w:r>
        <w:rPr>
          <w:w w:val="105"/>
        </w:rPr>
        <w:t>next</w:t>
      </w:r>
      <w:r>
        <w:rPr>
          <w:spacing w:val="-13"/>
          <w:w w:val="105"/>
        </w:rPr>
        <w:t> </w:t>
      </w:r>
      <w:r>
        <w:rPr>
          <w:w w:val="105"/>
        </w:rPr>
        <w:t>FXJSC</w:t>
      </w:r>
      <w:r>
        <w:rPr>
          <w:spacing w:val="-11"/>
          <w:w w:val="105"/>
        </w:rPr>
        <w:t> </w:t>
      </w:r>
      <w:r>
        <w:rPr>
          <w:w w:val="105"/>
        </w:rPr>
        <w:t>meeting</w:t>
      </w:r>
      <w:r>
        <w:rPr>
          <w:spacing w:val="-13"/>
          <w:w w:val="105"/>
        </w:rPr>
        <w:t> </w:t>
      </w:r>
      <w:r>
        <w:rPr>
          <w:w w:val="105"/>
        </w:rPr>
        <w:t>in</w:t>
      </w:r>
      <w:r>
        <w:rPr>
          <w:spacing w:val="-12"/>
          <w:w w:val="105"/>
        </w:rPr>
        <w:t> </w:t>
      </w:r>
      <w:r>
        <w:rPr>
          <w:w w:val="105"/>
        </w:rPr>
        <w:t>January</w:t>
      </w:r>
      <w:r>
        <w:rPr>
          <w:spacing w:val="-11"/>
          <w:w w:val="105"/>
        </w:rPr>
        <w:t> </w:t>
      </w:r>
      <w:r>
        <w:rPr>
          <w:w w:val="105"/>
        </w:rPr>
        <w:t>2016.</w:t>
      </w:r>
      <w:r>
        <w:rPr>
          <w:spacing w:val="32"/>
          <w:w w:val="105"/>
        </w:rPr>
        <w:t> </w:t>
      </w:r>
      <w:r>
        <w:rPr>
          <w:w w:val="105"/>
        </w:rPr>
        <w:t>The</w:t>
      </w:r>
      <w:r>
        <w:rPr>
          <w:spacing w:val="-13"/>
          <w:w w:val="105"/>
        </w:rPr>
        <w:t> </w:t>
      </w:r>
      <w:r>
        <w:rPr>
          <w:w w:val="105"/>
        </w:rPr>
        <w:t>Chair</w:t>
      </w:r>
      <w:r>
        <w:rPr>
          <w:spacing w:val="-12"/>
          <w:w w:val="105"/>
        </w:rPr>
        <w:t> </w:t>
      </w:r>
      <w:r>
        <w:rPr>
          <w:w w:val="105"/>
        </w:rPr>
        <w:t>also</w:t>
      </w:r>
      <w:r>
        <w:rPr>
          <w:spacing w:val="-13"/>
          <w:w w:val="105"/>
        </w:rPr>
        <w:t> </w:t>
      </w:r>
      <w:r>
        <w:rPr>
          <w:w w:val="105"/>
        </w:rPr>
        <w:t>updated</w:t>
      </w:r>
      <w:r>
        <w:rPr>
          <w:spacing w:val="-13"/>
          <w:w w:val="105"/>
        </w:rPr>
        <w:t> </w:t>
      </w:r>
      <w:r>
        <w:rPr>
          <w:w w:val="105"/>
        </w:rPr>
        <w:t>on</w:t>
      </w:r>
      <w:r>
        <w:rPr>
          <w:spacing w:val="-12"/>
          <w:w w:val="105"/>
        </w:rPr>
        <w:t> </w:t>
      </w:r>
      <w:r>
        <w:rPr>
          <w:w w:val="105"/>
        </w:rPr>
        <w:t>the review being undertaken to ensure that the Committee continued to reflect the diversity</w:t>
      </w:r>
      <w:r>
        <w:rPr>
          <w:spacing w:val="-15"/>
          <w:w w:val="105"/>
        </w:rPr>
        <w:t> </w:t>
      </w:r>
      <w:r>
        <w:rPr>
          <w:w w:val="105"/>
        </w:rPr>
        <w:t>of</w:t>
      </w:r>
      <w:r>
        <w:rPr>
          <w:spacing w:val="-17"/>
          <w:w w:val="105"/>
        </w:rPr>
        <w:t> </w:t>
      </w:r>
      <w:r>
        <w:rPr>
          <w:w w:val="105"/>
        </w:rPr>
        <w:t>the</w:t>
      </w:r>
      <w:r>
        <w:rPr>
          <w:spacing w:val="-16"/>
          <w:w w:val="105"/>
        </w:rPr>
        <w:t> </w:t>
      </w:r>
      <w:r>
        <w:rPr>
          <w:w w:val="105"/>
        </w:rPr>
        <w:t>UK</w:t>
      </w:r>
      <w:r>
        <w:rPr>
          <w:spacing w:val="-16"/>
          <w:w w:val="105"/>
        </w:rPr>
        <w:t> </w:t>
      </w:r>
      <w:r>
        <w:rPr>
          <w:w w:val="105"/>
        </w:rPr>
        <w:t>wholesale</w:t>
      </w:r>
      <w:r>
        <w:rPr>
          <w:spacing w:val="-18"/>
          <w:w w:val="105"/>
        </w:rPr>
        <w:t> </w:t>
      </w:r>
      <w:r>
        <w:rPr>
          <w:w w:val="105"/>
        </w:rPr>
        <w:t>FX</w:t>
      </w:r>
      <w:r>
        <w:rPr>
          <w:spacing w:val="-15"/>
          <w:w w:val="105"/>
        </w:rPr>
        <w:t> </w:t>
      </w:r>
      <w:r>
        <w:rPr>
          <w:w w:val="105"/>
        </w:rPr>
        <w:t>market</w:t>
      </w:r>
      <w:r>
        <w:rPr>
          <w:spacing w:val="-17"/>
          <w:w w:val="105"/>
        </w:rPr>
        <w:t> </w:t>
      </w:r>
      <w:r>
        <w:rPr>
          <w:w w:val="105"/>
        </w:rPr>
        <w:t>so</w:t>
      </w:r>
      <w:r>
        <w:rPr>
          <w:spacing w:val="-16"/>
          <w:w w:val="105"/>
        </w:rPr>
        <w:t> </w:t>
      </w:r>
      <w:r>
        <w:rPr>
          <w:w w:val="105"/>
        </w:rPr>
        <w:t>it</w:t>
      </w:r>
      <w:r>
        <w:rPr>
          <w:spacing w:val="-17"/>
          <w:w w:val="105"/>
        </w:rPr>
        <w:t> </w:t>
      </w:r>
      <w:r>
        <w:rPr>
          <w:w w:val="105"/>
        </w:rPr>
        <w:t>can</w:t>
      </w:r>
      <w:r>
        <w:rPr>
          <w:spacing w:val="-16"/>
          <w:w w:val="105"/>
        </w:rPr>
        <w:t> </w:t>
      </w:r>
      <w:r>
        <w:rPr>
          <w:w w:val="105"/>
        </w:rPr>
        <w:t>effectively</w:t>
      </w:r>
      <w:r>
        <w:rPr>
          <w:spacing w:val="-15"/>
          <w:w w:val="105"/>
        </w:rPr>
        <w:t> </w:t>
      </w:r>
      <w:r>
        <w:rPr>
          <w:w w:val="105"/>
        </w:rPr>
        <w:t>discharge</w:t>
      </w:r>
      <w:r>
        <w:rPr>
          <w:spacing w:val="-16"/>
          <w:w w:val="105"/>
        </w:rPr>
        <w:t> </w:t>
      </w:r>
      <w:r>
        <w:rPr>
          <w:w w:val="105"/>
        </w:rPr>
        <w:t>its</w:t>
      </w:r>
      <w:r>
        <w:rPr>
          <w:spacing w:val="-15"/>
          <w:w w:val="105"/>
        </w:rPr>
        <w:t> </w:t>
      </w:r>
      <w:r>
        <w:rPr>
          <w:w w:val="105"/>
        </w:rPr>
        <w:t>mandate.</w:t>
      </w:r>
    </w:p>
    <w:p>
      <w:pPr>
        <w:pStyle w:val="BodyText"/>
        <w:spacing w:before="3"/>
        <w:rPr>
          <w:sz w:val="23"/>
        </w:rPr>
      </w:pPr>
    </w:p>
    <w:p>
      <w:pPr>
        <w:pStyle w:val="BodyText"/>
        <w:spacing w:line="491" w:lineRule="auto"/>
        <w:ind w:left="552" w:right="506"/>
      </w:pPr>
      <w:r>
        <w:rPr>
          <w:w w:val="105"/>
        </w:rPr>
        <w:t>As</w:t>
      </w:r>
      <w:r>
        <w:rPr>
          <w:spacing w:val="-16"/>
          <w:w w:val="105"/>
        </w:rPr>
        <w:t> </w:t>
      </w:r>
      <w:r>
        <w:rPr>
          <w:w w:val="105"/>
        </w:rPr>
        <w:t>part</w:t>
      </w:r>
      <w:r>
        <w:rPr>
          <w:spacing w:val="-15"/>
          <w:w w:val="105"/>
        </w:rPr>
        <w:t> </w:t>
      </w:r>
      <w:r>
        <w:rPr>
          <w:w w:val="105"/>
        </w:rPr>
        <w:t>of</w:t>
      </w:r>
      <w:r>
        <w:rPr>
          <w:spacing w:val="-15"/>
          <w:w w:val="105"/>
        </w:rPr>
        <w:t> </w:t>
      </w:r>
      <w:r>
        <w:rPr>
          <w:w w:val="105"/>
        </w:rPr>
        <w:t>this</w:t>
      </w:r>
      <w:r>
        <w:rPr>
          <w:spacing w:val="-15"/>
          <w:w w:val="105"/>
        </w:rPr>
        <w:t> </w:t>
      </w:r>
      <w:r>
        <w:rPr>
          <w:w w:val="105"/>
        </w:rPr>
        <w:t>review</w:t>
      </w:r>
      <w:r>
        <w:rPr>
          <w:spacing w:val="-15"/>
          <w:w w:val="105"/>
        </w:rPr>
        <w:t> </w:t>
      </w:r>
      <w:r>
        <w:rPr>
          <w:w w:val="105"/>
        </w:rPr>
        <w:t>a</w:t>
      </w:r>
      <w:r>
        <w:rPr>
          <w:spacing w:val="-15"/>
          <w:w w:val="105"/>
        </w:rPr>
        <w:t> </w:t>
      </w:r>
      <w:r>
        <w:rPr>
          <w:w w:val="105"/>
        </w:rPr>
        <w:t>subset</w:t>
      </w:r>
      <w:r>
        <w:rPr>
          <w:spacing w:val="-15"/>
          <w:w w:val="105"/>
        </w:rPr>
        <w:t> </w:t>
      </w:r>
      <w:r>
        <w:rPr>
          <w:w w:val="105"/>
        </w:rPr>
        <w:t>of</w:t>
      </w:r>
      <w:r>
        <w:rPr>
          <w:spacing w:val="-15"/>
          <w:w w:val="105"/>
        </w:rPr>
        <w:t> </w:t>
      </w:r>
      <w:r>
        <w:rPr>
          <w:w w:val="105"/>
        </w:rPr>
        <w:t>the</w:t>
      </w:r>
      <w:r>
        <w:rPr>
          <w:spacing w:val="-15"/>
          <w:w w:val="105"/>
        </w:rPr>
        <w:t> </w:t>
      </w:r>
      <w:r>
        <w:rPr>
          <w:w w:val="105"/>
        </w:rPr>
        <w:t>FXJSC</w:t>
      </w:r>
      <w:r>
        <w:rPr>
          <w:spacing w:val="-15"/>
          <w:w w:val="105"/>
        </w:rPr>
        <w:t> </w:t>
      </w:r>
      <w:r>
        <w:rPr>
          <w:w w:val="105"/>
        </w:rPr>
        <w:t>buy-side</w:t>
      </w:r>
      <w:r>
        <w:rPr>
          <w:spacing w:val="-15"/>
          <w:w w:val="105"/>
        </w:rPr>
        <w:t> </w:t>
      </w:r>
      <w:r>
        <w:rPr>
          <w:w w:val="105"/>
        </w:rPr>
        <w:t>sub-committee</w:t>
      </w:r>
      <w:r>
        <w:rPr>
          <w:spacing w:val="-15"/>
          <w:w w:val="105"/>
        </w:rPr>
        <w:t> </w:t>
      </w:r>
      <w:r>
        <w:rPr>
          <w:w w:val="105"/>
        </w:rPr>
        <w:t>would</w:t>
      </w:r>
      <w:r>
        <w:rPr>
          <w:spacing w:val="-16"/>
          <w:w w:val="105"/>
        </w:rPr>
        <w:t> </w:t>
      </w:r>
      <w:r>
        <w:rPr>
          <w:w w:val="105"/>
        </w:rPr>
        <w:t>be</w:t>
      </w:r>
      <w:r>
        <w:rPr>
          <w:spacing w:val="-15"/>
          <w:w w:val="105"/>
        </w:rPr>
        <w:t> </w:t>
      </w:r>
      <w:r>
        <w:rPr>
          <w:w w:val="105"/>
        </w:rPr>
        <w:t>folded into the main FXJSC. The FXJSC operations and legal sub-committees would maintain their existing structure. It is anticipated that the new membership composition</w:t>
      </w:r>
      <w:r>
        <w:rPr>
          <w:spacing w:val="-8"/>
          <w:w w:val="105"/>
        </w:rPr>
        <w:t> </w:t>
      </w:r>
      <w:r>
        <w:rPr>
          <w:w w:val="105"/>
        </w:rPr>
        <w:t>should</w:t>
      </w:r>
      <w:r>
        <w:rPr>
          <w:spacing w:val="-8"/>
          <w:w w:val="105"/>
        </w:rPr>
        <w:t> </w:t>
      </w:r>
      <w:r>
        <w:rPr>
          <w:w w:val="105"/>
        </w:rPr>
        <w:t>be</w:t>
      </w:r>
      <w:r>
        <w:rPr>
          <w:spacing w:val="-8"/>
          <w:w w:val="105"/>
        </w:rPr>
        <w:t> </w:t>
      </w:r>
      <w:r>
        <w:rPr>
          <w:w w:val="105"/>
        </w:rPr>
        <w:t>in</w:t>
      </w:r>
      <w:r>
        <w:rPr>
          <w:spacing w:val="-8"/>
          <w:w w:val="105"/>
        </w:rPr>
        <w:t> </w:t>
      </w:r>
      <w:r>
        <w:rPr>
          <w:w w:val="105"/>
        </w:rPr>
        <w:t>place</w:t>
      </w:r>
      <w:r>
        <w:rPr>
          <w:spacing w:val="-8"/>
          <w:w w:val="105"/>
        </w:rPr>
        <w:t> </w:t>
      </w:r>
      <w:r>
        <w:rPr>
          <w:w w:val="105"/>
        </w:rPr>
        <w:t>for</w:t>
      </w:r>
      <w:r>
        <w:rPr>
          <w:spacing w:val="-8"/>
          <w:w w:val="105"/>
        </w:rPr>
        <w:t> </w:t>
      </w:r>
      <w:r>
        <w:rPr>
          <w:w w:val="105"/>
        </w:rPr>
        <w:t>the</w:t>
      </w:r>
      <w:r>
        <w:rPr>
          <w:spacing w:val="-9"/>
          <w:w w:val="105"/>
        </w:rPr>
        <w:t> </w:t>
      </w:r>
      <w:r>
        <w:rPr>
          <w:w w:val="105"/>
        </w:rPr>
        <w:t>next</w:t>
      </w:r>
      <w:r>
        <w:rPr>
          <w:spacing w:val="-8"/>
          <w:w w:val="105"/>
        </w:rPr>
        <w:t> </w:t>
      </w:r>
      <w:r>
        <w:rPr>
          <w:w w:val="105"/>
        </w:rPr>
        <w:t>FXJSC</w:t>
      </w:r>
      <w:r>
        <w:rPr>
          <w:spacing w:val="-7"/>
          <w:w w:val="105"/>
        </w:rPr>
        <w:t> </w:t>
      </w:r>
      <w:r>
        <w:rPr>
          <w:w w:val="105"/>
        </w:rPr>
        <w:t>meeting</w:t>
      </w:r>
      <w:r>
        <w:rPr>
          <w:spacing w:val="-8"/>
          <w:w w:val="105"/>
        </w:rPr>
        <w:t> </w:t>
      </w:r>
      <w:r>
        <w:rPr>
          <w:w w:val="105"/>
        </w:rPr>
        <w:t>in</w:t>
      </w:r>
      <w:r>
        <w:rPr>
          <w:spacing w:val="-8"/>
          <w:w w:val="105"/>
        </w:rPr>
        <w:t> </w:t>
      </w:r>
      <w:r>
        <w:rPr>
          <w:w w:val="105"/>
        </w:rPr>
        <w:t>January</w:t>
      </w:r>
      <w:r>
        <w:rPr>
          <w:spacing w:val="-7"/>
          <w:w w:val="105"/>
        </w:rPr>
        <w:t> </w:t>
      </w:r>
      <w:r>
        <w:rPr>
          <w:w w:val="105"/>
        </w:rPr>
        <w:t>2016.</w:t>
      </w:r>
    </w:p>
    <w:p>
      <w:pPr>
        <w:pStyle w:val="BodyText"/>
        <w:spacing w:before="3"/>
        <w:rPr>
          <w:sz w:val="23"/>
        </w:rPr>
      </w:pPr>
    </w:p>
    <w:p>
      <w:pPr>
        <w:pStyle w:val="Heading1"/>
        <w:numPr>
          <w:ilvl w:val="0"/>
          <w:numId w:val="1"/>
        </w:numPr>
        <w:tabs>
          <w:tab w:pos="893" w:val="left" w:leader="none"/>
        </w:tabs>
        <w:spacing w:line="240" w:lineRule="auto" w:before="0" w:after="0"/>
        <w:ind w:left="892" w:right="0" w:hanging="341"/>
        <w:jc w:val="left"/>
      </w:pPr>
      <w:r>
        <w:rPr>
          <w:w w:val="105"/>
        </w:rPr>
        <w:t>Updates from the</w:t>
      </w:r>
      <w:r>
        <w:rPr>
          <w:spacing w:val="-10"/>
          <w:w w:val="105"/>
        </w:rPr>
        <w:t> </w:t>
      </w:r>
      <w:r>
        <w:rPr>
          <w:w w:val="105"/>
        </w:rPr>
        <w:t>sub-committees</w:t>
      </w:r>
    </w:p>
    <w:p>
      <w:pPr>
        <w:pStyle w:val="BodyText"/>
        <w:rPr>
          <w:b/>
          <w:sz w:val="24"/>
        </w:rPr>
      </w:pPr>
    </w:p>
    <w:p>
      <w:pPr>
        <w:pStyle w:val="BodyText"/>
        <w:spacing w:before="1"/>
        <w:rPr>
          <w:b/>
        </w:rPr>
      </w:pPr>
    </w:p>
    <w:p>
      <w:pPr>
        <w:spacing w:before="0"/>
        <w:ind w:left="552" w:right="0" w:firstLine="0"/>
        <w:jc w:val="left"/>
        <w:rPr>
          <w:i/>
          <w:sz w:val="22"/>
        </w:rPr>
      </w:pPr>
      <w:r>
        <w:rPr>
          <w:i/>
          <w:sz w:val="22"/>
        </w:rPr>
        <w:t>Buy-side</w:t>
      </w:r>
      <w:r>
        <w:rPr>
          <w:i/>
          <w:spacing w:val="40"/>
          <w:sz w:val="22"/>
        </w:rPr>
        <w:t> </w:t>
      </w:r>
      <w:r>
        <w:rPr>
          <w:i/>
          <w:sz w:val="22"/>
        </w:rPr>
        <w:t>sub-committee</w:t>
      </w:r>
    </w:p>
    <w:p>
      <w:pPr>
        <w:pStyle w:val="BodyText"/>
        <w:rPr>
          <w:i/>
          <w:sz w:val="24"/>
        </w:rPr>
      </w:pPr>
    </w:p>
    <w:p>
      <w:pPr>
        <w:pStyle w:val="BodyText"/>
        <w:rPr>
          <w:i/>
        </w:rPr>
      </w:pPr>
    </w:p>
    <w:p>
      <w:pPr>
        <w:pStyle w:val="BodyText"/>
        <w:spacing w:line="491" w:lineRule="auto"/>
        <w:ind w:left="552" w:right="506"/>
      </w:pPr>
      <w:r>
        <w:rPr>
          <w:w w:val="105"/>
        </w:rPr>
        <w:t>The buy-side sub-committee met on 3 November 2015. The sub-committee considered</w:t>
      </w:r>
      <w:r>
        <w:rPr>
          <w:spacing w:val="-16"/>
          <w:w w:val="105"/>
        </w:rPr>
        <w:t> </w:t>
      </w:r>
      <w:r>
        <w:rPr>
          <w:w w:val="105"/>
        </w:rPr>
        <w:t>the</w:t>
      </w:r>
      <w:r>
        <w:rPr>
          <w:spacing w:val="-16"/>
          <w:w w:val="105"/>
        </w:rPr>
        <w:t> </w:t>
      </w:r>
      <w:r>
        <w:rPr>
          <w:w w:val="105"/>
        </w:rPr>
        <w:t>impact</w:t>
      </w:r>
      <w:r>
        <w:rPr>
          <w:spacing w:val="-16"/>
          <w:w w:val="105"/>
        </w:rPr>
        <w:t> </w:t>
      </w:r>
      <w:r>
        <w:rPr>
          <w:w w:val="105"/>
        </w:rPr>
        <w:t>of</w:t>
      </w:r>
      <w:r>
        <w:rPr>
          <w:spacing w:val="-14"/>
          <w:w w:val="105"/>
        </w:rPr>
        <w:t> </w:t>
      </w:r>
      <w:r>
        <w:rPr>
          <w:w w:val="105"/>
        </w:rPr>
        <w:t>central</w:t>
      </w:r>
      <w:r>
        <w:rPr>
          <w:spacing w:val="-16"/>
          <w:w w:val="105"/>
        </w:rPr>
        <w:t> </w:t>
      </w:r>
      <w:r>
        <w:rPr>
          <w:w w:val="105"/>
        </w:rPr>
        <w:t>bank</w:t>
      </w:r>
      <w:r>
        <w:rPr>
          <w:spacing w:val="-15"/>
          <w:w w:val="105"/>
        </w:rPr>
        <w:t> </w:t>
      </w:r>
      <w:r>
        <w:rPr>
          <w:w w:val="105"/>
        </w:rPr>
        <w:t>policy</w:t>
      </w:r>
      <w:r>
        <w:rPr>
          <w:spacing w:val="-15"/>
          <w:w w:val="105"/>
        </w:rPr>
        <w:t> </w:t>
      </w:r>
      <w:r>
        <w:rPr>
          <w:w w:val="105"/>
        </w:rPr>
        <w:t>decisions</w:t>
      </w:r>
      <w:r>
        <w:rPr>
          <w:spacing w:val="-16"/>
          <w:w w:val="105"/>
        </w:rPr>
        <w:t> </w:t>
      </w:r>
      <w:r>
        <w:rPr>
          <w:w w:val="105"/>
        </w:rPr>
        <w:t>on</w:t>
      </w:r>
      <w:r>
        <w:rPr>
          <w:spacing w:val="-14"/>
          <w:w w:val="105"/>
        </w:rPr>
        <w:t> </w:t>
      </w:r>
      <w:r>
        <w:rPr>
          <w:w w:val="105"/>
        </w:rPr>
        <w:t>market</w:t>
      </w:r>
      <w:r>
        <w:rPr>
          <w:spacing w:val="-16"/>
          <w:w w:val="105"/>
        </w:rPr>
        <w:t> </w:t>
      </w:r>
      <w:r>
        <w:rPr>
          <w:w w:val="105"/>
        </w:rPr>
        <w:t>liquidity.</w:t>
      </w:r>
      <w:r>
        <w:rPr>
          <w:spacing w:val="25"/>
          <w:w w:val="105"/>
        </w:rPr>
        <w:t> </w:t>
      </w:r>
      <w:r>
        <w:rPr>
          <w:w w:val="105"/>
        </w:rPr>
        <w:t>The</w:t>
      </w:r>
      <w:r>
        <w:rPr>
          <w:spacing w:val="-16"/>
          <w:w w:val="105"/>
        </w:rPr>
        <w:t> </w:t>
      </w:r>
      <w:r>
        <w:rPr>
          <w:w w:val="105"/>
        </w:rPr>
        <w:t>sub- committee additionally discussed the impact of changes to the WMR Benchmark following</w:t>
      </w:r>
      <w:r>
        <w:rPr>
          <w:spacing w:val="-17"/>
          <w:w w:val="105"/>
        </w:rPr>
        <w:t> </w:t>
      </w:r>
      <w:r>
        <w:rPr>
          <w:w w:val="105"/>
        </w:rPr>
        <w:t>the</w:t>
      </w:r>
      <w:r>
        <w:rPr>
          <w:spacing w:val="-17"/>
          <w:w w:val="105"/>
        </w:rPr>
        <w:t> </w:t>
      </w:r>
      <w:r>
        <w:rPr>
          <w:w w:val="105"/>
        </w:rPr>
        <w:t>recommendations</w:t>
      </w:r>
      <w:r>
        <w:rPr>
          <w:spacing w:val="-17"/>
          <w:w w:val="105"/>
        </w:rPr>
        <w:t> </w:t>
      </w:r>
      <w:r>
        <w:rPr>
          <w:w w:val="105"/>
        </w:rPr>
        <w:t>in</w:t>
      </w:r>
      <w:r>
        <w:rPr>
          <w:spacing w:val="-16"/>
          <w:w w:val="105"/>
        </w:rPr>
        <w:t> </w:t>
      </w:r>
      <w:r>
        <w:rPr>
          <w:w w:val="105"/>
        </w:rPr>
        <w:t>the</w:t>
      </w:r>
      <w:r>
        <w:rPr>
          <w:spacing w:val="-17"/>
          <w:w w:val="105"/>
        </w:rPr>
        <w:t> </w:t>
      </w:r>
      <w:r>
        <w:rPr>
          <w:w w:val="105"/>
        </w:rPr>
        <w:t>FSB</w:t>
      </w:r>
      <w:r>
        <w:rPr>
          <w:spacing w:val="-17"/>
          <w:w w:val="105"/>
        </w:rPr>
        <w:t> </w:t>
      </w:r>
      <w:r>
        <w:rPr>
          <w:w w:val="105"/>
        </w:rPr>
        <w:t>FX</w:t>
      </w:r>
      <w:r>
        <w:rPr>
          <w:spacing w:val="-17"/>
          <w:w w:val="105"/>
        </w:rPr>
        <w:t> </w:t>
      </w:r>
      <w:r>
        <w:rPr>
          <w:w w:val="105"/>
        </w:rPr>
        <w:t>Benchmark</w:t>
      </w:r>
      <w:r>
        <w:rPr>
          <w:spacing w:val="-16"/>
          <w:w w:val="105"/>
        </w:rPr>
        <w:t> </w:t>
      </w:r>
      <w:r>
        <w:rPr>
          <w:w w:val="105"/>
        </w:rPr>
        <w:t>Report</w:t>
      </w:r>
      <w:r>
        <w:rPr>
          <w:spacing w:val="-16"/>
          <w:w w:val="105"/>
        </w:rPr>
        <w:t> </w:t>
      </w:r>
      <w:r>
        <w:rPr>
          <w:w w:val="105"/>
        </w:rPr>
        <w:t>and</w:t>
      </w:r>
      <w:r>
        <w:rPr>
          <w:spacing w:val="-17"/>
          <w:w w:val="105"/>
        </w:rPr>
        <w:t> </w:t>
      </w:r>
      <w:r>
        <w:rPr>
          <w:w w:val="105"/>
        </w:rPr>
        <w:t>the</w:t>
      </w:r>
      <w:r>
        <w:rPr>
          <w:spacing w:val="-17"/>
          <w:w w:val="105"/>
        </w:rPr>
        <w:t> </w:t>
      </w:r>
      <w:r>
        <w:rPr>
          <w:w w:val="105"/>
        </w:rPr>
        <w:t>changing counterparty</w:t>
      </w:r>
      <w:r>
        <w:rPr>
          <w:spacing w:val="-2"/>
          <w:w w:val="105"/>
        </w:rPr>
        <w:t> </w:t>
      </w:r>
      <w:r>
        <w:rPr>
          <w:w w:val="105"/>
        </w:rPr>
        <w:t>landscape.</w:t>
      </w:r>
    </w:p>
    <w:p>
      <w:pPr>
        <w:spacing w:after="0" w:line="491" w:lineRule="auto"/>
        <w:sectPr>
          <w:pgSz w:w="12240" w:h="15840"/>
          <w:pgMar w:header="0" w:footer="634" w:top="1280" w:bottom="820" w:left="1660" w:right="1720"/>
        </w:sectPr>
      </w:pPr>
    </w:p>
    <w:p>
      <w:pPr>
        <w:spacing w:before="80"/>
        <w:ind w:left="552" w:right="0" w:firstLine="0"/>
        <w:jc w:val="both"/>
        <w:rPr>
          <w:i/>
          <w:sz w:val="22"/>
        </w:rPr>
      </w:pPr>
      <w:r>
        <w:rPr>
          <w:i/>
          <w:w w:val="105"/>
          <w:sz w:val="22"/>
        </w:rPr>
        <w:t>Operations sub-committee</w:t>
      </w:r>
    </w:p>
    <w:p>
      <w:pPr>
        <w:pStyle w:val="BodyText"/>
        <w:rPr>
          <w:i/>
          <w:sz w:val="24"/>
        </w:rPr>
      </w:pPr>
    </w:p>
    <w:p>
      <w:pPr>
        <w:pStyle w:val="BodyText"/>
        <w:spacing w:before="11"/>
        <w:rPr>
          <w:i/>
          <w:sz w:val="21"/>
        </w:rPr>
      </w:pPr>
    </w:p>
    <w:p>
      <w:pPr>
        <w:pStyle w:val="BodyText"/>
        <w:spacing w:line="491" w:lineRule="auto"/>
        <w:ind w:left="552" w:right="549"/>
        <w:jc w:val="both"/>
      </w:pPr>
      <w:r>
        <w:rPr>
          <w:w w:val="105"/>
        </w:rPr>
        <w:t>The</w:t>
      </w:r>
      <w:r>
        <w:rPr>
          <w:spacing w:val="-13"/>
          <w:w w:val="105"/>
        </w:rPr>
        <w:t> </w:t>
      </w:r>
      <w:r>
        <w:rPr>
          <w:w w:val="105"/>
        </w:rPr>
        <w:t>operations</w:t>
      </w:r>
      <w:r>
        <w:rPr>
          <w:spacing w:val="-13"/>
          <w:w w:val="105"/>
        </w:rPr>
        <w:t> </w:t>
      </w:r>
      <w:r>
        <w:rPr>
          <w:w w:val="105"/>
        </w:rPr>
        <w:t>sub-committee</w:t>
      </w:r>
      <w:r>
        <w:rPr>
          <w:spacing w:val="-12"/>
          <w:w w:val="105"/>
        </w:rPr>
        <w:t> </w:t>
      </w:r>
      <w:r>
        <w:rPr>
          <w:w w:val="105"/>
        </w:rPr>
        <w:t>met</w:t>
      </w:r>
      <w:r>
        <w:rPr>
          <w:spacing w:val="-13"/>
          <w:w w:val="105"/>
        </w:rPr>
        <w:t> </w:t>
      </w:r>
      <w:r>
        <w:rPr>
          <w:w w:val="105"/>
        </w:rPr>
        <w:t>on</w:t>
      </w:r>
      <w:r>
        <w:rPr>
          <w:spacing w:val="-12"/>
          <w:w w:val="105"/>
        </w:rPr>
        <w:t> </w:t>
      </w:r>
      <w:r>
        <w:rPr>
          <w:w w:val="105"/>
        </w:rPr>
        <w:t>17</w:t>
      </w:r>
      <w:r>
        <w:rPr>
          <w:spacing w:val="-13"/>
          <w:w w:val="105"/>
        </w:rPr>
        <w:t> </w:t>
      </w:r>
      <w:r>
        <w:rPr>
          <w:w w:val="105"/>
        </w:rPr>
        <w:t>November</w:t>
      </w:r>
      <w:r>
        <w:rPr>
          <w:spacing w:val="-13"/>
          <w:w w:val="105"/>
        </w:rPr>
        <w:t> </w:t>
      </w:r>
      <w:r>
        <w:rPr>
          <w:w w:val="105"/>
        </w:rPr>
        <w:t>2015</w:t>
      </w:r>
      <w:r>
        <w:rPr>
          <w:spacing w:val="-11"/>
          <w:w w:val="105"/>
        </w:rPr>
        <w:t> </w:t>
      </w:r>
      <w:r>
        <w:rPr>
          <w:w w:val="105"/>
        </w:rPr>
        <w:t>for</w:t>
      </w:r>
      <w:r>
        <w:rPr>
          <w:spacing w:val="-13"/>
          <w:w w:val="105"/>
        </w:rPr>
        <w:t> </w:t>
      </w:r>
      <w:r>
        <w:rPr>
          <w:w w:val="105"/>
        </w:rPr>
        <w:t>an</w:t>
      </w:r>
      <w:r>
        <w:rPr>
          <w:spacing w:val="-12"/>
          <w:w w:val="105"/>
        </w:rPr>
        <w:t> </w:t>
      </w:r>
      <w:r>
        <w:rPr>
          <w:w w:val="105"/>
        </w:rPr>
        <w:t>away</w:t>
      </w:r>
      <w:r>
        <w:rPr>
          <w:spacing w:val="-11"/>
          <w:w w:val="105"/>
        </w:rPr>
        <w:t> </w:t>
      </w:r>
      <w:r>
        <w:rPr>
          <w:w w:val="105"/>
        </w:rPr>
        <w:t>day.</w:t>
      </w:r>
      <w:r>
        <w:rPr>
          <w:spacing w:val="33"/>
          <w:w w:val="105"/>
        </w:rPr>
        <w:t> </w:t>
      </w:r>
      <w:r>
        <w:rPr>
          <w:w w:val="105"/>
        </w:rPr>
        <w:t>The</w:t>
      </w:r>
      <w:r>
        <w:rPr>
          <w:spacing w:val="-14"/>
          <w:w w:val="105"/>
        </w:rPr>
        <w:t> </w:t>
      </w:r>
      <w:r>
        <w:rPr>
          <w:w w:val="105"/>
        </w:rPr>
        <w:t>sub- committee</w:t>
      </w:r>
      <w:r>
        <w:rPr>
          <w:spacing w:val="-19"/>
          <w:w w:val="105"/>
        </w:rPr>
        <w:t> </w:t>
      </w:r>
      <w:r>
        <w:rPr>
          <w:w w:val="105"/>
        </w:rPr>
        <w:t>received</w:t>
      </w:r>
      <w:r>
        <w:rPr>
          <w:spacing w:val="-18"/>
          <w:w w:val="105"/>
        </w:rPr>
        <w:t> </w:t>
      </w:r>
      <w:r>
        <w:rPr>
          <w:w w:val="105"/>
        </w:rPr>
        <w:t>a</w:t>
      </w:r>
      <w:r>
        <w:rPr>
          <w:spacing w:val="-17"/>
          <w:w w:val="105"/>
        </w:rPr>
        <w:t> </w:t>
      </w:r>
      <w:r>
        <w:rPr>
          <w:w w:val="105"/>
        </w:rPr>
        <w:t>presentation</w:t>
      </w:r>
      <w:r>
        <w:rPr>
          <w:spacing w:val="-18"/>
          <w:w w:val="105"/>
        </w:rPr>
        <w:t> </w:t>
      </w:r>
      <w:r>
        <w:rPr>
          <w:w w:val="105"/>
        </w:rPr>
        <w:t>from</w:t>
      </w:r>
      <w:r>
        <w:rPr>
          <w:spacing w:val="-19"/>
          <w:w w:val="105"/>
        </w:rPr>
        <w:t> </w:t>
      </w:r>
      <w:r>
        <w:rPr>
          <w:w w:val="105"/>
        </w:rPr>
        <w:t>a</w:t>
      </w:r>
      <w:r>
        <w:rPr>
          <w:spacing w:val="-17"/>
          <w:w w:val="105"/>
        </w:rPr>
        <w:t> </w:t>
      </w:r>
      <w:r>
        <w:rPr>
          <w:w w:val="105"/>
        </w:rPr>
        <w:t>currency</w:t>
      </w:r>
      <w:r>
        <w:rPr>
          <w:spacing w:val="-16"/>
          <w:w w:val="105"/>
        </w:rPr>
        <w:t> </w:t>
      </w:r>
      <w:r>
        <w:rPr>
          <w:w w:val="105"/>
        </w:rPr>
        <w:t>strategist</w:t>
      </w:r>
      <w:r>
        <w:rPr>
          <w:spacing w:val="-17"/>
          <w:w w:val="105"/>
        </w:rPr>
        <w:t> </w:t>
      </w:r>
      <w:r>
        <w:rPr>
          <w:w w:val="105"/>
        </w:rPr>
        <w:t>in</w:t>
      </w:r>
      <w:r>
        <w:rPr>
          <w:spacing w:val="-17"/>
          <w:w w:val="105"/>
        </w:rPr>
        <w:t> </w:t>
      </w:r>
      <w:r>
        <w:rPr>
          <w:w w:val="105"/>
        </w:rPr>
        <w:t>the</w:t>
      </w:r>
      <w:r>
        <w:rPr>
          <w:spacing w:val="-16"/>
          <w:w w:val="105"/>
        </w:rPr>
        <w:t> </w:t>
      </w:r>
      <w:r>
        <w:rPr>
          <w:w w:val="105"/>
        </w:rPr>
        <w:t>morning</w:t>
      </w:r>
      <w:r>
        <w:rPr>
          <w:spacing w:val="-17"/>
          <w:w w:val="105"/>
        </w:rPr>
        <w:t> </w:t>
      </w:r>
      <w:r>
        <w:rPr>
          <w:w w:val="105"/>
        </w:rPr>
        <w:t>followed by</w:t>
      </w:r>
      <w:r>
        <w:rPr>
          <w:spacing w:val="-13"/>
          <w:w w:val="105"/>
        </w:rPr>
        <w:t> </w:t>
      </w:r>
      <w:r>
        <w:rPr>
          <w:w w:val="105"/>
        </w:rPr>
        <w:t>two</w:t>
      </w:r>
      <w:r>
        <w:rPr>
          <w:spacing w:val="-13"/>
          <w:w w:val="105"/>
        </w:rPr>
        <w:t> </w:t>
      </w:r>
      <w:r>
        <w:rPr>
          <w:w w:val="105"/>
        </w:rPr>
        <w:t>focus</w:t>
      </w:r>
      <w:r>
        <w:rPr>
          <w:spacing w:val="-14"/>
          <w:w w:val="105"/>
        </w:rPr>
        <w:t> </w:t>
      </w:r>
      <w:r>
        <w:rPr>
          <w:w w:val="105"/>
        </w:rPr>
        <w:t>groups</w:t>
      </w:r>
      <w:r>
        <w:rPr>
          <w:spacing w:val="-13"/>
          <w:w w:val="105"/>
        </w:rPr>
        <w:t> </w:t>
      </w:r>
      <w:r>
        <w:rPr>
          <w:w w:val="105"/>
        </w:rPr>
        <w:t>in</w:t>
      </w:r>
      <w:r>
        <w:rPr>
          <w:spacing w:val="-14"/>
          <w:w w:val="105"/>
        </w:rPr>
        <w:t> </w:t>
      </w:r>
      <w:r>
        <w:rPr>
          <w:w w:val="105"/>
        </w:rPr>
        <w:t>the</w:t>
      </w:r>
      <w:r>
        <w:rPr>
          <w:spacing w:val="-14"/>
          <w:w w:val="105"/>
        </w:rPr>
        <w:t> </w:t>
      </w:r>
      <w:r>
        <w:rPr>
          <w:w w:val="105"/>
        </w:rPr>
        <w:t>afternoon,</w:t>
      </w:r>
      <w:r>
        <w:rPr>
          <w:spacing w:val="-14"/>
          <w:w w:val="105"/>
        </w:rPr>
        <w:t> </w:t>
      </w:r>
      <w:r>
        <w:rPr>
          <w:w w:val="105"/>
        </w:rPr>
        <w:t>one</w:t>
      </w:r>
      <w:r>
        <w:rPr>
          <w:spacing w:val="-14"/>
          <w:w w:val="105"/>
        </w:rPr>
        <w:t> </w:t>
      </w:r>
      <w:r>
        <w:rPr>
          <w:w w:val="105"/>
        </w:rPr>
        <w:t>on</w:t>
      </w:r>
      <w:r>
        <w:rPr>
          <w:spacing w:val="-13"/>
          <w:w w:val="105"/>
        </w:rPr>
        <w:t> </w:t>
      </w:r>
      <w:r>
        <w:rPr>
          <w:w w:val="105"/>
        </w:rPr>
        <w:t>the</w:t>
      </w:r>
      <w:r>
        <w:rPr>
          <w:spacing w:val="-13"/>
          <w:w w:val="105"/>
        </w:rPr>
        <w:t> </w:t>
      </w:r>
      <w:r>
        <w:rPr>
          <w:w w:val="105"/>
        </w:rPr>
        <w:t>Code</w:t>
      </w:r>
      <w:r>
        <w:rPr>
          <w:spacing w:val="-13"/>
          <w:w w:val="105"/>
        </w:rPr>
        <w:t> </w:t>
      </w:r>
      <w:r>
        <w:rPr>
          <w:w w:val="105"/>
        </w:rPr>
        <w:t>and</w:t>
      </w:r>
      <w:r>
        <w:rPr>
          <w:spacing w:val="-14"/>
          <w:w w:val="105"/>
        </w:rPr>
        <w:t> </w:t>
      </w:r>
      <w:r>
        <w:rPr>
          <w:w w:val="105"/>
        </w:rPr>
        <w:t>the</w:t>
      </w:r>
      <w:r>
        <w:rPr>
          <w:spacing w:val="-13"/>
          <w:w w:val="105"/>
        </w:rPr>
        <w:t> </w:t>
      </w:r>
      <w:r>
        <w:rPr>
          <w:w w:val="105"/>
        </w:rPr>
        <w:t>other</w:t>
      </w:r>
      <w:r>
        <w:rPr>
          <w:spacing w:val="-14"/>
          <w:w w:val="105"/>
        </w:rPr>
        <w:t> </w:t>
      </w:r>
      <w:r>
        <w:rPr>
          <w:w w:val="105"/>
        </w:rPr>
        <w:t>on</w:t>
      </w:r>
      <w:r>
        <w:rPr>
          <w:spacing w:val="-13"/>
          <w:w w:val="105"/>
        </w:rPr>
        <w:t> </w:t>
      </w:r>
      <w:r>
        <w:rPr>
          <w:w w:val="105"/>
        </w:rPr>
        <w:t>FX</w:t>
      </w:r>
      <w:r>
        <w:rPr>
          <w:spacing w:val="-13"/>
          <w:w w:val="105"/>
        </w:rPr>
        <w:t> </w:t>
      </w:r>
      <w:r>
        <w:rPr>
          <w:w w:val="105"/>
        </w:rPr>
        <w:t>settlement resiliency.</w:t>
      </w:r>
    </w:p>
    <w:p>
      <w:pPr>
        <w:pStyle w:val="BodyText"/>
        <w:spacing w:before="1"/>
        <w:rPr>
          <w:sz w:val="23"/>
        </w:rPr>
      </w:pPr>
    </w:p>
    <w:p>
      <w:pPr>
        <w:pStyle w:val="BodyText"/>
        <w:tabs>
          <w:tab w:pos="2929" w:val="left" w:leader="none"/>
        </w:tabs>
        <w:spacing w:line="491" w:lineRule="auto"/>
        <w:ind w:left="552" w:right="536"/>
      </w:pPr>
      <w:r>
        <w:rPr>
          <w:w w:val="105"/>
        </w:rPr>
        <w:t>On the Code focus group, members discussed how they could actively contribute to the work of</w:t>
      </w:r>
      <w:r>
        <w:rPr>
          <w:spacing w:val="-31"/>
          <w:w w:val="105"/>
        </w:rPr>
        <w:t> </w:t>
      </w:r>
      <w:r>
        <w:rPr>
          <w:w w:val="105"/>
        </w:rPr>
        <w:t>the</w:t>
      </w:r>
      <w:r>
        <w:rPr>
          <w:spacing w:val="-12"/>
          <w:w w:val="105"/>
        </w:rPr>
        <w:t> </w:t>
      </w:r>
      <w:r>
        <w:rPr>
          <w:w w:val="105"/>
        </w:rPr>
        <w:t>FXWG.</w:t>
        <w:tab/>
        <w:t>On FX settlement resiliency, members ratified the work undertaken thus far by the working group. The sub-committee also agreed a set of scenarios</w:t>
      </w:r>
      <w:r>
        <w:rPr>
          <w:spacing w:val="-15"/>
          <w:w w:val="105"/>
        </w:rPr>
        <w:t> </w:t>
      </w:r>
      <w:r>
        <w:rPr>
          <w:w w:val="105"/>
        </w:rPr>
        <w:t>that</w:t>
      </w:r>
      <w:r>
        <w:rPr>
          <w:spacing w:val="-15"/>
          <w:w w:val="105"/>
        </w:rPr>
        <w:t> </w:t>
      </w:r>
      <w:r>
        <w:rPr>
          <w:w w:val="105"/>
        </w:rPr>
        <w:t>it</w:t>
      </w:r>
      <w:r>
        <w:rPr>
          <w:spacing w:val="-15"/>
          <w:w w:val="105"/>
        </w:rPr>
        <w:t> </w:t>
      </w:r>
      <w:r>
        <w:rPr>
          <w:w w:val="105"/>
        </w:rPr>
        <w:t>would</w:t>
      </w:r>
      <w:r>
        <w:rPr>
          <w:spacing w:val="-14"/>
          <w:w w:val="105"/>
        </w:rPr>
        <w:t> </w:t>
      </w:r>
      <w:r>
        <w:rPr>
          <w:w w:val="105"/>
        </w:rPr>
        <w:t>be</w:t>
      </w:r>
      <w:r>
        <w:rPr>
          <w:spacing w:val="-17"/>
          <w:w w:val="105"/>
        </w:rPr>
        <w:t> </w:t>
      </w:r>
      <w:r>
        <w:rPr>
          <w:w w:val="105"/>
        </w:rPr>
        <w:t>useful</w:t>
      </w:r>
      <w:r>
        <w:rPr>
          <w:spacing w:val="-16"/>
          <w:w w:val="105"/>
        </w:rPr>
        <w:t> </w:t>
      </w:r>
      <w:r>
        <w:rPr>
          <w:w w:val="105"/>
        </w:rPr>
        <w:t>for</w:t>
      </w:r>
      <w:r>
        <w:rPr>
          <w:spacing w:val="-15"/>
          <w:w w:val="105"/>
        </w:rPr>
        <w:t> </w:t>
      </w:r>
      <w:r>
        <w:rPr>
          <w:w w:val="105"/>
        </w:rPr>
        <w:t>the</w:t>
      </w:r>
      <w:r>
        <w:rPr>
          <w:spacing w:val="-17"/>
          <w:w w:val="105"/>
        </w:rPr>
        <w:t> </w:t>
      </w:r>
      <w:r>
        <w:rPr>
          <w:w w:val="105"/>
        </w:rPr>
        <w:t>working</w:t>
      </w:r>
      <w:r>
        <w:rPr>
          <w:spacing w:val="-15"/>
          <w:w w:val="105"/>
        </w:rPr>
        <w:t> </w:t>
      </w:r>
      <w:r>
        <w:rPr>
          <w:w w:val="105"/>
        </w:rPr>
        <w:t>group</w:t>
      </w:r>
      <w:r>
        <w:rPr>
          <w:spacing w:val="-15"/>
          <w:w w:val="105"/>
        </w:rPr>
        <w:t> </w:t>
      </w:r>
      <w:r>
        <w:rPr>
          <w:w w:val="105"/>
        </w:rPr>
        <w:t>to</w:t>
      </w:r>
      <w:r>
        <w:rPr>
          <w:spacing w:val="-16"/>
          <w:w w:val="105"/>
        </w:rPr>
        <w:t> </w:t>
      </w:r>
      <w:r>
        <w:rPr>
          <w:w w:val="105"/>
        </w:rPr>
        <w:t>consider</w:t>
      </w:r>
      <w:r>
        <w:rPr>
          <w:spacing w:val="-15"/>
          <w:w w:val="105"/>
        </w:rPr>
        <w:t> </w:t>
      </w:r>
      <w:r>
        <w:rPr>
          <w:w w:val="105"/>
        </w:rPr>
        <w:t>further,</w:t>
      </w:r>
      <w:r>
        <w:rPr>
          <w:spacing w:val="-15"/>
          <w:w w:val="105"/>
        </w:rPr>
        <w:t> </w:t>
      </w:r>
      <w:r>
        <w:rPr>
          <w:w w:val="105"/>
        </w:rPr>
        <w:t>in</w:t>
      </w:r>
      <w:r>
        <w:rPr>
          <w:spacing w:val="-16"/>
          <w:w w:val="105"/>
        </w:rPr>
        <w:t> </w:t>
      </w:r>
      <w:r>
        <w:rPr>
          <w:w w:val="105"/>
        </w:rPr>
        <w:t>addition to mapping out communication</w:t>
      </w:r>
      <w:r>
        <w:rPr>
          <w:spacing w:val="-9"/>
          <w:w w:val="105"/>
        </w:rPr>
        <w:t> </w:t>
      </w:r>
      <w:r>
        <w:rPr>
          <w:w w:val="105"/>
        </w:rPr>
        <w:t>channels.</w:t>
      </w:r>
    </w:p>
    <w:p>
      <w:pPr>
        <w:pStyle w:val="BodyText"/>
        <w:spacing w:before="3"/>
        <w:rPr>
          <w:sz w:val="23"/>
        </w:rPr>
      </w:pPr>
    </w:p>
    <w:p>
      <w:pPr>
        <w:spacing w:before="0"/>
        <w:ind w:left="552" w:right="0" w:firstLine="0"/>
        <w:jc w:val="left"/>
        <w:rPr>
          <w:i/>
          <w:sz w:val="22"/>
        </w:rPr>
      </w:pPr>
      <w:r>
        <w:rPr>
          <w:i/>
          <w:w w:val="105"/>
          <w:sz w:val="22"/>
        </w:rPr>
        <w:t>Legal sub-committee</w:t>
      </w:r>
    </w:p>
    <w:p>
      <w:pPr>
        <w:pStyle w:val="BodyText"/>
        <w:rPr>
          <w:i/>
          <w:sz w:val="24"/>
        </w:rPr>
      </w:pPr>
    </w:p>
    <w:p>
      <w:pPr>
        <w:pStyle w:val="BodyText"/>
        <w:spacing w:before="1"/>
        <w:rPr>
          <w:i/>
        </w:rPr>
      </w:pPr>
    </w:p>
    <w:p>
      <w:pPr>
        <w:pStyle w:val="BodyText"/>
        <w:spacing w:line="491" w:lineRule="auto"/>
        <w:ind w:left="552" w:right="506"/>
      </w:pPr>
      <w:r>
        <w:rPr>
          <w:w w:val="105"/>
        </w:rPr>
        <w:t>The legal sub-committee met on 28 September 2015. The sub-committee agreed a revised</w:t>
      </w:r>
      <w:r>
        <w:rPr>
          <w:spacing w:val="-18"/>
          <w:w w:val="105"/>
        </w:rPr>
        <w:t> </w:t>
      </w:r>
      <w:r>
        <w:rPr>
          <w:w w:val="105"/>
        </w:rPr>
        <w:t>set</w:t>
      </w:r>
      <w:r>
        <w:rPr>
          <w:spacing w:val="-17"/>
          <w:w w:val="105"/>
        </w:rPr>
        <w:t> </w:t>
      </w:r>
      <w:r>
        <w:rPr>
          <w:w w:val="105"/>
        </w:rPr>
        <w:t>of</w:t>
      </w:r>
      <w:r>
        <w:rPr>
          <w:spacing w:val="-17"/>
          <w:w w:val="105"/>
        </w:rPr>
        <w:t> </w:t>
      </w:r>
      <w:r>
        <w:rPr>
          <w:w w:val="105"/>
        </w:rPr>
        <w:t>Competition</w:t>
      </w:r>
      <w:r>
        <w:rPr>
          <w:spacing w:val="-17"/>
          <w:w w:val="105"/>
        </w:rPr>
        <w:t> </w:t>
      </w:r>
      <w:r>
        <w:rPr>
          <w:w w:val="105"/>
        </w:rPr>
        <w:t>Guidelines</w:t>
      </w:r>
      <w:r>
        <w:rPr>
          <w:spacing w:val="-17"/>
          <w:w w:val="105"/>
        </w:rPr>
        <w:t> </w:t>
      </w:r>
      <w:r>
        <w:rPr>
          <w:w w:val="105"/>
        </w:rPr>
        <w:t>which</w:t>
      </w:r>
      <w:r>
        <w:rPr>
          <w:spacing w:val="-17"/>
          <w:w w:val="105"/>
        </w:rPr>
        <w:t> </w:t>
      </w:r>
      <w:r>
        <w:rPr>
          <w:w w:val="105"/>
        </w:rPr>
        <w:t>would</w:t>
      </w:r>
      <w:r>
        <w:rPr>
          <w:spacing w:val="-17"/>
          <w:w w:val="105"/>
        </w:rPr>
        <w:t> </w:t>
      </w:r>
      <w:r>
        <w:rPr>
          <w:w w:val="105"/>
        </w:rPr>
        <w:t>be</w:t>
      </w:r>
      <w:r>
        <w:rPr>
          <w:spacing w:val="-18"/>
          <w:w w:val="105"/>
        </w:rPr>
        <w:t> </w:t>
      </w:r>
      <w:r>
        <w:rPr>
          <w:w w:val="105"/>
        </w:rPr>
        <w:t>circulated</w:t>
      </w:r>
      <w:r>
        <w:rPr>
          <w:spacing w:val="-17"/>
          <w:w w:val="105"/>
        </w:rPr>
        <w:t> </w:t>
      </w:r>
      <w:r>
        <w:rPr>
          <w:w w:val="105"/>
        </w:rPr>
        <w:t>with</w:t>
      </w:r>
      <w:r>
        <w:rPr>
          <w:spacing w:val="-17"/>
          <w:w w:val="105"/>
        </w:rPr>
        <w:t> </w:t>
      </w:r>
      <w:r>
        <w:rPr>
          <w:w w:val="105"/>
        </w:rPr>
        <w:t>the</w:t>
      </w:r>
      <w:r>
        <w:rPr>
          <w:spacing w:val="-18"/>
          <w:w w:val="105"/>
        </w:rPr>
        <w:t> </w:t>
      </w:r>
      <w:r>
        <w:rPr>
          <w:w w:val="105"/>
        </w:rPr>
        <w:t>agenda</w:t>
      </w:r>
      <w:r>
        <w:rPr>
          <w:spacing w:val="-17"/>
          <w:w w:val="105"/>
        </w:rPr>
        <w:t> </w:t>
      </w:r>
      <w:r>
        <w:rPr>
          <w:w w:val="105"/>
        </w:rPr>
        <w:t>for the next FXJSC meeting in January</w:t>
      </w:r>
      <w:r>
        <w:rPr>
          <w:spacing w:val="-15"/>
          <w:w w:val="105"/>
        </w:rPr>
        <w:t> </w:t>
      </w:r>
      <w:r>
        <w:rPr>
          <w:w w:val="105"/>
        </w:rPr>
        <w:t>2016.</w:t>
      </w:r>
    </w:p>
    <w:p>
      <w:pPr>
        <w:pStyle w:val="BodyText"/>
        <w:spacing w:before="2"/>
        <w:rPr>
          <w:sz w:val="23"/>
        </w:rPr>
      </w:pPr>
    </w:p>
    <w:p>
      <w:pPr>
        <w:pStyle w:val="Heading1"/>
        <w:numPr>
          <w:ilvl w:val="0"/>
          <w:numId w:val="1"/>
        </w:numPr>
        <w:tabs>
          <w:tab w:pos="893" w:val="left" w:leader="none"/>
        </w:tabs>
        <w:spacing w:line="240" w:lineRule="auto" w:before="0" w:after="0"/>
        <w:ind w:left="892" w:right="0" w:hanging="341"/>
        <w:jc w:val="left"/>
      </w:pPr>
      <w:r>
        <w:rPr>
          <w:w w:val="105"/>
        </w:rPr>
        <w:t>Any other</w:t>
      </w:r>
      <w:r>
        <w:rPr>
          <w:spacing w:val="-5"/>
          <w:w w:val="105"/>
        </w:rPr>
        <w:t> </w:t>
      </w:r>
      <w:r>
        <w:rPr>
          <w:w w:val="105"/>
        </w:rPr>
        <w:t>business</w:t>
      </w:r>
    </w:p>
    <w:p>
      <w:pPr>
        <w:pStyle w:val="BodyText"/>
        <w:rPr>
          <w:b/>
          <w:sz w:val="24"/>
        </w:rPr>
      </w:pPr>
    </w:p>
    <w:p>
      <w:pPr>
        <w:pStyle w:val="BodyText"/>
        <w:rPr>
          <w:b/>
        </w:rPr>
      </w:pPr>
    </w:p>
    <w:p>
      <w:pPr>
        <w:pStyle w:val="BodyText"/>
        <w:spacing w:line="491" w:lineRule="auto"/>
        <w:ind w:left="552" w:right="543"/>
      </w:pPr>
      <w:r>
        <w:rPr>
          <w:w w:val="105"/>
        </w:rPr>
        <w:t>The</w:t>
      </w:r>
      <w:r>
        <w:rPr>
          <w:spacing w:val="-18"/>
          <w:w w:val="105"/>
        </w:rPr>
        <w:t> </w:t>
      </w:r>
      <w:r>
        <w:rPr>
          <w:w w:val="105"/>
        </w:rPr>
        <w:t>Chair</w:t>
      </w:r>
      <w:r>
        <w:rPr>
          <w:spacing w:val="-17"/>
          <w:w w:val="105"/>
        </w:rPr>
        <w:t> </w:t>
      </w:r>
      <w:r>
        <w:rPr>
          <w:w w:val="105"/>
        </w:rPr>
        <w:t>reminded</w:t>
      </w:r>
      <w:r>
        <w:rPr>
          <w:spacing w:val="-16"/>
          <w:w w:val="105"/>
        </w:rPr>
        <w:t> </w:t>
      </w:r>
      <w:r>
        <w:rPr>
          <w:w w:val="105"/>
        </w:rPr>
        <w:t>members</w:t>
      </w:r>
      <w:r>
        <w:rPr>
          <w:spacing w:val="-17"/>
          <w:w w:val="105"/>
        </w:rPr>
        <w:t> </w:t>
      </w:r>
      <w:r>
        <w:rPr>
          <w:w w:val="105"/>
        </w:rPr>
        <w:t>of</w:t>
      </w:r>
      <w:r>
        <w:rPr>
          <w:spacing w:val="-17"/>
          <w:w w:val="105"/>
        </w:rPr>
        <w:t> </w:t>
      </w:r>
      <w:r>
        <w:rPr>
          <w:w w:val="105"/>
        </w:rPr>
        <w:t>the</w:t>
      </w:r>
      <w:r>
        <w:rPr>
          <w:spacing w:val="-17"/>
          <w:w w:val="105"/>
        </w:rPr>
        <w:t> </w:t>
      </w:r>
      <w:r>
        <w:rPr>
          <w:w w:val="105"/>
        </w:rPr>
        <w:t>upcoming</w:t>
      </w:r>
      <w:r>
        <w:rPr>
          <w:spacing w:val="-17"/>
          <w:w w:val="105"/>
        </w:rPr>
        <w:t> </w:t>
      </w:r>
      <w:r>
        <w:rPr>
          <w:w w:val="105"/>
        </w:rPr>
        <w:t>April</w:t>
      </w:r>
      <w:r>
        <w:rPr>
          <w:spacing w:val="-17"/>
          <w:w w:val="105"/>
        </w:rPr>
        <w:t> </w:t>
      </w:r>
      <w:r>
        <w:rPr>
          <w:w w:val="105"/>
        </w:rPr>
        <w:t>2016</w:t>
      </w:r>
      <w:r>
        <w:rPr>
          <w:spacing w:val="-17"/>
          <w:w w:val="105"/>
        </w:rPr>
        <w:t> </w:t>
      </w:r>
      <w:r>
        <w:rPr>
          <w:w w:val="105"/>
        </w:rPr>
        <w:t>BIS</w:t>
      </w:r>
      <w:r>
        <w:rPr>
          <w:spacing w:val="-17"/>
          <w:w w:val="105"/>
        </w:rPr>
        <w:t> </w:t>
      </w:r>
      <w:r>
        <w:rPr>
          <w:w w:val="105"/>
        </w:rPr>
        <w:t>triennial</w:t>
      </w:r>
      <w:r>
        <w:rPr>
          <w:spacing w:val="-17"/>
          <w:w w:val="105"/>
        </w:rPr>
        <w:t> </w:t>
      </w:r>
      <w:r>
        <w:rPr>
          <w:w w:val="105"/>
        </w:rPr>
        <w:t>survey</w:t>
      </w:r>
      <w:r>
        <w:rPr>
          <w:spacing w:val="-16"/>
          <w:w w:val="105"/>
        </w:rPr>
        <w:t> </w:t>
      </w:r>
      <w:r>
        <w:rPr>
          <w:w w:val="105"/>
        </w:rPr>
        <w:t>and the key</w:t>
      </w:r>
      <w:r>
        <w:rPr>
          <w:spacing w:val="-3"/>
          <w:w w:val="105"/>
        </w:rPr>
        <w:t> </w:t>
      </w:r>
      <w:r>
        <w:rPr>
          <w:w w:val="105"/>
        </w:rPr>
        <w:t>deadlines.</w:t>
      </w:r>
    </w:p>
    <w:p>
      <w:pPr>
        <w:pStyle w:val="BodyText"/>
        <w:rPr>
          <w:sz w:val="24"/>
        </w:rPr>
      </w:pPr>
    </w:p>
    <w:p>
      <w:pPr>
        <w:pStyle w:val="BodyText"/>
        <w:rPr>
          <w:sz w:val="24"/>
        </w:rPr>
      </w:pPr>
    </w:p>
    <w:p>
      <w:pPr>
        <w:pStyle w:val="BodyText"/>
        <w:spacing w:before="11"/>
        <w:rPr>
          <w:sz w:val="23"/>
        </w:rPr>
      </w:pPr>
    </w:p>
    <w:p>
      <w:pPr>
        <w:pStyle w:val="Heading1"/>
        <w:spacing w:line="532" w:lineRule="auto"/>
        <w:ind w:left="3316" w:right="1186" w:hanging="1924"/>
      </w:pPr>
      <w:r>
        <w:rPr>
          <w:w w:val="105"/>
        </w:rPr>
        <w:t>The</w:t>
      </w:r>
      <w:r>
        <w:rPr>
          <w:spacing w:val="-14"/>
          <w:w w:val="105"/>
        </w:rPr>
        <w:t> </w:t>
      </w:r>
      <w:r>
        <w:rPr>
          <w:w w:val="105"/>
        </w:rPr>
        <w:t>next</w:t>
      </w:r>
      <w:r>
        <w:rPr>
          <w:spacing w:val="-14"/>
          <w:w w:val="105"/>
        </w:rPr>
        <w:t> </w:t>
      </w:r>
      <w:r>
        <w:rPr>
          <w:w w:val="105"/>
        </w:rPr>
        <w:t>meeting</w:t>
      </w:r>
      <w:r>
        <w:rPr>
          <w:spacing w:val="-14"/>
          <w:w w:val="105"/>
        </w:rPr>
        <w:t> </w:t>
      </w:r>
      <w:r>
        <w:rPr>
          <w:w w:val="105"/>
        </w:rPr>
        <w:t>of</w:t>
      </w:r>
      <w:r>
        <w:rPr>
          <w:spacing w:val="-13"/>
          <w:w w:val="105"/>
        </w:rPr>
        <w:t> </w:t>
      </w:r>
      <w:r>
        <w:rPr>
          <w:w w:val="105"/>
        </w:rPr>
        <w:t>the</w:t>
      </w:r>
      <w:r>
        <w:rPr>
          <w:spacing w:val="-16"/>
          <w:w w:val="105"/>
        </w:rPr>
        <w:t> </w:t>
      </w:r>
      <w:r>
        <w:rPr>
          <w:w w:val="105"/>
        </w:rPr>
        <w:t>FXJSC</w:t>
      </w:r>
      <w:r>
        <w:rPr>
          <w:spacing w:val="-13"/>
          <w:w w:val="105"/>
        </w:rPr>
        <w:t> </w:t>
      </w:r>
      <w:r>
        <w:rPr>
          <w:w w:val="105"/>
        </w:rPr>
        <w:t>will</w:t>
      </w:r>
      <w:r>
        <w:rPr>
          <w:spacing w:val="-14"/>
          <w:w w:val="105"/>
        </w:rPr>
        <w:t> </w:t>
      </w:r>
      <w:r>
        <w:rPr>
          <w:w w:val="105"/>
        </w:rPr>
        <w:t>be</w:t>
      </w:r>
      <w:r>
        <w:rPr>
          <w:spacing w:val="-15"/>
          <w:w w:val="105"/>
        </w:rPr>
        <w:t> </w:t>
      </w:r>
      <w:r>
        <w:rPr>
          <w:w w:val="105"/>
        </w:rPr>
        <w:t>held</w:t>
      </w:r>
      <w:r>
        <w:rPr>
          <w:spacing w:val="-12"/>
          <w:w w:val="105"/>
        </w:rPr>
        <w:t> </w:t>
      </w:r>
      <w:r>
        <w:rPr>
          <w:w w:val="105"/>
        </w:rPr>
        <w:t>on</w:t>
      </w:r>
      <w:r>
        <w:rPr>
          <w:spacing w:val="-14"/>
          <w:w w:val="105"/>
        </w:rPr>
        <w:t> </w:t>
      </w:r>
      <w:r>
        <w:rPr>
          <w:w w:val="105"/>
        </w:rPr>
        <w:t>28</w:t>
      </w:r>
      <w:r>
        <w:rPr>
          <w:spacing w:val="-14"/>
          <w:w w:val="105"/>
        </w:rPr>
        <w:t> </w:t>
      </w:r>
      <w:r>
        <w:rPr>
          <w:w w:val="105"/>
        </w:rPr>
        <w:t>January</w:t>
      </w:r>
      <w:r>
        <w:rPr>
          <w:spacing w:val="-13"/>
          <w:w w:val="105"/>
        </w:rPr>
        <w:t> </w:t>
      </w:r>
      <w:r>
        <w:rPr>
          <w:w w:val="105"/>
        </w:rPr>
        <w:t>2016 at the Bank of</w:t>
      </w:r>
      <w:r>
        <w:rPr>
          <w:spacing w:val="-15"/>
          <w:w w:val="105"/>
        </w:rPr>
        <w:t> </w:t>
      </w:r>
      <w:r>
        <w:rPr>
          <w:w w:val="105"/>
        </w:rPr>
        <w:t>England.</w:t>
      </w:r>
    </w:p>
    <w:sectPr>
      <w:pgSz w:w="12240" w:h="15840"/>
      <w:pgMar w:header="0" w:footer="634" w:top="1280" w:bottom="820" w:left="166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09.639999pt;margin-top:749.283508pt;width:63.95pt;height:10.4pt;mso-position-horizontal-relative:page;mso-position-vertical-relative:page;z-index:-251961344" type="#_x0000_t202" filled="false" stroked="false">
          <v:textbox inset="0,0,0,0">
            <w:txbxContent>
              <w:p>
                <w:pPr>
                  <w:spacing w:before="15"/>
                  <w:ind w:left="20" w:right="0" w:firstLine="0"/>
                  <w:jc w:val="left"/>
                  <w:rPr>
                    <w:rFonts w:ascii="Arial"/>
                    <w:sz w:val="15"/>
                  </w:rPr>
                </w:pPr>
                <w:r>
                  <w:rPr>
                    <w:rFonts w:ascii="Arial"/>
                    <w:sz w:val="15"/>
                  </w:rPr>
                  <w:t>Markets 937409v1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2" w:hanging="437"/>
        <w:jc w:val="right"/>
      </w:pPr>
      <w:rPr>
        <w:rFonts w:hint="default" w:ascii="Times New Roman" w:hAnsi="Times New Roman" w:eastAsia="Times New Roman" w:cs="Times New Roman"/>
        <w:b/>
        <w:bCs/>
        <w:spacing w:val="-1"/>
        <w:w w:val="102"/>
        <w:sz w:val="22"/>
        <w:szCs w:val="22"/>
      </w:rPr>
    </w:lvl>
    <w:lvl w:ilvl="1">
      <w:start w:val="0"/>
      <w:numFmt w:val="bullet"/>
      <w:lvlText w:val="•"/>
      <w:lvlJc w:val="left"/>
      <w:pPr>
        <w:ind w:left="1390" w:hanging="437"/>
      </w:pPr>
      <w:rPr>
        <w:rFonts w:hint="default"/>
      </w:rPr>
    </w:lvl>
    <w:lvl w:ilvl="2">
      <w:start w:val="0"/>
      <w:numFmt w:val="bullet"/>
      <w:lvlText w:val="•"/>
      <w:lvlJc w:val="left"/>
      <w:pPr>
        <w:ind w:left="2220" w:hanging="437"/>
      </w:pPr>
      <w:rPr>
        <w:rFonts w:hint="default"/>
      </w:rPr>
    </w:lvl>
    <w:lvl w:ilvl="3">
      <w:start w:val="0"/>
      <w:numFmt w:val="bullet"/>
      <w:lvlText w:val="•"/>
      <w:lvlJc w:val="left"/>
      <w:pPr>
        <w:ind w:left="3050" w:hanging="437"/>
      </w:pPr>
      <w:rPr>
        <w:rFonts w:hint="default"/>
      </w:rPr>
    </w:lvl>
    <w:lvl w:ilvl="4">
      <w:start w:val="0"/>
      <w:numFmt w:val="bullet"/>
      <w:lvlText w:val="•"/>
      <w:lvlJc w:val="left"/>
      <w:pPr>
        <w:ind w:left="3880" w:hanging="437"/>
      </w:pPr>
      <w:rPr>
        <w:rFonts w:hint="default"/>
      </w:rPr>
    </w:lvl>
    <w:lvl w:ilvl="5">
      <w:start w:val="0"/>
      <w:numFmt w:val="bullet"/>
      <w:lvlText w:val="•"/>
      <w:lvlJc w:val="left"/>
      <w:pPr>
        <w:ind w:left="4710" w:hanging="437"/>
      </w:pPr>
      <w:rPr>
        <w:rFonts w:hint="default"/>
      </w:rPr>
    </w:lvl>
    <w:lvl w:ilvl="6">
      <w:start w:val="0"/>
      <w:numFmt w:val="bullet"/>
      <w:lvlText w:val="•"/>
      <w:lvlJc w:val="left"/>
      <w:pPr>
        <w:ind w:left="5540" w:hanging="437"/>
      </w:pPr>
      <w:rPr>
        <w:rFonts w:hint="default"/>
      </w:rPr>
    </w:lvl>
    <w:lvl w:ilvl="7">
      <w:start w:val="0"/>
      <w:numFmt w:val="bullet"/>
      <w:lvlText w:val="•"/>
      <w:lvlJc w:val="left"/>
      <w:pPr>
        <w:ind w:left="6370" w:hanging="437"/>
      </w:pPr>
      <w:rPr>
        <w:rFonts w:hint="default"/>
      </w:rPr>
    </w:lvl>
    <w:lvl w:ilvl="8">
      <w:start w:val="0"/>
      <w:numFmt w:val="bullet"/>
      <w:lvlText w:val="•"/>
      <w:lvlJc w:val="left"/>
      <w:pPr>
        <w:ind w:left="7200" w:hanging="43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552"/>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552" w:hanging="438"/>
    </w:pPr>
    <w:rPr>
      <w:rFonts w:ascii="Times New Roman" w:hAnsi="Times New Roman" w:eastAsia="Times New Roman" w:cs="Times New Roman"/>
    </w:rPr>
  </w:style>
  <w:style w:styleId="TableParagraph" w:type="paragraph">
    <w:name w:val="Table Paragraph"/>
    <w:basedOn w:val="Normal"/>
    <w:uiPriority w:val="1"/>
    <w:qFormat/>
    <w:pPr>
      <w:spacing w:before="33"/>
      <w:ind w:left="1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financialstability/Documents/fpc/fspapers/fs_paper34.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Foreign Exchange Joint Standing Committee - meeting minutes November 2015</dc:title>
  <dcterms:created xsi:type="dcterms:W3CDTF">2020-06-01T02:01:14Z</dcterms:created>
  <dcterms:modified xsi:type="dcterms:W3CDTF">2020-06-01T02:01:14Z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2016-02-08T00:00:00Z</vt:filetime>
  </property>
  <property fmtid="{D5CDD505-2E9C-101B-9397-08002B2CF9AE}" pid="3" name="Creator">
    <vt:lpwstr>PScript5.dll Version 5.2.2</vt:lpwstr>
  </property>
  <property fmtid="{D5CDD505-2E9C-101B-9397-08002B2CF9AE}" pid="4" name="LastSaved">
    <vt:filetime>2020-06-01T00:00:00Z</vt:filetime>
  </property>
</Properties>
</file>