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9"/>
        <w:ind w:left="1182" w:right="1122" w:firstLine="0"/>
        <w:jc w:val="center"/>
      </w:pPr>
      <w:r>
        <w:rPr>
          <w:w w:val="105"/>
        </w:rPr>
        <w:t>FOREIGN EXCHANGE JOINT STANDING COMMITTEE</w:t>
      </w:r>
    </w:p>
    <w:p>
      <w:pPr>
        <w:pStyle w:val="BodyText"/>
        <w:spacing w:before="2"/>
        <w:rPr>
          <w:b/>
          <w:sz w:val="23"/>
        </w:rPr>
      </w:pPr>
    </w:p>
    <w:p>
      <w:pPr>
        <w:spacing w:before="0"/>
        <w:ind w:left="1182" w:right="1124" w:firstLine="0"/>
        <w:jc w:val="center"/>
        <w:rPr>
          <w:b/>
          <w:sz w:val="22"/>
        </w:rPr>
      </w:pPr>
      <w:r>
        <w:rPr>
          <w:b/>
          <w:w w:val="105"/>
          <w:sz w:val="22"/>
        </w:rPr>
        <w:t>Wednesday 14 September 2016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ind w:left="1182" w:right="1123"/>
        <w:jc w:val="center"/>
      </w:pPr>
      <w:r>
        <w:rPr>
          <w:w w:val="105"/>
        </w:rPr>
        <w:t>Prudential Regulation Authority, 20 Moorgate, London, EC2R 6DA</w:t>
      </w:r>
    </w:p>
    <w:p>
      <w:pPr>
        <w:pStyle w:val="BodyText"/>
        <w:spacing w:before="10"/>
        <w:rPr>
          <w:sz w:val="14"/>
        </w:rPr>
      </w:pPr>
    </w:p>
    <w:p>
      <w:pPr>
        <w:spacing w:before="96"/>
        <w:ind w:left="1182" w:right="1122" w:firstLine="0"/>
        <w:jc w:val="center"/>
        <w:rPr>
          <w:b/>
          <w:sz w:val="22"/>
        </w:rPr>
      </w:pPr>
      <w:r>
        <w:rPr>
          <w:b/>
          <w:w w:val="105"/>
          <w:sz w:val="22"/>
          <w:u w:val="thick"/>
        </w:rPr>
        <w:t>MINUTES</w:t>
      </w:r>
    </w:p>
    <w:p>
      <w:pPr>
        <w:spacing w:before="7"/>
        <w:ind w:left="552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In Attendance</w:t>
      </w:r>
    </w:p>
    <w:p>
      <w:pPr>
        <w:pStyle w:val="BodyText"/>
        <w:spacing w:before="5"/>
        <w:rPr>
          <w:b/>
          <w:sz w:val="11"/>
        </w:rPr>
      </w:pPr>
    </w:p>
    <w:tbl>
      <w:tblPr>
        <w:tblW w:w="0" w:type="auto"/>
        <w:jc w:val="left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3"/>
        <w:gridCol w:w="4268"/>
      </w:tblGrid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Sarah Boyce</w:t>
            </w:r>
          </w:p>
        </w:tc>
        <w:tc>
          <w:tcPr>
            <w:tcW w:w="4268" w:type="dxa"/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Association of Corporate Treasurers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Wang Yan</w:t>
            </w:r>
          </w:p>
        </w:tc>
        <w:tc>
          <w:tcPr>
            <w:tcW w:w="42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Bank of China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Richard Gill</w:t>
            </w:r>
          </w:p>
        </w:tc>
        <w:tc>
          <w:tcPr>
            <w:tcW w:w="4268" w:type="dxa"/>
          </w:tcPr>
          <w:p>
            <w:pPr>
              <w:pStyle w:val="TableParagraph"/>
              <w:spacing w:before="44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Bank of New York Mellon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Tetsuro Kono</w:t>
            </w:r>
          </w:p>
        </w:tc>
        <w:tc>
          <w:tcPr>
            <w:tcW w:w="4268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Bank of Tokyo-Mitsubishi UFJ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James Hassett</w:t>
            </w:r>
          </w:p>
        </w:tc>
        <w:tc>
          <w:tcPr>
            <w:tcW w:w="42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Barclays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Marcus Browning</w:t>
            </w:r>
          </w:p>
        </w:tc>
        <w:tc>
          <w:tcPr>
            <w:tcW w:w="42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BlueCrest Capital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Ronald Kent</w:t>
            </w:r>
          </w:p>
        </w:tc>
        <w:tc>
          <w:tcPr>
            <w:tcW w:w="42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British Bankers’ Association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James Bindler</w:t>
            </w:r>
          </w:p>
        </w:tc>
        <w:tc>
          <w:tcPr>
            <w:tcW w:w="42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Citigroup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Russell Lascala</w:t>
            </w:r>
          </w:p>
        </w:tc>
        <w:tc>
          <w:tcPr>
            <w:tcW w:w="4268" w:type="dxa"/>
          </w:tcPr>
          <w:p>
            <w:pPr>
              <w:pStyle w:val="TableParagraph"/>
              <w:spacing w:before="44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Deutsche Bank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James Kemp</w:t>
            </w:r>
          </w:p>
        </w:tc>
        <w:tc>
          <w:tcPr>
            <w:tcW w:w="4268" w:type="dxa"/>
          </w:tcPr>
          <w:p>
            <w:pPr>
              <w:pStyle w:val="TableParagraph"/>
              <w:spacing w:before="44"/>
              <w:ind w:left="98"/>
              <w:rPr>
                <w:sz w:val="20"/>
              </w:rPr>
            </w:pPr>
            <w:r>
              <w:rPr>
                <w:w w:val="105"/>
                <w:sz w:val="20"/>
              </w:rPr>
              <w:t>FICC Markets Standards Board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Jamie Black</w:t>
            </w:r>
          </w:p>
        </w:tc>
        <w:tc>
          <w:tcPr>
            <w:tcW w:w="42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Financial Conduct Authority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Kayhan Mirza</w:t>
            </w:r>
          </w:p>
        </w:tc>
        <w:tc>
          <w:tcPr>
            <w:tcW w:w="4268" w:type="dxa"/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Goldman Sachs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Frederic Boillereau</w:t>
            </w:r>
          </w:p>
        </w:tc>
        <w:tc>
          <w:tcPr>
            <w:tcW w:w="42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HSBC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Richard Purssell</w:t>
            </w:r>
          </w:p>
        </w:tc>
        <w:tc>
          <w:tcPr>
            <w:tcW w:w="4268" w:type="dxa"/>
          </w:tcPr>
          <w:p>
            <w:pPr>
              <w:pStyle w:val="TableParagraph"/>
              <w:spacing w:before="44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Insight Investment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Stephen Grady</w:t>
            </w:r>
          </w:p>
        </w:tc>
        <w:tc>
          <w:tcPr>
            <w:tcW w:w="4268" w:type="dxa"/>
          </w:tcPr>
          <w:p>
            <w:pPr>
              <w:pStyle w:val="TableParagraph"/>
              <w:spacing w:before="44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Legal &amp; General Investment Management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Lisa Scott-Smith</w:t>
            </w:r>
          </w:p>
        </w:tc>
        <w:tc>
          <w:tcPr>
            <w:tcW w:w="42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Millennium Global Investments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James Harvey</w:t>
            </w:r>
          </w:p>
        </w:tc>
        <w:tc>
          <w:tcPr>
            <w:tcW w:w="42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Rolls-Royce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Kurt Vom Scheidt</w:t>
            </w:r>
          </w:p>
        </w:tc>
        <w:tc>
          <w:tcPr>
            <w:tcW w:w="42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Saxo Bank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w w:val="105"/>
                <w:sz w:val="20"/>
              </w:rPr>
              <w:t>Pamela Gachara </w:t>
            </w:r>
            <w:r>
              <w:rPr>
                <w:i/>
                <w:w w:val="105"/>
                <w:sz w:val="20"/>
              </w:rPr>
              <w:t>(Alternate)</w:t>
            </w:r>
          </w:p>
        </w:tc>
        <w:tc>
          <w:tcPr>
            <w:tcW w:w="42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The Investment Association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Phil Weisberg</w:t>
            </w:r>
          </w:p>
        </w:tc>
        <w:tc>
          <w:tcPr>
            <w:tcW w:w="4268" w:type="dxa"/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Thomson Reuters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James Potter</w:t>
            </w:r>
          </w:p>
        </w:tc>
        <w:tc>
          <w:tcPr>
            <w:tcW w:w="4268" w:type="dxa"/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Tullett Prebon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George Athanasopoulos</w:t>
            </w:r>
          </w:p>
        </w:tc>
        <w:tc>
          <w:tcPr>
            <w:tcW w:w="4268" w:type="dxa"/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UBS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David Clark</w:t>
            </w:r>
          </w:p>
        </w:tc>
        <w:tc>
          <w:tcPr>
            <w:tcW w:w="4268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Wholesale Markets Brokers’ Association</w:t>
            </w:r>
          </w:p>
        </w:tc>
      </w:tr>
      <w:tr>
        <w:trPr>
          <w:trHeight w:val="550" w:hRule="atLeast"/>
        </w:trPr>
        <w:tc>
          <w:tcPr>
            <w:tcW w:w="3703" w:type="dxa"/>
          </w:tcPr>
          <w:p>
            <w:pPr>
              <w:pStyle w:val="TableParagraph"/>
              <w:spacing w:line="247" w:lineRule="auto"/>
              <w:ind w:right="400"/>
              <w:rPr>
                <w:i/>
                <w:sz w:val="20"/>
              </w:rPr>
            </w:pPr>
            <w:r>
              <w:rPr>
                <w:w w:val="105"/>
                <w:sz w:val="20"/>
              </w:rPr>
              <w:t>Stephen Miller </w:t>
            </w:r>
            <w:r>
              <w:rPr>
                <w:i/>
                <w:w w:val="105"/>
                <w:sz w:val="20"/>
              </w:rPr>
              <w:t>(Guest representative, </w:t>
            </w:r>
            <w:r>
              <w:rPr>
                <w:i/>
                <w:w w:val="105"/>
                <w:sz w:val="20"/>
              </w:rPr>
              <w:t>Operations Sub-committee)</w:t>
            </w:r>
          </w:p>
        </w:tc>
        <w:tc>
          <w:tcPr>
            <w:tcW w:w="42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Bank of America Merrill Lynch</w:t>
            </w:r>
          </w:p>
        </w:tc>
      </w:tr>
      <w:tr>
        <w:trPr>
          <w:trHeight w:val="551" w:hRule="atLeast"/>
        </w:trPr>
        <w:tc>
          <w:tcPr>
            <w:tcW w:w="3703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w w:val="105"/>
                <w:sz w:val="20"/>
              </w:rPr>
              <w:t>Guy Debelle </w:t>
            </w:r>
            <w:r>
              <w:rPr>
                <w:i/>
                <w:w w:val="105"/>
                <w:sz w:val="20"/>
              </w:rPr>
              <w:t>(Guest attendee)</w:t>
            </w:r>
          </w:p>
        </w:tc>
        <w:tc>
          <w:tcPr>
            <w:tcW w:w="4268" w:type="dxa"/>
          </w:tcPr>
          <w:p>
            <w:pPr>
              <w:pStyle w:val="TableParagraph"/>
              <w:spacing w:line="249" w:lineRule="auto"/>
              <w:ind w:right="778"/>
              <w:rPr>
                <w:sz w:val="20"/>
              </w:rPr>
            </w:pPr>
            <w:r>
              <w:rPr>
                <w:w w:val="105"/>
                <w:sz w:val="20"/>
              </w:rPr>
              <w:t>Reserve Bank of Australia, BIS Foreign Exchange Working Group Chair</w:t>
            </w:r>
            <w:r>
              <w:rPr>
                <w:w w:val="105"/>
                <w:sz w:val="20"/>
                <w:vertAlign w:val="superscript"/>
              </w:rPr>
              <w:t>1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w w:val="105"/>
                <w:sz w:val="20"/>
              </w:rPr>
              <w:t>Tom Jacques </w:t>
            </w:r>
            <w:r>
              <w:rPr>
                <w:i/>
                <w:w w:val="105"/>
                <w:sz w:val="20"/>
              </w:rPr>
              <w:t>(Guest speaker)</w:t>
            </w:r>
          </w:p>
        </w:tc>
        <w:tc>
          <w:tcPr>
            <w:tcW w:w="42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Greenwich Associates</w:t>
            </w:r>
          </w:p>
        </w:tc>
      </w:tr>
      <w:tr>
        <w:trPr>
          <w:trHeight w:val="549" w:hRule="atLeast"/>
        </w:trPr>
        <w:tc>
          <w:tcPr>
            <w:tcW w:w="3703" w:type="dxa"/>
          </w:tcPr>
          <w:p>
            <w:pPr>
              <w:pStyle w:val="TableParagraph"/>
              <w:spacing w:line="249" w:lineRule="auto"/>
              <w:ind w:right="534"/>
              <w:rPr>
                <w:i/>
                <w:sz w:val="20"/>
              </w:rPr>
            </w:pPr>
            <w:r>
              <w:rPr>
                <w:w w:val="105"/>
                <w:sz w:val="20"/>
              </w:rPr>
              <w:t>Frank Feenstra </w:t>
            </w:r>
            <w:r>
              <w:rPr>
                <w:i/>
                <w:w w:val="105"/>
                <w:sz w:val="20"/>
              </w:rPr>
              <w:t>(Guest speaker – via </w:t>
            </w:r>
            <w:r>
              <w:rPr>
                <w:i/>
                <w:w w:val="105"/>
                <w:sz w:val="20"/>
              </w:rPr>
              <w:t>conference call )</w:t>
            </w:r>
          </w:p>
        </w:tc>
        <w:tc>
          <w:tcPr>
            <w:tcW w:w="426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Greenwich Associates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4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Chris Salmon</w:t>
            </w:r>
          </w:p>
        </w:tc>
        <w:tc>
          <w:tcPr>
            <w:tcW w:w="4268" w:type="dxa"/>
          </w:tcPr>
          <w:p>
            <w:pPr>
              <w:pStyle w:val="TableParagraph"/>
              <w:spacing w:before="44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 (Chair)</w:t>
            </w:r>
          </w:p>
        </w:tc>
      </w:tr>
      <w:tr>
        <w:trPr>
          <w:trHeight w:val="313" w:hRule="atLeast"/>
        </w:trPr>
        <w:tc>
          <w:tcPr>
            <w:tcW w:w="3703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Grigoria Christodoulou</w:t>
            </w:r>
          </w:p>
        </w:tc>
        <w:tc>
          <w:tcPr>
            <w:tcW w:w="4268" w:type="dxa"/>
          </w:tcPr>
          <w:p>
            <w:pPr>
              <w:pStyle w:val="TableParagraph"/>
              <w:ind w:left="101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 (Secretariat)</w:t>
            </w:r>
          </w:p>
        </w:tc>
      </w:tr>
    </w:tbl>
    <w:p>
      <w:pPr>
        <w:pStyle w:val="BodyText"/>
        <w:spacing w:before="9"/>
        <w:rPr>
          <w:b/>
        </w:rPr>
      </w:pPr>
      <w:r>
        <w:rPr/>
        <w:pict>
          <v:shape style="position:absolute;margin-left:110.639999pt;margin-top:15.359995pt;width:135.5pt;height:.1pt;mso-position-horizontal-relative:page;mso-position-vertical-relative:paragraph;z-index:-251658240;mso-wrap-distance-left:0;mso-wrap-distance-right:0" coordorigin="2213,307" coordsize="2710,0" path="m2213,307l4922,307e" filled="false" stroked="true" strokeweight=".600010pt" strokecolor="#000000">
            <v:path arrowok="t"/>
            <v:stroke dashstyle="solid"/>
            <w10:wrap type="topAndBottom"/>
          </v:shape>
        </w:pict>
      </w:r>
    </w:p>
    <w:p>
      <w:pPr>
        <w:spacing w:before="49"/>
        <w:ind w:left="552" w:right="1632" w:firstLine="0"/>
        <w:jc w:val="left"/>
        <w:rPr>
          <w:sz w:val="19"/>
        </w:rPr>
      </w:pPr>
      <w:r>
        <w:rPr>
          <w:position w:val="8"/>
          <w:sz w:val="12"/>
        </w:rPr>
        <w:t>1</w:t>
      </w:r>
      <w:r>
        <w:rPr>
          <w:sz w:val="19"/>
        </w:rPr>
        <w:t>More information about the BIS Foreign Exchange Working Group can be found here: </w:t>
      </w:r>
      <w:hyperlink r:id="rId6">
        <w:r>
          <w:rPr>
            <w:color w:val="0000FF"/>
            <w:sz w:val="19"/>
            <w:u w:val="single" w:color="0000FF"/>
          </w:rPr>
          <w:t>http://www.bis.org/about/factmktc/fxwg.htm</w:t>
        </w:r>
      </w:hyperlink>
    </w:p>
    <w:p>
      <w:pPr>
        <w:spacing w:after="0"/>
        <w:jc w:val="left"/>
        <w:rPr>
          <w:sz w:val="19"/>
        </w:rPr>
        <w:sectPr>
          <w:footerReference w:type="default" r:id="rId5"/>
          <w:type w:val="continuous"/>
          <w:pgSz w:w="12240" w:h="15840"/>
          <w:pgMar w:footer="634" w:top="1280" w:bottom="820" w:left="1660" w:right="1720"/>
        </w:sectPr>
      </w:pPr>
    </w:p>
    <w:tbl>
      <w:tblPr>
        <w:tblW w:w="0" w:type="auto"/>
        <w:jc w:val="left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3"/>
        <w:gridCol w:w="4268"/>
      </w:tblGrid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3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Lisa Gupta</w:t>
            </w:r>
          </w:p>
        </w:tc>
        <w:tc>
          <w:tcPr>
            <w:tcW w:w="4268" w:type="dxa"/>
          </w:tcPr>
          <w:p>
            <w:pPr>
              <w:pStyle w:val="TableParagraph"/>
              <w:spacing w:before="3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 (Secretariat)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38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Jan Lasik</w:t>
            </w:r>
          </w:p>
        </w:tc>
        <w:tc>
          <w:tcPr>
            <w:tcW w:w="4268" w:type="dxa"/>
          </w:tcPr>
          <w:p>
            <w:pPr>
              <w:pStyle w:val="TableParagraph"/>
              <w:spacing w:before="0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 (Legal)</w:t>
            </w:r>
          </w:p>
        </w:tc>
      </w:tr>
      <w:tr>
        <w:trPr>
          <w:trHeight w:val="311" w:hRule="atLeast"/>
        </w:trPr>
        <w:tc>
          <w:tcPr>
            <w:tcW w:w="3703" w:type="dxa"/>
          </w:tcPr>
          <w:p>
            <w:pPr>
              <w:pStyle w:val="TableParagraph"/>
              <w:spacing w:before="38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Chris Cox</w:t>
            </w:r>
          </w:p>
        </w:tc>
        <w:tc>
          <w:tcPr>
            <w:tcW w:w="4268" w:type="dxa"/>
          </w:tcPr>
          <w:p>
            <w:pPr>
              <w:pStyle w:val="TableParagraph"/>
              <w:spacing w:before="38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3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Yanina Gonzalez</w:t>
            </w:r>
          </w:p>
        </w:tc>
        <w:tc>
          <w:tcPr>
            <w:tcW w:w="4268" w:type="dxa"/>
          </w:tcPr>
          <w:p>
            <w:pPr>
              <w:pStyle w:val="TableParagraph"/>
              <w:spacing w:before="3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3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Lee Hockins</w:t>
            </w:r>
          </w:p>
        </w:tc>
        <w:tc>
          <w:tcPr>
            <w:tcW w:w="4268" w:type="dxa"/>
          </w:tcPr>
          <w:p>
            <w:pPr>
              <w:pStyle w:val="TableParagraph"/>
              <w:spacing w:before="1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</w:t>
            </w:r>
          </w:p>
        </w:tc>
      </w:tr>
      <w:tr>
        <w:trPr>
          <w:trHeight w:val="313" w:hRule="atLeast"/>
        </w:trPr>
        <w:tc>
          <w:tcPr>
            <w:tcW w:w="3703" w:type="dxa"/>
          </w:tcPr>
          <w:p>
            <w:pPr>
              <w:pStyle w:val="TableParagraph"/>
              <w:spacing w:before="38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Alex Hutton</w:t>
            </w:r>
          </w:p>
        </w:tc>
        <w:tc>
          <w:tcPr>
            <w:tcW w:w="4268" w:type="dxa"/>
          </w:tcPr>
          <w:p>
            <w:pPr>
              <w:pStyle w:val="TableParagraph"/>
              <w:spacing w:before="0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3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Rebecca Jackson</w:t>
            </w:r>
          </w:p>
        </w:tc>
        <w:tc>
          <w:tcPr>
            <w:tcW w:w="4268" w:type="dxa"/>
          </w:tcPr>
          <w:p>
            <w:pPr>
              <w:pStyle w:val="TableParagraph"/>
              <w:spacing w:before="3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</w:t>
            </w:r>
          </w:p>
        </w:tc>
      </w:tr>
      <w:tr>
        <w:trPr>
          <w:trHeight w:val="312" w:hRule="atLeast"/>
        </w:trPr>
        <w:tc>
          <w:tcPr>
            <w:tcW w:w="3703" w:type="dxa"/>
          </w:tcPr>
          <w:p>
            <w:pPr>
              <w:pStyle w:val="TableParagraph"/>
              <w:spacing w:before="3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James O’Connor</w:t>
            </w:r>
          </w:p>
        </w:tc>
        <w:tc>
          <w:tcPr>
            <w:tcW w:w="4268" w:type="dxa"/>
          </w:tcPr>
          <w:p>
            <w:pPr>
              <w:pStyle w:val="TableParagraph"/>
              <w:spacing w:before="37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Bank of England</w:t>
            </w:r>
          </w:p>
        </w:tc>
      </w:tr>
    </w:tbl>
    <w:p>
      <w:pPr>
        <w:pStyle w:val="BodyText"/>
        <w:spacing w:before="3"/>
        <w:rPr>
          <w:sz w:val="14"/>
        </w:rPr>
      </w:pPr>
    </w:p>
    <w:p>
      <w:pPr>
        <w:pStyle w:val="Heading1"/>
        <w:spacing w:before="96"/>
        <w:ind w:left="552" w:firstLine="0"/>
      </w:pPr>
      <w:r>
        <w:rPr>
          <w:w w:val="105"/>
        </w:rPr>
        <w:t>Apologies</w:t>
      </w: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23"/>
        <w:gridCol w:w="3911"/>
      </w:tblGrid>
      <w:tr>
        <w:trPr>
          <w:trHeight w:val="321" w:hRule="atLeast"/>
        </w:trPr>
        <w:tc>
          <w:tcPr>
            <w:tcW w:w="40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Adrian Boehler</w:t>
            </w:r>
          </w:p>
        </w:tc>
        <w:tc>
          <w:tcPr>
            <w:tcW w:w="39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BNP Paribas</w:t>
            </w:r>
          </w:p>
        </w:tc>
      </w:tr>
      <w:tr>
        <w:trPr>
          <w:trHeight w:val="320" w:hRule="atLeast"/>
        </w:trPr>
        <w:tc>
          <w:tcPr>
            <w:tcW w:w="40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David Puth</w:t>
            </w:r>
          </w:p>
        </w:tc>
        <w:tc>
          <w:tcPr>
            <w:tcW w:w="3911" w:type="dxa"/>
          </w:tcPr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CLS</w:t>
            </w:r>
          </w:p>
        </w:tc>
      </w:tr>
      <w:tr>
        <w:trPr>
          <w:trHeight w:val="312" w:hRule="atLeast"/>
        </w:trPr>
        <w:tc>
          <w:tcPr>
            <w:tcW w:w="4023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Frances Hinden</w:t>
            </w:r>
          </w:p>
        </w:tc>
        <w:tc>
          <w:tcPr>
            <w:tcW w:w="3911" w:type="dxa"/>
          </w:tcPr>
          <w:p>
            <w:pPr>
              <w:pStyle w:val="TableParagraph"/>
              <w:spacing w:before="44"/>
              <w:ind w:left="101"/>
              <w:rPr>
                <w:sz w:val="20"/>
              </w:rPr>
            </w:pPr>
            <w:r>
              <w:rPr>
                <w:w w:val="105"/>
                <w:sz w:val="20"/>
              </w:rPr>
              <w:t>Shell</w:t>
            </w:r>
          </w:p>
        </w:tc>
      </w:tr>
      <w:tr>
        <w:trPr>
          <w:trHeight w:val="321" w:hRule="atLeast"/>
        </w:trPr>
        <w:tc>
          <w:tcPr>
            <w:tcW w:w="4023" w:type="dxa"/>
          </w:tcPr>
          <w:p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105"/>
                <w:sz w:val="20"/>
              </w:rPr>
              <w:t>Galina Dimitrova</w:t>
            </w:r>
          </w:p>
        </w:tc>
        <w:tc>
          <w:tcPr>
            <w:tcW w:w="3911" w:type="dxa"/>
          </w:tcPr>
          <w:p>
            <w:pPr>
              <w:pStyle w:val="TableParagraph"/>
              <w:spacing w:before="44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The Investment Association</w:t>
            </w:r>
          </w:p>
        </w:tc>
      </w:tr>
      <w:tr>
        <w:trPr>
          <w:trHeight w:val="321" w:hRule="atLeast"/>
        </w:trPr>
        <w:tc>
          <w:tcPr>
            <w:tcW w:w="40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Zar Amrolia</w:t>
            </w:r>
          </w:p>
        </w:tc>
        <w:tc>
          <w:tcPr>
            <w:tcW w:w="3911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XTX Markets</w:t>
            </w:r>
          </w:p>
        </w:tc>
      </w:tr>
      <w:tr>
        <w:trPr>
          <w:trHeight w:val="612" w:hRule="atLeast"/>
        </w:trPr>
        <w:tc>
          <w:tcPr>
            <w:tcW w:w="40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Chris Allen</w:t>
            </w:r>
          </w:p>
        </w:tc>
        <w:tc>
          <w:tcPr>
            <w:tcW w:w="39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Barclays</w:t>
            </w:r>
          </w:p>
          <w:p>
            <w:pPr>
              <w:pStyle w:val="TableParagraph"/>
              <w:spacing w:before="46"/>
              <w:ind w:left="9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Chair Legal Sub-Committee</w:t>
            </w:r>
          </w:p>
        </w:tc>
      </w:tr>
      <w:tr>
        <w:trPr>
          <w:trHeight w:val="613" w:hRule="atLeast"/>
        </w:trPr>
        <w:tc>
          <w:tcPr>
            <w:tcW w:w="402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Isabelle Dennigan</w:t>
            </w:r>
          </w:p>
        </w:tc>
        <w:tc>
          <w:tcPr>
            <w:tcW w:w="3911" w:type="dxa"/>
          </w:tcPr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RBC</w:t>
            </w:r>
          </w:p>
          <w:p>
            <w:pPr>
              <w:pStyle w:val="TableParagraph"/>
              <w:spacing w:before="45"/>
              <w:ind w:left="99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Chair Operations Sub Committee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34" w:top="1360" w:bottom="820" w:left="1660" w:right="1720"/>
        </w:sectPr>
      </w:pP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80" w:after="0"/>
        <w:ind w:left="383" w:right="0" w:hanging="269"/>
        <w:jc w:val="left"/>
        <w:rPr>
          <w:b/>
          <w:sz w:val="22"/>
        </w:rPr>
      </w:pPr>
      <w:r>
        <w:rPr>
          <w:b/>
          <w:w w:val="105"/>
          <w:sz w:val="22"/>
        </w:rPr>
        <w:t>Welcome and apologies for</w:t>
      </w:r>
      <w:r>
        <w:rPr>
          <w:b/>
          <w:spacing w:val="-11"/>
          <w:w w:val="105"/>
          <w:sz w:val="22"/>
        </w:rPr>
        <w:t> </w:t>
      </w:r>
      <w:r>
        <w:rPr>
          <w:b/>
          <w:w w:val="105"/>
          <w:sz w:val="22"/>
        </w:rPr>
        <w:t>absence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line="491" w:lineRule="auto"/>
        <w:ind w:left="552" w:right="431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Chair</w:t>
      </w:r>
      <w:r>
        <w:rPr>
          <w:spacing w:val="-18"/>
          <w:w w:val="105"/>
        </w:rPr>
        <w:t> </w:t>
      </w:r>
      <w:r>
        <w:rPr>
          <w:w w:val="105"/>
        </w:rPr>
        <w:t>welcomed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attendees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informed</w:t>
      </w:r>
      <w:r>
        <w:rPr>
          <w:spacing w:val="-17"/>
          <w:w w:val="105"/>
        </w:rPr>
        <w:t> </w:t>
      </w:r>
      <w:r>
        <w:rPr>
          <w:w w:val="105"/>
        </w:rPr>
        <w:t>them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Adrian</w:t>
      </w:r>
      <w:r>
        <w:rPr>
          <w:spacing w:val="-17"/>
          <w:w w:val="105"/>
        </w:rPr>
        <w:t> </w:t>
      </w:r>
      <w:r>
        <w:rPr>
          <w:w w:val="105"/>
        </w:rPr>
        <w:t>Boehler</w:t>
      </w:r>
      <w:r>
        <w:rPr>
          <w:spacing w:val="-17"/>
          <w:w w:val="105"/>
        </w:rPr>
        <w:t> </w:t>
      </w:r>
      <w:r>
        <w:rPr>
          <w:i/>
          <w:w w:val="105"/>
        </w:rPr>
        <w:t>(BNP </w:t>
      </w:r>
      <w:r>
        <w:rPr>
          <w:i/>
          <w:w w:val="105"/>
        </w:rPr>
        <w:t>Paribas) </w:t>
      </w:r>
      <w:r>
        <w:rPr>
          <w:w w:val="105"/>
        </w:rPr>
        <w:t>had joined the</w:t>
      </w:r>
      <w:r>
        <w:rPr>
          <w:spacing w:val="-13"/>
          <w:w w:val="105"/>
        </w:rPr>
        <w:t> </w:t>
      </w:r>
      <w:r>
        <w:rPr>
          <w:w w:val="105"/>
        </w:rPr>
        <w:t>Committee.</w:t>
      </w:r>
    </w:p>
    <w:p>
      <w:pPr>
        <w:pStyle w:val="BodyText"/>
        <w:rPr>
          <w:sz w:val="23"/>
        </w:rPr>
      </w:pPr>
    </w:p>
    <w:p>
      <w:pPr>
        <w:pStyle w:val="BodyText"/>
        <w:spacing w:line="491" w:lineRule="auto"/>
        <w:ind w:left="552"/>
      </w:pPr>
      <w:r>
        <w:rPr>
          <w:w w:val="105"/>
        </w:rPr>
        <w:t>Apologies</w:t>
      </w:r>
      <w:r>
        <w:rPr>
          <w:spacing w:val="-20"/>
          <w:w w:val="105"/>
        </w:rPr>
        <w:t> </w:t>
      </w:r>
      <w:r>
        <w:rPr>
          <w:w w:val="105"/>
        </w:rPr>
        <w:t>were</w:t>
      </w:r>
      <w:r>
        <w:rPr>
          <w:spacing w:val="-21"/>
          <w:w w:val="105"/>
        </w:rPr>
        <w:t> </w:t>
      </w:r>
      <w:r>
        <w:rPr>
          <w:w w:val="105"/>
        </w:rPr>
        <w:t>received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23"/>
          <w:w w:val="105"/>
        </w:rPr>
        <w:t> </w:t>
      </w:r>
      <w:r>
        <w:rPr>
          <w:w w:val="105"/>
        </w:rPr>
        <w:t>Adrian</w:t>
      </w:r>
      <w:r>
        <w:rPr>
          <w:spacing w:val="-19"/>
          <w:w w:val="105"/>
        </w:rPr>
        <w:t> </w:t>
      </w:r>
      <w:r>
        <w:rPr>
          <w:w w:val="105"/>
        </w:rPr>
        <w:t>Boehler,</w:t>
      </w:r>
      <w:r>
        <w:rPr>
          <w:spacing w:val="-21"/>
          <w:w w:val="105"/>
        </w:rPr>
        <w:t> </w:t>
      </w:r>
      <w:r>
        <w:rPr>
          <w:w w:val="105"/>
        </w:rPr>
        <w:t>David</w:t>
      </w:r>
      <w:r>
        <w:rPr>
          <w:spacing w:val="-20"/>
          <w:w w:val="105"/>
        </w:rPr>
        <w:t> </w:t>
      </w:r>
      <w:r>
        <w:rPr>
          <w:w w:val="105"/>
        </w:rPr>
        <w:t>Puth,</w:t>
      </w:r>
      <w:r>
        <w:rPr>
          <w:spacing w:val="-20"/>
          <w:w w:val="105"/>
        </w:rPr>
        <w:t> </w:t>
      </w:r>
      <w:r>
        <w:rPr>
          <w:w w:val="105"/>
        </w:rPr>
        <w:t>Frances</w:t>
      </w:r>
      <w:r>
        <w:rPr>
          <w:spacing w:val="-21"/>
          <w:w w:val="105"/>
        </w:rPr>
        <w:t> </w:t>
      </w:r>
      <w:r>
        <w:rPr>
          <w:w w:val="105"/>
        </w:rPr>
        <w:t>Hinden,</w:t>
      </w:r>
      <w:r>
        <w:rPr>
          <w:spacing w:val="-19"/>
          <w:w w:val="105"/>
        </w:rPr>
        <w:t> </w:t>
      </w:r>
      <w:r>
        <w:rPr>
          <w:w w:val="105"/>
        </w:rPr>
        <w:t>Galina Dimitrova, Zar Amrolia, Chris Allen and Isabelle</w:t>
      </w:r>
      <w:r>
        <w:rPr>
          <w:spacing w:val="-33"/>
          <w:w w:val="105"/>
        </w:rPr>
        <w:t> </w:t>
      </w:r>
      <w:r>
        <w:rPr>
          <w:w w:val="105"/>
        </w:rPr>
        <w:t>Dennigan.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384" w:val="left" w:leader="none"/>
        </w:tabs>
        <w:spacing w:line="240" w:lineRule="auto" w:before="0" w:after="0"/>
        <w:ind w:left="383" w:right="0" w:hanging="269"/>
        <w:jc w:val="left"/>
      </w:pPr>
      <w:r>
        <w:rPr>
          <w:w w:val="105"/>
        </w:rPr>
        <w:t>Minutes of 11 May meeting and matters</w:t>
      </w:r>
      <w:r>
        <w:rPr>
          <w:spacing w:val="-23"/>
          <w:w w:val="105"/>
        </w:rPr>
        <w:t> </w:t>
      </w:r>
      <w:r>
        <w:rPr>
          <w:w w:val="105"/>
        </w:rPr>
        <w:t>arising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</w:rPr>
      </w:pPr>
    </w:p>
    <w:p>
      <w:pPr>
        <w:pStyle w:val="BodyText"/>
        <w:ind w:left="552"/>
      </w:pPr>
      <w:r>
        <w:rPr>
          <w:w w:val="105"/>
        </w:rPr>
        <w:t>The minutes of the May meeting were agreed.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384" w:val="left" w:leader="none"/>
        </w:tabs>
        <w:spacing w:line="240" w:lineRule="auto" w:before="0" w:after="0"/>
        <w:ind w:left="383" w:right="0" w:hanging="269"/>
        <w:jc w:val="left"/>
      </w:pPr>
      <w:r>
        <w:rPr>
          <w:w w:val="105"/>
        </w:rPr>
        <w:t>Conduct and Fair Outcomes</w:t>
      </w:r>
      <w:r>
        <w:rPr>
          <w:spacing w:val="-10"/>
          <w:w w:val="105"/>
        </w:rPr>
        <w:t> </w:t>
      </w:r>
      <w:r>
        <w:rPr>
          <w:w w:val="105"/>
        </w:rPr>
        <w:t>Presentation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</w:rPr>
      </w:pPr>
    </w:p>
    <w:p>
      <w:pPr>
        <w:pStyle w:val="BodyText"/>
        <w:spacing w:line="491" w:lineRule="auto"/>
        <w:ind w:left="552" w:right="431"/>
      </w:pPr>
      <w:r>
        <w:rPr>
          <w:w w:val="105"/>
        </w:rPr>
        <w:t>Tom Jacques </w:t>
      </w:r>
      <w:r>
        <w:rPr>
          <w:i/>
          <w:w w:val="105"/>
        </w:rPr>
        <w:t>(Greenwich Associates) </w:t>
      </w:r>
      <w:r>
        <w:rPr>
          <w:w w:val="105"/>
        </w:rPr>
        <w:t>provided a presentation summarising some of the initial findings from a pilot survey they conducted on conduct and fair outcomes in the FX market. Attendees discussed: (i) how fair outcomes can be defined and determined;</w:t>
      </w:r>
      <w:r>
        <w:rPr>
          <w:spacing w:val="-21"/>
          <w:w w:val="105"/>
        </w:rPr>
        <w:t> </w:t>
      </w:r>
      <w:r>
        <w:rPr>
          <w:w w:val="105"/>
        </w:rPr>
        <w:t>(ii)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scope</w:t>
      </w:r>
      <w:r>
        <w:rPr>
          <w:spacing w:val="-21"/>
          <w:w w:val="105"/>
        </w:rPr>
        <w:t>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broad-based</w:t>
      </w:r>
      <w:r>
        <w:rPr>
          <w:spacing w:val="-21"/>
          <w:w w:val="105"/>
        </w:rPr>
        <w:t> </w:t>
      </w:r>
      <w:r>
        <w:rPr>
          <w:w w:val="105"/>
        </w:rPr>
        <w:t>independent</w:t>
      </w:r>
      <w:r>
        <w:rPr>
          <w:spacing w:val="-21"/>
          <w:w w:val="105"/>
        </w:rPr>
        <w:t> </w:t>
      </w:r>
      <w:r>
        <w:rPr>
          <w:w w:val="105"/>
        </w:rPr>
        <w:t>surveys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provide</w:t>
      </w:r>
      <w:r>
        <w:rPr>
          <w:spacing w:val="-22"/>
          <w:w w:val="105"/>
        </w:rPr>
        <w:t> </w:t>
      </w:r>
      <w:r>
        <w:rPr>
          <w:w w:val="105"/>
        </w:rPr>
        <w:t>information on conduct standards across the industry and how they can be used to improve standards and; (iii) the importance of client feedback and an understanding of what the key components of fair outcomes are from their perspective. Tom Jacques noted that</w:t>
      </w:r>
      <w:r>
        <w:rPr>
          <w:spacing w:val="-15"/>
          <w:w w:val="105"/>
        </w:rPr>
        <w:t> </w:t>
      </w:r>
      <w:r>
        <w:rPr>
          <w:w w:val="105"/>
        </w:rPr>
        <w:t>Greenwich</w:t>
      </w:r>
      <w:r>
        <w:rPr>
          <w:spacing w:val="-15"/>
          <w:w w:val="105"/>
        </w:rPr>
        <w:t> </w:t>
      </w:r>
      <w:r>
        <w:rPr>
          <w:w w:val="105"/>
        </w:rPr>
        <w:t>had</w:t>
      </w:r>
      <w:r>
        <w:rPr>
          <w:spacing w:val="-15"/>
          <w:w w:val="105"/>
        </w:rPr>
        <w:t> </w:t>
      </w:r>
      <w:r>
        <w:rPr>
          <w:w w:val="105"/>
        </w:rPr>
        <w:t>further</w:t>
      </w:r>
      <w:r>
        <w:rPr>
          <w:spacing w:val="-15"/>
          <w:w w:val="105"/>
        </w:rPr>
        <w:t> </w:t>
      </w:r>
      <w:r>
        <w:rPr>
          <w:w w:val="105"/>
        </w:rPr>
        <w:t>refined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survey</w:t>
      </w:r>
      <w:r>
        <w:rPr>
          <w:spacing w:val="-13"/>
          <w:w w:val="105"/>
        </w:rPr>
        <w:t> </w:t>
      </w:r>
      <w:r>
        <w:rPr>
          <w:w w:val="105"/>
        </w:rPr>
        <w:t>questions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pilot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were looking to incorporate similar questions into their fixed income, cash equities and corporate interest rate derivatives programmes</w:t>
      </w:r>
      <w:r>
        <w:rPr>
          <w:spacing w:val="-22"/>
          <w:w w:val="105"/>
        </w:rPr>
        <w:t> </w:t>
      </w:r>
      <w:r>
        <w:rPr>
          <w:w w:val="105"/>
        </w:rPr>
        <w:t>globally.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384" w:val="left" w:leader="none"/>
        </w:tabs>
        <w:spacing w:line="240" w:lineRule="auto" w:before="0" w:after="0"/>
        <w:ind w:left="383" w:right="0" w:hanging="269"/>
        <w:jc w:val="left"/>
      </w:pPr>
      <w:r>
        <w:rPr>
          <w:w w:val="105"/>
        </w:rPr>
        <w:t>FX Global</w:t>
      </w:r>
      <w:r>
        <w:rPr>
          <w:spacing w:val="-5"/>
          <w:w w:val="105"/>
        </w:rPr>
        <w:t> </w:t>
      </w:r>
      <w:r>
        <w:rPr>
          <w:w w:val="105"/>
        </w:rPr>
        <w:t>Code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</w:rPr>
      </w:pPr>
    </w:p>
    <w:p>
      <w:pPr>
        <w:spacing w:line="489" w:lineRule="auto" w:before="0"/>
        <w:ind w:left="552" w:right="431" w:firstLine="0"/>
        <w:jc w:val="left"/>
        <w:rPr>
          <w:sz w:val="22"/>
        </w:rPr>
      </w:pPr>
      <w:r>
        <w:rPr>
          <w:w w:val="105"/>
          <w:sz w:val="22"/>
        </w:rPr>
        <w:t>Guy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Debelle</w:t>
      </w:r>
      <w:r>
        <w:rPr>
          <w:spacing w:val="-18"/>
          <w:w w:val="105"/>
          <w:sz w:val="22"/>
        </w:rPr>
        <w:t> </w:t>
      </w:r>
      <w:r>
        <w:rPr>
          <w:i/>
          <w:w w:val="105"/>
          <w:sz w:val="22"/>
        </w:rPr>
        <w:t>(Reserve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2"/>
        </w:rPr>
        <w:t>Bank</w:t>
      </w:r>
      <w:r>
        <w:rPr>
          <w:i/>
          <w:spacing w:val="-19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21"/>
          <w:w w:val="105"/>
          <w:sz w:val="22"/>
        </w:rPr>
        <w:t> </w:t>
      </w:r>
      <w:r>
        <w:rPr>
          <w:i/>
          <w:w w:val="105"/>
          <w:sz w:val="22"/>
        </w:rPr>
        <w:t>Australia</w:t>
      </w:r>
      <w:r>
        <w:rPr>
          <w:i/>
          <w:spacing w:val="-19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9"/>
          <w:w w:val="105"/>
          <w:sz w:val="22"/>
        </w:rPr>
        <w:t> </w:t>
      </w:r>
      <w:r>
        <w:rPr>
          <w:i/>
          <w:w w:val="105"/>
          <w:sz w:val="22"/>
        </w:rPr>
        <w:t>BIS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2"/>
        </w:rPr>
        <w:t>Foreign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2"/>
        </w:rPr>
        <w:t>Exchange</w:t>
      </w:r>
      <w:r>
        <w:rPr>
          <w:i/>
          <w:spacing w:val="-19"/>
          <w:w w:val="105"/>
          <w:sz w:val="22"/>
        </w:rPr>
        <w:t> </w:t>
      </w:r>
      <w:r>
        <w:rPr>
          <w:i/>
          <w:w w:val="105"/>
          <w:sz w:val="22"/>
        </w:rPr>
        <w:t>Working</w:t>
      </w:r>
      <w:r>
        <w:rPr>
          <w:i/>
          <w:spacing w:val="-19"/>
          <w:w w:val="105"/>
          <w:sz w:val="22"/>
        </w:rPr>
        <w:t> </w:t>
      </w:r>
      <w:r>
        <w:rPr>
          <w:i/>
          <w:w w:val="105"/>
          <w:sz w:val="22"/>
        </w:rPr>
        <w:t>Group </w:t>
      </w:r>
      <w:r>
        <w:rPr>
          <w:i/>
          <w:w w:val="105"/>
          <w:sz w:val="22"/>
        </w:rPr>
        <w:t>Chair)</w:t>
      </w:r>
      <w:r>
        <w:rPr>
          <w:i/>
          <w:spacing w:val="-17"/>
          <w:w w:val="105"/>
          <w:sz w:val="22"/>
        </w:rPr>
        <w:t> </w:t>
      </w:r>
      <w:r>
        <w:rPr>
          <w:w w:val="105"/>
          <w:sz w:val="22"/>
        </w:rPr>
        <w:t>updated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attendees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work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BIS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Foreign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Exchange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Working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Group</w:t>
      </w:r>
    </w:p>
    <w:p>
      <w:pPr>
        <w:spacing w:after="0" w:line="489" w:lineRule="auto"/>
        <w:jc w:val="left"/>
        <w:rPr>
          <w:sz w:val="22"/>
        </w:rPr>
        <w:sectPr>
          <w:pgSz w:w="12240" w:h="15840"/>
          <w:pgMar w:header="0" w:footer="634" w:top="1280" w:bottom="820" w:left="1660" w:right="1720"/>
        </w:sectPr>
      </w:pPr>
    </w:p>
    <w:p>
      <w:pPr>
        <w:pStyle w:val="BodyText"/>
        <w:spacing w:line="491" w:lineRule="auto" w:before="78"/>
        <w:ind w:left="552" w:right="431"/>
      </w:pPr>
      <w:r>
        <w:rPr>
          <w:w w:val="105"/>
        </w:rPr>
        <w:t>(FXWG) since the Phase 1 material for the FX Global Code (the ‘Code’) was published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2016.</w:t>
      </w:r>
      <w:r>
        <w:rPr>
          <w:spacing w:val="31"/>
          <w:w w:val="105"/>
        </w:rPr>
        <w:t> </w:t>
      </w:r>
      <w:r>
        <w:rPr>
          <w:w w:val="105"/>
        </w:rPr>
        <w:t>He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overview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next</w:t>
      </w:r>
      <w:r>
        <w:rPr>
          <w:spacing w:val="-13"/>
          <w:w w:val="105"/>
        </w:rPr>
        <w:t> </w:t>
      </w:r>
      <w:r>
        <w:rPr>
          <w:w w:val="105"/>
        </w:rPr>
        <w:t>steps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Phase</w:t>
      </w:r>
      <w:r>
        <w:rPr>
          <w:spacing w:val="-13"/>
          <w:w w:val="105"/>
        </w:rPr>
        <w:t> </w:t>
      </w:r>
      <w:r>
        <w:rPr>
          <w:w w:val="105"/>
        </w:rPr>
        <w:t>2 including: (i) the new topics that were being addressed; (ii) the process for the development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refinement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examples</w:t>
      </w:r>
      <w:r>
        <w:rPr>
          <w:spacing w:val="-16"/>
          <w:w w:val="105"/>
        </w:rPr>
        <w:t> </w:t>
      </w:r>
      <w:r>
        <w:rPr>
          <w:w w:val="105"/>
        </w:rPr>
        <w:t>and;</w:t>
      </w:r>
      <w:r>
        <w:rPr>
          <w:spacing w:val="-18"/>
          <w:w w:val="105"/>
        </w:rPr>
        <w:t> </w:t>
      </w:r>
      <w:r>
        <w:rPr>
          <w:w w:val="105"/>
        </w:rPr>
        <w:t>(iii)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timeframes</w:t>
      </w:r>
      <w:r>
        <w:rPr>
          <w:spacing w:val="-18"/>
          <w:w w:val="105"/>
        </w:rPr>
        <w:t> </w:t>
      </w:r>
      <w:r>
        <w:rPr>
          <w:w w:val="105"/>
        </w:rPr>
        <w:t>for engaging market participants on the Foreign Exchange Committees (FXCs). The Chair</w:t>
      </w:r>
      <w:r>
        <w:rPr>
          <w:spacing w:val="-18"/>
          <w:w w:val="105"/>
        </w:rPr>
        <w:t> </w:t>
      </w:r>
      <w:r>
        <w:rPr>
          <w:w w:val="105"/>
        </w:rPr>
        <w:t>noted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additional</w:t>
      </w:r>
      <w:r>
        <w:rPr>
          <w:spacing w:val="-17"/>
          <w:w w:val="105"/>
        </w:rPr>
        <w:t> </w:t>
      </w:r>
      <w:r>
        <w:rPr>
          <w:w w:val="105"/>
        </w:rPr>
        <w:t>FXJSC</w:t>
      </w:r>
      <w:r>
        <w:rPr>
          <w:spacing w:val="-16"/>
          <w:w w:val="105"/>
        </w:rPr>
        <w:t> </w:t>
      </w:r>
      <w:r>
        <w:rPr>
          <w:w w:val="105"/>
        </w:rPr>
        <w:t>meetings</w:t>
      </w:r>
      <w:r>
        <w:rPr>
          <w:spacing w:val="-19"/>
          <w:w w:val="105"/>
        </w:rPr>
        <w:t> </w:t>
      </w:r>
      <w:r>
        <w:rPr>
          <w:w w:val="105"/>
        </w:rPr>
        <w:t>had</w:t>
      </w:r>
      <w:r>
        <w:rPr>
          <w:spacing w:val="-17"/>
          <w:w w:val="105"/>
        </w:rPr>
        <w:t>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scheduled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discuss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draft Code text and encouraged members to submit nominations for each of the FXJSC Code review working</w:t>
      </w:r>
      <w:r>
        <w:rPr>
          <w:spacing w:val="-10"/>
          <w:w w:val="105"/>
        </w:rPr>
        <w:t> </w:t>
      </w:r>
      <w:r>
        <w:rPr>
          <w:w w:val="105"/>
        </w:rPr>
        <w:t>groups.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491" w:lineRule="auto"/>
        <w:ind w:left="552" w:right="431"/>
      </w:pPr>
      <w:r>
        <w:rPr>
          <w:w w:val="105"/>
        </w:rPr>
        <w:t>Grigoria Christodoulou </w:t>
      </w:r>
      <w:r>
        <w:rPr>
          <w:i/>
          <w:w w:val="105"/>
        </w:rPr>
        <w:t>(Bank of England) </w:t>
      </w:r>
      <w:r>
        <w:rPr>
          <w:w w:val="105"/>
        </w:rPr>
        <w:t>provided an update on the adherence workstream,</w:t>
      </w:r>
      <w:r>
        <w:rPr>
          <w:spacing w:val="-17"/>
          <w:w w:val="105"/>
        </w:rPr>
        <w:t> </w:t>
      </w:r>
      <w:r>
        <w:rPr>
          <w:w w:val="105"/>
        </w:rPr>
        <w:t>noting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adherence</w:t>
      </w:r>
      <w:r>
        <w:rPr>
          <w:spacing w:val="-18"/>
          <w:w w:val="105"/>
        </w:rPr>
        <w:t> </w:t>
      </w:r>
      <w:r>
        <w:rPr>
          <w:w w:val="105"/>
        </w:rPr>
        <w:t>initiatives</w:t>
      </w:r>
      <w:r>
        <w:rPr>
          <w:spacing w:val="-17"/>
          <w:w w:val="105"/>
        </w:rPr>
        <w:t> </w:t>
      </w:r>
      <w:r>
        <w:rPr>
          <w:w w:val="105"/>
        </w:rPr>
        <w:t>announced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2016,</w:t>
      </w:r>
      <w:r>
        <w:rPr>
          <w:spacing w:val="-19"/>
          <w:w w:val="105"/>
        </w:rPr>
        <w:t> </w:t>
      </w:r>
      <w:r>
        <w:rPr>
          <w:w w:val="105"/>
        </w:rPr>
        <w:t>including establishing a link between adherence to the Code and membership of FXCs, were being refined and expanded upon. Furthermore, the Market Participants Group (MPG)</w:t>
      </w:r>
      <w:r>
        <w:rPr>
          <w:spacing w:val="-16"/>
          <w:w w:val="105"/>
        </w:rPr>
        <w:t> </w:t>
      </w:r>
      <w:r>
        <w:rPr>
          <w:w w:val="105"/>
        </w:rPr>
        <w:t>had</w:t>
      </w:r>
      <w:r>
        <w:rPr>
          <w:spacing w:val="-16"/>
          <w:w w:val="105"/>
        </w:rPr>
        <w:t> </w:t>
      </w:r>
      <w:r>
        <w:rPr>
          <w:w w:val="105"/>
        </w:rPr>
        <w:t>established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working</w:t>
      </w:r>
      <w:r>
        <w:rPr>
          <w:spacing w:val="-15"/>
          <w:w w:val="105"/>
        </w:rPr>
        <w:t> </w:t>
      </w:r>
      <w:r>
        <w:rPr>
          <w:w w:val="105"/>
        </w:rPr>
        <w:t>group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consider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range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potential</w:t>
      </w:r>
      <w:r>
        <w:rPr>
          <w:spacing w:val="-15"/>
          <w:w w:val="105"/>
        </w:rPr>
        <w:t> </w:t>
      </w:r>
      <w:r>
        <w:rPr>
          <w:w w:val="105"/>
        </w:rPr>
        <w:t>market</w:t>
      </w:r>
      <w:r>
        <w:rPr>
          <w:spacing w:val="-16"/>
          <w:w w:val="105"/>
        </w:rPr>
        <w:t> </w:t>
      </w:r>
      <w:r>
        <w:rPr>
          <w:w w:val="105"/>
        </w:rPr>
        <w:t>based mechanisms to raise awareness of the Code and promote adherence to it as well as provide input into the overall adherence</w:t>
      </w:r>
      <w:r>
        <w:rPr>
          <w:spacing w:val="-25"/>
          <w:w w:val="105"/>
        </w:rPr>
        <w:t> </w:t>
      </w:r>
      <w:r>
        <w:rPr>
          <w:w w:val="105"/>
        </w:rPr>
        <w:t>workstream.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491" w:lineRule="auto"/>
        <w:ind w:left="552" w:right="556"/>
      </w:pPr>
      <w:r>
        <w:rPr>
          <w:w w:val="105"/>
        </w:rPr>
        <w:t>Some attendees noted that ensuring sufficient outreach, both geographically and across</w:t>
      </w:r>
      <w:r>
        <w:rPr>
          <w:spacing w:val="-15"/>
          <w:w w:val="105"/>
        </w:rPr>
        <w:t> </w:t>
      </w:r>
      <w:r>
        <w:rPr>
          <w:w w:val="105"/>
        </w:rPr>
        <w:t>different</w:t>
      </w:r>
      <w:r>
        <w:rPr>
          <w:spacing w:val="-13"/>
          <w:w w:val="105"/>
        </w:rPr>
        <w:t> </w:t>
      </w:r>
      <w:r>
        <w:rPr>
          <w:w w:val="105"/>
        </w:rPr>
        <w:t>types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institutions,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vital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promulgate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Code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support widespread adoption. Guy Debelle agreed and noted that outreach to market associations and infrastructures were key to achieving this. Accordingly, FXWG members</w:t>
      </w:r>
      <w:r>
        <w:rPr>
          <w:spacing w:val="-20"/>
          <w:w w:val="105"/>
        </w:rPr>
        <w:t> </w:t>
      </w:r>
      <w:r>
        <w:rPr>
          <w:w w:val="105"/>
        </w:rPr>
        <w:t>were</w:t>
      </w:r>
      <w:r>
        <w:rPr>
          <w:spacing w:val="-20"/>
          <w:w w:val="105"/>
        </w:rPr>
        <w:t> </w:t>
      </w:r>
      <w:r>
        <w:rPr>
          <w:w w:val="105"/>
        </w:rPr>
        <w:t>engaging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20"/>
          <w:w w:val="105"/>
        </w:rPr>
        <w:t> </w:t>
      </w:r>
      <w:r>
        <w:rPr>
          <w:w w:val="105"/>
        </w:rPr>
        <w:t>associations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infrastructures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their</w:t>
      </w:r>
      <w:r>
        <w:rPr>
          <w:spacing w:val="-20"/>
          <w:w w:val="105"/>
        </w:rPr>
        <w:t> </w:t>
      </w:r>
      <w:r>
        <w:rPr>
          <w:w w:val="105"/>
        </w:rPr>
        <w:t>jurisdiction</w:t>
      </w:r>
      <w:r>
        <w:rPr>
          <w:spacing w:val="-18"/>
          <w:w w:val="105"/>
        </w:rPr>
        <w:t> </w:t>
      </w:r>
      <w:r>
        <w:rPr>
          <w:w w:val="105"/>
        </w:rPr>
        <w:t>to understand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7"/>
          <w:w w:val="105"/>
        </w:rPr>
        <w:t> </w:t>
      </w:r>
      <w:r>
        <w:rPr>
          <w:w w:val="105"/>
        </w:rPr>
        <w:t>measures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put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place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promote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facilitate</w:t>
      </w:r>
      <w:r>
        <w:rPr>
          <w:spacing w:val="-17"/>
          <w:w w:val="105"/>
        </w:rPr>
        <w:t> </w:t>
      </w:r>
      <w:r>
        <w:rPr>
          <w:w w:val="105"/>
        </w:rPr>
        <w:t>adherence to the Code among their</w:t>
      </w:r>
      <w:r>
        <w:rPr>
          <w:spacing w:val="-11"/>
          <w:w w:val="105"/>
        </w:rPr>
        <w:t> </w:t>
      </w:r>
      <w:r>
        <w:rPr>
          <w:w w:val="105"/>
        </w:rPr>
        <w:t>members.</w:t>
      </w:r>
    </w:p>
    <w:p>
      <w:pPr>
        <w:spacing w:after="0" w:line="491" w:lineRule="auto"/>
        <w:sectPr>
          <w:pgSz w:w="12240" w:h="15840"/>
          <w:pgMar w:header="0" w:footer="634" w:top="1280" w:bottom="820" w:left="1660" w:right="1720"/>
        </w:sectPr>
      </w:pPr>
    </w:p>
    <w:p>
      <w:pPr>
        <w:pStyle w:val="Heading1"/>
        <w:numPr>
          <w:ilvl w:val="0"/>
          <w:numId w:val="1"/>
        </w:numPr>
        <w:tabs>
          <w:tab w:pos="384" w:val="left" w:leader="none"/>
        </w:tabs>
        <w:spacing w:line="240" w:lineRule="auto" w:before="80" w:after="0"/>
        <w:ind w:left="383" w:right="0" w:hanging="269"/>
        <w:jc w:val="left"/>
      </w:pPr>
      <w:r>
        <w:rPr>
          <w:w w:val="105"/>
        </w:rPr>
        <w:t>Regulatory</w:t>
      </w:r>
      <w:r>
        <w:rPr>
          <w:spacing w:val="-3"/>
          <w:w w:val="105"/>
        </w:rPr>
        <w:t> </w:t>
      </w:r>
      <w:r>
        <w:rPr>
          <w:w w:val="105"/>
        </w:rPr>
        <w:t>Update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line="491" w:lineRule="auto"/>
        <w:ind w:left="552" w:right="431"/>
      </w:pPr>
      <w:r>
        <w:rPr>
          <w:w w:val="105"/>
        </w:rPr>
        <w:t>Jamie Black </w:t>
      </w:r>
      <w:r>
        <w:rPr>
          <w:i/>
          <w:w w:val="105"/>
        </w:rPr>
        <w:t>(Financial Conduct Authority) </w:t>
      </w:r>
      <w:r>
        <w:rPr>
          <w:w w:val="105"/>
        </w:rPr>
        <w:t>provided an update on a number of regulatory matters related to FX including: (i) the MiFID II Delegated Regulation definition of foreign exchange derivative instruments which was adopted by the European</w:t>
      </w:r>
      <w:r>
        <w:rPr>
          <w:spacing w:val="-15"/>
          <w:w w:val="105"/>
        </w:rPr>
        <w:t> </w:t>
      </w:r>
      <w:r>
        <w:rPr>
          <w:w w:val="105"/>
        </w:rPr>
        <w:t>Commission</w:t>
      </w:r>
      <w:r>
        <w:rPr>
          <w:spacing w:val="-16"/>
          <w:w w:val="105"/>
        </w:rPr>
        <w:t> </w:t>
      </w:r>
      <w:r>
        <w:rPr>
          <w:w w:val="105"/>
        </w:rPr>
        <w:t>(EC)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April</w:t>
      </w:r>
      <w:r>
        <w:rPr>
          <w:spacing w:val="-16"/>
          <w:w w:val="105"/>
        </w:rPr>
        <w:t> </w:t>
      </w:r>
      <w:r>
        <w:rPr>
          <w:w w:val="105"/>
        </w:rPr>
        <w:t>2016;</w:t>
      </w:r>
      <w:r>
        <w:rPr>
          <w:spacing w:val="-16"/>
          <w:w w:val="105"/>
        </w:rPr>
        <w:t> </w:t>
      </w:r>
      <w:r>
        <w:rPr>
          <w:w w:val="105"/>
        </w:rPr>
        <w:t>(ii)</w:t>
      </w:r>
      <w:r>
        <w:rPr>
          <w:spacing w:val="-14"/>
          <w:w w:val="105"/>
        </w:rPr>
        <w:t> </w:t>
      </w:r>
      <w:r>
        <w:rPr>
          <w:w w:val="105"/>
        </w:rPr>
        <w:t>margin</w:t>
      </w:r>
      <w:r>
        <w:rPr>
          <w:spacing w:val="-15"/>
          <w:w w:val="105"/>
        </w:rPr>
        <w:t> </w:t>
      </w:r>
      <w:r>
        <w:rPr>
          <w:w w:val="105"/>
        </w:rPr>
        <w:t>requirements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non-cleared derivatives trades noting that the European Supervisory Authorities (ESAs) had published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Opinion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EC’s</w:t>
      </w:r>
      <w:r>
        <w:rPr>
          <w:spacing w:val="-17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amendments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final</w:t>
      </w:r>
      <w:r>
        <w:rPr>
          <w:spacing w:val="-19"/>
          <w:w w:val="105"/>
        </w:rPr>
        <w:t> </w:t>
      </w:r>
      <w:r>
        <w:rPr>
          <w:w w:val="105"/>
        </w:rPr>
        <w:t>draft</w:t>
      </w:r>
      <w:r>
        <w:rPr>
          <w:spacing w:val="-17"/>
          <w:w w:val="105"/>
        </w:rPr>
        <w:t> </w:t>
      </w:r>
      <w:r>
        <w:rPr>
          <w:w w:val="105"/>
        </w:rPr>
        <w:t>Regulatory Technical</w:t>
      </w:r>
      <w:r>
        <w:rPr>
          <w:spacing w:val="-16"/>
          <w:w w:val="105"/>
        </w:rPr>
        <w:t> </w:t>
      </w:r>
      <w:r>
        <w:rPr>
          <w:w w:val="105"/>
        </w:rPr>
        <w:t>Standards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September</w:t>
      </w:r>
      <w:r>
        <w:rPr>
          <w:spacing w:val="-15"/>
          <w:w w:val="105"/>
        </w:rPr>
        <w:t> </w:t>
      </w:r>
      <w:r>
        <w:rPr>
          <w:w w:val="105"/>
        </w:rPr>
        <w:t>2016</w:t>
      </w:r>
      <w:r>
        <w:rPr>
          <w:spacing w:val="-15"/>
          <w:w w:val="105"/>
        </w:rPr>
        <w:t> </w:t>
      </w:r>
      <w:r>
        <w:rPr>
          <w:w w:val="105"/>
        </w:rPr>
        <w:t>and;</w:t>
      </w:r>
      <w:r>
        <w:rPr>
          <w:spacing w:val="-16"/>
          <w:w w:val="105"/>
        </w:rPr>
        <w:t> </w:t>
      </w:r>
      <w:r>
        <w:rPr>
          <w:w w:val="105"/>
        </w:rPr>
        <w:t>(iii)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FCA</w:t>
      </w:r>
      <w:r>
        <w:rPr>
          <w:spacing w:val="-15"/>
          <w:w w:val="105"/>
        </w:rPr>
        <w:t> </w:t>
      </w:r>
      <w:r>
        <w:rPr>
          <w:w w:val="105"/>
        </w:rPr>
        <w:t>Remediation</w:t>
      </w:r>
      <w:r>
        <w:rPr>
          <w:spacing w:val="-15"/>
          <w:w w:val="105"/>
        </w:rPr>
        <w:t> </w:t>
      </w:r>
      <w:r>
        <w:rPr>
          <w:w w:val="105"/>
        </w:rPr>
        <w:t>Programme where the firms involved had completed a detailed assessment of whether their culture, governance arrangements, policies, procedures, systems and controls were appropriate and adequate to manage the risks in their business. Jamie Black noted 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FCA</w:t>
      </w:r>
      <w:r>
        <w:rPr>
          <w:spacing w:val="-14"/>
          <w:w w:val="105"/>
        </w:rPr>
        <w:t> </w:t>
      </w:r>
      <w:r>
        <w:rPr>
          <w:w w:val="105"/>
        </w:rPr>
        <w:t>had</w:t>
      </w:r>
      <w:r>
        <w:rPr>
          <w:spacing w:val="-14"/>
          <w:w w:val="105"/>
        </w:rPr>
        <w:t> </w:t>
      </w:r>
      <w:r>
        <w:rPr>
          <w:w w:val="105"/>
        </w:rPr>
        <w:t>started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see</w:t>
      </w:r>
      <w:r>
        <w:rPr>
          <w:spacing w:val="-16"/>
          <w:w w:val="105"/>
        </w:rPr>
        <w:t> </w:t>
      </w:r>
      <w:r>
        <w:rPr>
          <w:w w:val="105"/>
        </w:rPr>
        <w:t>improvements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firms’</w:t>
      </w:r>
      <w:r>
        <w:rPr>
          <w:spacing w:val="-14"/>
          <w:w w:val="105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environments,</w:t>
      </w:r>
      <w:r>
        <w:rPr>
          <w:spacing w:val="-13"/>
          <w:w w:val="105"/>
        </w:rPr>
        <w:t> </w:t>
      </w:r>
      <w:r>
        <w:rPr>
          <w:w w:val="105"/>
        </w:rPr>
        <w:t>as 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overall</w:t>
      </w:r>
      <w:r>
        <w:rPr>
          <w:spacing w:val="-10"/>
          <w:w w:val="105"/>
        </w:rPr>
        <w:t> </w:t>
      </w:r>
      <w:r>
        <w:rPr>
          <w:w w:val="105"/>
        </w:rPr>
        <w:t>culture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quality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governance</w:t>
      </w:r>
      <w:r>
        <w:rPr>
          <w:spacing w:val="-12"/>
          <w:w w:val="105"/>
        </w:rPr>
        <w:t> </w:t>
      </w:r>
      <w:r>
        <w:rPr>
          <w:w w:val="105"/>
        </w:rPr>
        <w:t>arrangements.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384" w:val="left" w:leader="none"/>
        </w:tabs>
        <w:spacing w:line="240" w:lineRule="auto" w:before="0" w:after="0"/>
        <w:ind w:left="383" w:right="0" w:hanging="269"/>
        <w:jc w:val="left"/>
      </w:pPr>
      <w:r>
        <w:rPr>
          <w:w w:val="105"/>
        </w:rPr>
        <w:t>Updates from the</w:t>
      </w:r>
      <w:r>
        <w:rPr>
          <w:spacing w:val="-8"/>
          <w:w w:val="105"/>
        </w:rPr>
        <w:t> </w:t>
      </w:r>
      <w:r>
        <w:rPr>
          <w:w w:val="105"/>
        </w:rPr>
        <w:t>sub-committees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</w:rPr>
      </w:pPr>
    </w:p>
    <w:p>
      <w:pPr>
        <w:spacing w:before="1"/>
        <w:ind w:left="552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Operations sub-committee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21"/>
        </w:rPr>
      </w:pPr>
    </w:p>
    <w:p>
      <w:pPr>
        <w:spacing w:before="0"/>
        <w:ind w:left="552" w:right="0" w:firstLine="0"/>
        <w:jc w:val="left"/>
        <w:rPr>
          <w:i/>
          <w:sz w:val="22"/>
        </w:rPr>
      </w:pPr>
      <w:r>
        <w:rPr>
          <w:w w:val="105"/>
          <w:sz w:val="22"/>
        </w:rPr>
        <w:t>Stephen Miller </w:t>
      </w:r>
      <w:r>
        <w:rPr>
          <w:i/>
          <w:w w:val="105"/>
          <w:sz w:val="22"/>
        </w:rPr>
        <w:t>(Bank of America Merrill Lynch, Operations sub-committee member)</w:t>
      </w:r>
    </w:p>
    <w:p>
      <w:pPr>
        <w:pStyle w:val="BodyText"/>
        <w:spacing w:before="1"/>
        <w:rPr>
          <w:i/>
          <w:sz w:val="23"/>
        </w:rPr>
      </w:pPr>
    </w:p>
    <w:p>
      <w:pPr>
        <w:pStyle w:val="BodyText"/>
        <w:ind w:left="552"/>
      </w:pPr>
      <w:r>
        <w:rPr>
          <w:w w:val="105"/>
        </w:rPr>
        <w:t>provided an overview of the sub-committee’s work.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</w:pPr>
    </w:p>
    <w:p>
      <w:pPr>
        <w:pStyle w:val="BodyText"/>
        <w:spacing w:line="491" w:lineRule="auto"/>
        <w:ind w:left="552" w:right="431"/>
      </w:pPr>
      <w:r>
        <w:rPr>
          <w:w w:val="105"/>
        </w:rPr>
        <w:t>The Operations sub-committee met on 7 September 2016 and discussed: (i) the resiliency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FX</w:t>
      </w:r>
      <w:r>
        <w:rPr>
          <w:spacing w:val="-15"/>
          <w:w w:val="105"/>
        </w:rPr>
        <w:t> </w:t>
      </w:r>
      <w:r>
        <w:rPr>
          <w:w w:val="105"/>
        </w:rPr>
        <w:t>market</w:t>
      </w:r>
      <w:r>
        <w:rPr>
          <w:spacing w:val="-16"/>
          <w:w w:val="105"/>
        </w:rPr>
        <w:t> </w:t>
      </w:r>
      <w:r>
        <w:rPr>
          <w:w w:val="105"/>
        </w:rPr>
        <w:t>infrastructure</w:t>
      </w:r>
      <w:r>
        <w:rPr>
          <w:spacing w:val="-19"/>
          <w:w w:val="105"/>
        </w:rPr>
        <w:t> </w:t>
      </w:r>
      <w:r>
        <w:rPr>
          <w:w w:val="105"/>
        </w:rPr>
        <w:t>around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UK</w:t>
      </w:r>
      <w:r>
        <w:rPr>
          <w:spacing w:val="-16"/>
          <w:w w:val="105"/>
        </w:rPr>
        <w:t> </w:t>
      </w:r>
      <w:r>
        <w:rPr>
          <w:w w:val="105"/>
        </w:rPr>
        <w:t>referendum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lessons learnt; (ii) the advantages and risks of increasingly automated settlement processes and;</w:t>
      </w:r>
      <w:r>
        <w:rPr>
          <w:spacing w:val="-5"/>
          <w:w w:val="105"/>
        </w:rPr>
        <w:t> </w:t>
      </w:r>
      <w:r>
        <w:rPr>
          <w:w w:val="105"/>
        </w:rPr>
        <w:t>(iii)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BIS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FXJSC</w:t>
      </w:r>
      <w:r>
        <w:rPr>
          <w:spacing w:val="-4"/>
          <w:w w:val="105"/>
        </w:rPr>
        <w:t> </w:t>
      </w:r>
      <w:r>
        <w:rPr>
          <w:w w:val="105"/>
        </w:rPr>
        <w:t>turnover</w:t>
      </w:r>
      <w:r>
        <w:rPr>
          <w:spacing w:val="-5"/>
          <w:w w:val="105"/>
        </w:rPr>
        <w:t> </w:t>
      </w:r>
      <w:r>
        <w:rPr>
          <w:w w:val="105"/>
        </w:rPr>
        <w:t>surveys.</w:t>
      </w:r>
    </w:p>
    <w:p>
      <w:pPr>
        <w:spacing w:after="0" w:line="491" w:lineRule="auto"/>
        <w:sectPr>
          <w:pgSz w:w="12240" w:h="15840"/>
          <w:pgMar w:header="0" w:footer="634" w:top="1280" w:bottom="820" w:left="1660" w:right="1720"/>
        </w:sectPr>
      </w:pPr>
    </w:p>
    <w:p>
      <w:pPr>
        <w:pStyle w:val="BodyText"/>
        <w:spacing w:line="491" w:lineRule="auto" w:before="79"/>
        <w:ind w:left="552" w:right="431"/>
      </w:pPr>
      <w:r>
        <w:rPr>
          <w:w w:val="105"/>
        </w:rPr>
        <w:t>Stephen</w:t>
      </w:r>
      <w:r>
        <w:rPr>
          <w:spacing w:val="-18"/>
          <w:w w:val="105"/>
        </w:rPr>
        <w:t> </w:t>
      </w:r>
      <w:r>
        <w:rPr>
          <w:w w:val="105"/>
        </w:rPr>
        <w:t>Miller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update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recent</w:t>
      </w:r>
      <w:r>
        <w:rPr>
          <w:spacing w:val="-16"/>
          <w:w w:val="105"/>
        </w:rPr>
        <w:t> </w:t>
      </w:r>
      <w:r>
        <w:rPr>
          <w:w w:val="105"/>
        </w:rPr>
        <w:t>membership</w:t>
      </w:r>
      <w:r>
        <w:rPr>
          <w:spacing w:val="-17"/>
          <w:w w:val="105"/>
        </w:rPr>
        <w:t> </w:t>
      </w:r>
      <w:r>
        <w:rPr>
          <w:w w:val="105"/>
        </w:rPr>
        <w:t>changes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noted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 review of the overall sub-committee composition, to ensure that it reflected the diversity of the wholesale FX market, was</w:t>
      </w:r>
      <w:r>
        <w:rPr>
          <w:spacing w:val="-26"/>
          <w:w w:val="105"/>
        </w:rPr>
        <w:t> </w:t>
      </w:r>
      <w:r>
        <w:rPr>
          <w:w w:val="105"/>
        </w:rPr>
        <w:t>ongoing.</w:t>
      </w:r>
    </w:p>
    <w:p>
      <w:pPr>
        <w:pStyle w:val="BodyText"/>
        <w:spacing w:before="2"/>
        <w:rPr>
          <w:sz w:val="23"/>
        </w:rPr>
      </w:pPr>
    </w:p>
    <w:p>
      <w:pPr>
        <w:spacing w:before="1"/>
        <w:ind w:left="552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FX Settlement Crisis Management Playbook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line="491" w:lineRule="auto"/>
        <w:ind w:left="552"/>
      </w:pPr>
      <w:r>
        <w:rPr>
          <w:w w:val="105"/>
        </w:rPr>
        <w:t>Stephen Miller reminded attendees that the Operations sub-committee had created a working</w:t>
      </w:r>
      <w:r>
        <w:rPr>
          <w:spacing w:val="-15"/>
          <w:w w:val="105"/>
        </w:rPr>
        <w:t> </w:t>
      </w:r>
      <w:r>
        <w:rPr>
          <w:w w:val="105"/>
        </w:rPr>
        <w:t>group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take</w:t>
      </w:r>
      <w:r>
        <w:rPr>
          <w:spacing w:val="-15"/>
          <w:w w:val="105"/>
        </w:rPr>
        <w:t> </w:t>
      </w:r>
      <w:r>
        <w:rPr>
          <w:w w:val="105"/>
        </w:rPr>
        <w:t>forward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actions</w:t>
      </w:r>
      <w:r>
        <w:rPr>
          <w:spacing w:val="-13"/>
          <w:w w:val="105"/>
        </w:rPr>
        <w:t> </w:t>
      </w:r>
      <w:r>
        <w:rPr>
          <w:w w:val="105"/>
        </w:rPr>
        <w:t>arising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2015</w:t>
      </w:r>
      <w:r>
        <w:rPr>
          <w:spacing w:val="-15"/>
          <w:w w:val="105"/>
        </w:rPr>
        <w:t> </w:t>
      </w:r>
      <w:r>
        <w:rPr>
          <w:w w:val="105"/>
        </w:rPr>
        <w:t>FX</w:t>
      </w:r>
      <w:r>
        <w:rPr>
          <w:spacing w:val="-14"/>
          <w:w w:val="105"/>
        </w:rPr>
        <w:t> </w:t>
      </w:r>
      <w:r>
        <w:rPr>
          <w:w w:val="105"/>
        </w:rPr>
        <w:t>sector</w:t>
      </w:r>
      <w:r>
        <w:rPr>
          <w:spacing w:val="-14"/>
          <w:w w:val="105"/>
        </w:rPr>
        <w:t> </w:t>
      </w:r>
      <w:r>
        <w:rPr>
          <w:w w:val="105"/>
        </w:rPr>
        <w:t>resilience exercise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examined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impact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failure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settlement</w:t>
      </w:r>
      <w:r>
        <w:rPr>
          <w:spacing w:val="-12"/>
          <w:w w:val="105"/>
        </w:rPr>
        <w:t> </w:t>
      </w:r>
      <w:r>
        <w:rPr>
          <w:w w:val="105"/>
        </w:rPr>
        <w:t>engine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FX</w:t>
      </w:r>
      <w:r>
        <w:rPr>
          <w:spacing w:val="-12"/>
          <w:w w:val="105"/>
        </w:rPr>
        <w:t> </w:t>
      </w:r>
      <w:r>
        <w:rPr>
          <w:w w:val="105"/>
        </w:rPr>
        <w:t>market operations.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working</w:t>
      </w:r>
      <w:r>
        <w:rPr>
          <w:spacing w:val="-18"/>
          <w:w w:val="105"/>
        </w:rPr>
        <w:t> </w:t>
      </w:r>
      <w:r>
        <w:rPr>
          <w:w w:val="105"/>
        </w:rPr>
        <w:t>group</w:t>
      </w:r>
      <w:r>
        <w:rPr>
          <w:spacing w:val="-19"/>
          <w:w w:val="105"/>
        </w:rPr>
        <w:t> </w:t>
      </w:r>
      <w:r>
        <w:rPr>
          <w:w w:val="105"/>
        </w:rPr>
        <w:t>had</w:t>
      </w:r>
      <w:r>
        <w:rPr>
          <w:spacing w:val="-18"/>
          <w:w w:val="105"/>
        </w:rPr>
        <w:t> </w:t>
      </w:r>
      <w:r>
        <w:rPr>
          <w:w w:val="105"/>
        </w:rPr>
        <w:t>focused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7"/>
          <w:w w:val="105"/>
        </w:rPr>
        <w:t> </w:t>
      </w:r>
      <w:r>
        <w:rPr>
          <w:w w:val="105"/>
        </w:rPr>
        <w:t>areas</w:t>
      </w:r>
      <w:r>
        <w:rPr>
          <w:spacing w:val="-19"/>
          <w:w w:val="105"/>
        </w:rPr>
        <w:t> </w:t>
      </w:r>
      <w:r>
        <w:rPr>
          <w:w w:val="105"/>
        </w:rPr>
        <w:t>covering</w:t>
      </w:r>
      <w:r>
        <w:rPr>
          <w:spacing w:val="-17"/>
          <w:w w:val="105"/>
        </w:rPr>
        <w:t> </w:t>
      </w:r>
      <w:r>
        <w:rPr>
          <w:w w:val="105"/>
        </w:rPr>
        <w:t>infrastructure transparency,</w:t>
      </w:r>
      <w:r>
        <w:rPr>
          <w:spacing w:val="-7"/>
          <w:w w:val="105"/>
        </w:rPr>
        <w:t> </w:t>
      </w:r>
      <w:r>
        <w:rPr>
          <w:w w:val="105"/>
        </w:rPr>
        <w:t>FX</w:t>
      </w:r>
      <w:r>
        <w:rPr>
          <w:spacing w:val="-6"/>
          <w:w w:val="105"/>
        </w:rPr>
        <w:t> </w:t>
      </w:r>
      <w:r>
        <w:rPr>
          <w:w w:val="105"/>
        </w:rPr>
        <w:t>contingency</w:t>
      </w:r>
      <w:r>
        <w:rPr>
          <w:spacing w:val="-5"/>
          <w:w w:val="105"/>
        </w:rPr>
        <w:t> </w:t>
      </w:r>
      <w:r>
        <w:rPr>
          <w:w w:val="105"/>
        </w:rPr>
        <w:t>processes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bilateral</w:t>
      </w:r>
      <w:r>
        <w:rPr>
          <w:spacing w:val="-7"/>
          <w:w w:val="105"/>
        </w:rPr>
        <w:t> </w:t>
      </w:r>
      <w:r>
        <w:rPr>
          <w:w w:val="105"/>
        </w:rPr>
        <w:t>netting</w:t>
      </w:r>
      <w:r>
        <w:rPr>
          <w:spacing w:val="-6"/>
          <w:w w:val="105"/>
        </w:rPr>
        <w:t> </w:t>
      </w:r>
      <w:r>
        <w:rPr>
          <w:w w:val="105"/>
        </w:rPr>
        <w:t>abilities.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491" w:lineRule="auto"/>
        <w:ind w:left="552" w:right="431"/>
      </w:pPr>
      <w:r>
        <w:rPr>
          <w:w w:val="105"/>
        </w:rPr>
        <w:t>The output of this working group was the FX Settlement Crisis Management Playbook (the ‘Playbook’) which set out various scenarios, trigger points and potential</w:t>
      </w:r>
      <w:r>
        <w:rPr>
          <w:spacing w:val="-19"/>
          <w:w w:val="105"/>
        </w:rPr>
        <w:t> </w:t>
      </w:r>
      <w:r>
        <w:rPr>
          <w:w w:val="105"/>
        </w:rPr>
        <w:t>solutions.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Playbook</w:t>
      </w:r>
      <w:r>
        <w:rPr>
          <w:spacing w:val="-19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endorsed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sub-committee</w:t>
      </w:r>
      <w:r>
        <w:rPr>
          <w:spacing w:val="-18"/>
          <w:w w:val="105"/>
        </w:rPr>
        <w:t> </w:t>
      </w:r>
      <w:r>
        <w:rPr>
          <w:w w:val="105"/>
        </w:rPr>
        <w:t>at their</w:t>
      </w:r>
      <w:r>
        <w:rPr>
          <w:spacing w:val="-16"/>
          <w:w w:val="105"/>
        </w:rPr>
        <w:t> </w:t>
      </w:r>
      <w:r>
        <w:rPr>
          <w:w w:val="105"/>
        </w:rPr>
        <w:t>September</w:t>
      </w:r>
      <w:r>
        <w:rPr>
          <w:spacing w:val="-15"/>
          <w:w w:val="105"/>
        </w:rPr>
        <w:t> </w:t>
      </w:r>
      <w:r>
        <w:rPr>
          <w:w w:val="105"/>
        </w:rPr>
        <w:t>meeting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would</w:t>
      </w:r>
      <w:r>
        <w:rPr>
          <w:spacing w:val="-16"/>
          <w:w w:val="105"/>
        </w:rPr>
        <w:t> </w:t>
      </w:r>
      <w:r>
        <w:rPr>
          <w:w w:val="105"/>
        </w:rPr>
        <w:t>next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presented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Bank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England’s</w:t>
      </w:r>
      <w:r>
        <w:rPr>
          <w:spacing w:val="-16"/>
          <w:w w:val="105"/>
        </w:rPr>
        <w:t> </w:t>
      </w:r>
      <w:r>
        <w:rPr>
          <w:w w:val="105"/>
        </w:rPr>
        <w:t>Cross Market</w:t>
      </w:r>
      <w:r>
        <w:rPr>
          <w:spacing w:val="-18"/>
          <w:w w:val="105"/>
        </w:rPr>
        <w:t> </w:t>
      </w:r>
      <w:r>
        <w:rPr>
          <w:w w:val="105"/>
        </w:rPr>
        <w:t>Operational</w:t>
      </w:r>
      <w:r>
        <w:rPr>
          <w:spacing w:val="-19"/>
          <w:w w:val="105"/>
        </w:rPr>
        <w:t> </w:t>
      </w:r>
      <w:r>
        <w:rPr>
          <w:w w:val="105"/>
        </w:rPr>
        <w:t>Resilience</w:t>
      </w:r>
      <w:r>
        <w:rPr>
          <w:spacing w:val="-19"/>
          <w:w w:val="105"/>
        </w:rPr>
        <w:t> </w:t>
      </w:r>
      <w:r>
        <w:rPr>
          <w:w w:val="105"/>
        </w:rPr>
        <w:t>Group</w:t>
      </w:r>
      <w:r>
        <w:rPr>
          <w:spacing w:val="-18"/>
          <w:w w:val="105"/>
        </w:rPr>
        <w:t> </w:t>
      </w:r>
      <w:r>
        <w:rPr>
          <w:w w:val="105"/>
        </w:rPr>
        <w:t>(CMORG)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sponsor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work.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491" w:lineRule="auto" w:before="1"/>
        <w:ind w:left="552" w:right="431"/>
      </w:pPr>
      <w:r>
        <w:rPr>
          <w:w w:val="105"/>
        </w:rPr>
        <w:t>Attendees agreed that the Playbook was valuable in providing a common operations framework</w:t>
      </w:r>
      <w:r>
        <w:rPr>
          <w:spacing w:val="-16"/>
          <w:w w:val="105"/>
        </w:rPr>
        <w:t> </w:t>
      </w:r>
      <w:r>
        <w:rPr>
          <w:w w:val="105"/>
        </w:rPr>
        <w:t>across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large</w:t>
      </w:r>
      <w:r>
        <w:rPr>
          <w:spacing w:val="-15"/>
          <w:w w:val="105"/>
        </w:rPr>
        <w:t> </w:t>
      </w:r>
      <w:r>
        <w:rPr>
          <w:w w:val="105"/>
        </w:rPr>
        <w:t>sector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market.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Chair</w:t>
      </w:r>
      <w:r>
        <w:rPr>
          <w:spacing w:val="-15"/>
          <w:w w:val="105"/>
        </w:rPr>
        <w:t> </w:t>
      </w:r>
      <w:r>
        <w:rPr>
          <w:w w:val="105"/>
        </w:rPr>
        <w:t>thanked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Operations</w:t>
      </w:r>
      <w:r>
        <w:rPr>
          <w:spacing w:val="-15"/>
          <w:w w:val="105"/>
        </w:rPr>
        <w:t> </w:t>
      </w:r>
      <w:r>
        <w:rPr>
          <w:w w:val="105"/>
        </w:rPr>
        <w:t>sub- committee for their work and remarked that it was important that the Playbook continued to evolve in line with changes in market</w:t>
      </w:r>
      <w:r>
        <w:rPr>
          <w:spacing w:val="-37"/>
          <w:w w:val="105"/>
        </w:rPr>
        <w:t> </w:t>
      </w:r>
      <w:r>
        <w:rPr>
          <w:w w:val="105"/>
        </w:rPr>
        <w:t>structure.</w:t>
      </w:r>
    </w:p>
    <w:p>
      <w:pPr>
        <w:spacing w:after="0" w:line="491" w:lineRule="auto"/>
        <w:sectPr>
          <w:pgSz w:w="12240" w:h="15840"/>
          <w:pgMar w:header="0" w:footer="634" w:top="1280" w:bottom="820" w:left="1660" w:right="1720"/>
        </w:sectPr>
      </w:pPr>
    </w:p>
    <w:p>
      <w:pPr>
        <w:pStyle w:val="Heading1"/>
        <w:numPr>
          <w:ilvl w:val="0"/>
          <w:numId w:val="1"/>
        </w:numPr>
        <w:tabs>
          <w:tab w:pos="384" w:val="left" w:leader="none"/>
        </w:tabs>
        <w:spacing w:line="240" w:lineRule="auto" w:before="80" w:after="0"/>
        <w:ind w:left="383" w:right="0" w:hanging="269"/>
        <w:jc w:val="left"/>
      </w:pPr>
      <w:r>
        <w:rPr>
          <w:w w:val="105"/>
        </w:rPr>
        <w:t>Discussion of recent market</w:t>
      </w:r>
      <w:r>
        <w:rPr>
          <w:spacing w:val="-13"/>
          <w:w w:val="105"/>
        </w:rPr>
        <w:t> </w:t>
      </w:r>
      <w:r>
        <w:rPr>
          <w:w w:val="105"/>
        </w:rPr>
        <w:t>developments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line="491" w:lineRule="auto"/>
        <w:ind w:left="552" w:right="431"/>
      </w:pPr>
      <w:r>
        <w:rPr>
          <w:w w:val="105"/>
        </w:rPr>
        <w:t>James O’Connor </w:t>
      </w:r>
      <w:r>
        <w:rPr>
          <w:i/>
          <w:w w:val="105"/>
        </w:rPr>
        <w:t>(Bank of England) </w:t>
      </w:r>
      <w:r>
        <w:rPr>
          <w:w w:val="105"/>
        </w:rPr>
        <w:t>provided an overview of FX market developments</w:t>
      </w:r>
      <w:r>
        <w:rPr>
          <w:spacing w:val="-22"/>
          <w:w w:val="105"/>
        </w:rPr>
        <w:t> </w:t>
      </w:r>
      <w:r>
        <w:rPr>
          <w:w w:val="105"/>
        </w:rPr>
        <w:t>since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May</w:t>
      </w:r>
      <w:r>
        <w:rPr>
          <w:spacing w:val="-20"/>
          <w:w w:val="105"/>
        </w:rPr>
        <w:t> </w:t>
      </w:r>
      <w:r>
        <w:rPr>
          <w:w w:val="105"/>
        </w:rPr>
        <w:t>FXJSC</w:t>
      </w:r>
      <w:r>
        <w:rPr>
          <w:spacing w:val="-20"/>
          <w:w w:val="105"/>
        </w:rPr>
        <w:t> </w:t>
      </w:r>
      <w:r>
        <w:rPr>
          <w:w w:val="105"/>
        </w:rPr>
        <w:t>meeting,</w:t>
      </w:r>
      <w:r>
        <w:rPr>
          <w:spacing w:val="-21"/>
          <w:w w:val="105"/>
        </w:rPr>
        <w:t> </w:t>
      </w:r>
      <w:r>
        <w:rPr>
          <w:w w:val="105"/>
        </w:rPr>
        <w:t>focusing</w:t>
      </w:r>
      <w:r>
        <w:rPr>
          <w:spacing w:val="-21"/>
          <w:w w:val="105"/>
        </w:rPr>
        <w:t> </w:t>
      </w:r>
      <w:r>
        <w:rPr>
          <w:w w:val="105"/>
        </w:rPr>
        <w:t>on</w:t>
      </w:r>
      <w:r>
        <w:rPr>
          <w:spacing w:val="-20"/>
          <w:w w:val="105"/>
        </w:rPr>
        <w:t> </w:t>
      </w:r>
      <w:r>
        <w:rPr>
          <w:w w:val="105"/>
        </w:rPr>
        <w:t>market</w:t>
      </w:r>
      <w:r>
        <w:rPr>
          <w:spacing w:val="-21"/>
          <w:w w:val="105"/>
        </w:rPr>
        <w:t> </w:t>
      </w:r>
      <w:r>
        <w:rPr>
          <w:w w:val="105"/>
        </w:rPr>
        <w:t>functioning</w:t>
      </w:r>
      <w:r>
        <w:rPr>
          <w:spacing w:val="-21"/>
          <w:w w:val="105"/>
        </w:rPr>
        <w:t> </w:t>
      </w:r>
      <w:r>
        <w:rPr>
          <w:w w:val="105"/>
        </w:rPr>
        <w:t>around the</w:t>
      </w:r>
      <w:r>
        <w:rPr>
          <w:spacing w:val="-14"/>
          <w:w w:val="105"/>
        </w:rPr>
        <w:t> </w:t>
      </w:r>
      <w:r>
        <w:rPr>
          <w:w w:val="105"/>
        </w:rPr>
        <w:t>UK</w:t>
      </w:r>
      <w:r>
        <w:rPr>
          <w:spacing w:val="-13"/>
          <w:w w:val="105"/>
        </w:rPr>
        <w:t> </w:t>
      </w:r>
      <w:r>
        <w:rPr>
          <w:w w:val="105"/>
        </w:rPr>
        <w:t>referendum.</w:t>
      </w:r>
      <w:r>
        <w:rPr>
          <w:spacing w:val="30"/>
          <w:w w:val="105"/>
        </w:rPr>
        <w:t> </w:t>
      </w:r>
      <w:r>
        <w:rPr>
          <w:w w:val="105"/>
        </w:rPr>
        <w:t>Attendees</w:t>
      </w:r>
      <w:r>
        <w:rPr>
          <w:spacing w:val="-14"/>
          <w:w w:val="105"/>
        </w:rPr>
        <w:t> </w:t>
      </w:r>
      <w:r>
        <w:rPr>
          <w:w w:val="105"/>
        </w:rPr>
        <w:t>broadly</w:t>
      </w:r>
      <w:r>
        <w:rPr>
          <w:spacing w:val="-12"/>
          <w:w w:val="105"/>
        </w:rPr>
        <w:t> </w:t>
      </w:r>
      <w:r>
        <w:rPr>
          <w:w w:val="105"/>
        </w:rPr>
        <w:t>agreed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were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few</w:t>
      </w:r>
      <w:r>
        <w:rPr>
          <w:spacing w:val="-14"/>
          <w:w w:val="105"/>
        </w:rPr>
        <w:t> </w:t>
      </w:r>
      <w:r>
        <w:rPr>
          <w:w w:val="105"/>
        </w:rPr>
        <w:t>factors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had contributed to the FX market’s resiliency around this event including: (i) the UK referendum</w:t>
      </w:r>
      <w:r>
        <w:rPr>
          <w:spacing w:val="-16"/>
          <w:w w:val="105"/>
        </w:rPr>
        <w:t> </w:t>
      </w:r>
      <w:r>
        <w:rPr>
          <w:w w:val="105"/>
        </w:rPr>
        <w:t>was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known</w:t>
      </w:r>
      <w:r>
        <w:rPr>
          <w:spacing w:val="-16"/>
          <w:w w:val="105"/>
        </w:rPr>
        <w:t> </w:t>
      </w:r>
      <w:r>
        <w:rPr>
          <w:w w:val="105"/>
        </w:rPr>
        <w:t>event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thus</w:t>
      </w:r>
      <w:r>
        <w:rPr>
          <w:spacing w:val="-15"/>
          <w:w w:val="105"/>
        </w:rPr>
        <w:t> </w:t>
      </w:r>
      <w:r>
        <w:rPr>
          <w:w w:val="105"/>
        </w:rPr>
        <w:t>firms</w:t>
      </w:r>
      <w:r>
        <w:rPr>
          <w:spacing w:val="-15"/>
          <w:w w:val="105"/>
        </w:rPr>
        <w:t> </w:t>
      </w:r>
      <w:r>
        <w:rPr>
          <w:w w:val="105"/>
        </w:rPr>
        <w:t>had</w:t>
      </w:r>
      <w:r>
        <w:rPr>
          <w:spacing w:val="-16"/>
          <w:w w:val="105"/>
        </w:rPr>
        <w:t> </w:t>
      </w:r>
      <w:r>
        <w:rPr>
          <w:w w:val="105"/>
        </w:rPr>
        <w:t>undertaken</w:t>
      </w:r>
      <w:r>
        <w:rPr>
          <w:spacing w:val="-14"/>
          <w:w w:val="105"/>
        </w:rPr>
        <w:t> </w:t>
      </w:r>
      <w:r>
        <w:rPr>
          <w:w w:val="105"/>
        </w:rPr>
        <w:t>extensive</w:t>
      </w:r>
      <w:r>
        <w:rPr>
          <w:spacing w:val="-15"/>
          <w:w w:val="105"/>
        </w:rPr>
        <w:t> </w:t>
      </w:r>
      <w:r>
        <w:rPr>
          <w:w w:val="105"/>
        </w:rPr>
        <w:t>planning</w:t>
      </w:r>
      <w:r>
        <w:rPr>
          <w:spacing w:val="-16"/>
          <w:w w:val="105"/>
        </w:rPr>
        <w:t> </w:t>
      </w:r>
      <w:r>
        <w:rPr>
          <w:w w:val="105"/>
        </w:rPr>
        <w:t>to reduce other risks such as by ensuring sufficient resourcing was in place across business</w:t>
      </w:r>
      <w:r>
        <w:rPr>
          <w:spacing w:val="-15"/>
          <w:w w:val="105"/>
        </w:rPr>
        <w:t> </w:t>
      </w:r>
      <w:r>
        <w:rPr>
          <w:w w:val="105"/>
        </w:rPr>
        <w:t>lines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avoiding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7"/>
          <w:w w:val="105"/>
        </w:rPr>
        <w:t> </w:t>
      </w:r>
      <w:r>
        <w:rPr>
          <w:w w:val="105"/>
        </w:rPr>
        <w:t>developments</w:t>
      </w:r>
      <w:r>
        <w:rPr>
          <w:spacing w:val="-14"/>
          <w:w w:val="105"/>
        </w:rPr>
        <w:t> </w:t>
      </w:r>
      <w:r>
        <w:rPr>
          <w:w w:val="105"/>
        </w:rPr>
        <w:t>around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ensure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more stable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environment;</w:t>
      </w:r>
      <w:r>
        <w:rPr>
          <w:spacing w:val="-15"/>
          <w:w w:val="105"/>
        </w:rPr>
        <w:t> </w:t>
      </w:r>
      <w:r>
        <w:rPr>
          <w:w w:val="105"/>
        </w:rPr>
        <w:t>(ii)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steady</w:t>
      </w:r>
      <w:r>
        <w:rPr>
          <w:spacing w:val="-14"/>
          <w:w w:val="105"/>
        </w:rPr>
        <w:t> </w:t>
      </w:r>
      <w:r>
        <w:rPr>
          <w:w w:val="105"/>
        </w:rPr>
        <w:t>flow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news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results</w:t>
      </w:r>
      <w:r>
        <w:rPr>
          <w:spacing w:val="-15"/>
          <w:w w:val="105"/>
        </w:rPr>
        <w:t> </w:t>
      </w:r>
      <w:r>
        <w:rPr>
          <w:w w:val="105"/>
        </w:rPr>
        <w:t>were</w:t>
      </w:r>
      <w:r>
        <w:rPr>
          <w:spacing w:val="-17"/>
          <w:w w:val="105"/>
        </w:rPr>
        <w:t> </w:t>
      </w:r>
      <w:r>
        <w:rPr>
          <w:w w:val="105"/>
        </w:rPr>
        <w:t>published was likely to have reduced sudden and sharp market moves and; (iii) appropriate adjustments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risk</w:t>
      </w:r>
      <w:r>
        <w:rPr>
          <w:spacing w:val="-16"/>
          <w:w w:val="105"/>
        </w:rPr>
        <w:t> </w:t>
      </w:r>
      <w:r>
        <w:rPr>
          <w:w w:val="105"/>
        </w:rPr>
        <w:t>appetite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active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client</w:t>
      </w:r>
      <w:r>
        <w:rPr>
          <w:spacing w:val="-15"/>
          <w:w w:val="105"/>
        </w:rPr>
        <w:t> </w:t>
      </w:r>
      <w:r>
        <w:rPr>
          <w:w w:val="105"/>
        </w:rPr>
        <w:t>expectations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banks. Attendees</w:t>
      </w:r>
      <w:r>
        <w:rPr>
          <w:spacing w:val="-15"/>
          <w:w w:val="105"/>
        </w:rPr>
        <w:t> </w:t>
      </w:r>
      <w:r>
        <w:rPr>
          <w:w w:val="105"/>
        </w:rPr>
        <w:t>discussed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FX</w:t>
      </w:r>
      <w:r>
        <w:rPr>
          <w:spacing w:val="-11"/>
          <w:w w:val="105"/>
        </w:rPr>
        <w:t> </w:t>
      </w:r>
      <w:r>
        <w:rPr>
          <w:w w:val="105"/>
        </w:rPr>
        <w:t>market’s</w:t>
      </w:r>
      <w:r>
        <w:rPr>
          <w:spacing w:val="-14"/>
          <w:w w:val="105"/>
        </w:rPr>
        <w:t> </w:t>
      </w:r>
      <w:r>
        <w:rPr>
          <w:w w:val="105"/>
        </w:rPr>
        <w:t>reaction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resiliency</w:t>
      </w:r>
      <w:r>
        <w:rPr>
          <w:spacing w:val="-12"/>
          <w:w w:val="105"/>
        </w:rPr>
        <w:t> </w:t>
      </w:r>
      <w:r>
        <w:rPr>
          <w:w w:val="105"/>
        </w:rPr>
        <w:t>might</w:t>
      </w:r>
      <w:r>
        <w:rPr>
          <w:spacing w:val="-14"/>
          <w:w w:val="105"/>
        </w:rPr>
        <w:t> </w:t>
      </w:r>
      <w:r>
        <w:rPr>
          <w:w w:val="105"/>
        </w:rPr>
        <w:t>differ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 case of an unexpected</w:t>
      </w:r>
      <w:r>
        <w:rPr>
          <w:spacing w:val="-10"/>
          <w:w w:val="105"/>
        </w:rPr>
        <w:t> </w:t>
      </w:r>
      <w:r>
        <w:rPr>
          <w:w w:val="105"/>
        </w:rPr>
        <w:t>event.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491" w:lineRule="auto"/>
        <w:ind w:left="552" w:right="431"/>
      </w:pP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outlook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major</w:t>
      </w:r>
      <w:r>
        <w:rPr>
          <w:spacing w:val="-15"/>
          <w:w w:val="105"/>
        </w:rPr>
        <w:t> </w:t>
      </w:r>
      <w:r>
        <w:rPr>
          <w:w w:val="105"/>
        </w:rPr>
        <w:t>currency</w:t>
      </w:r>
      <w:r>
        <w:rPr>
          <w:spacing w:val="-16"/>
          <w:w w:val="105"/>
        </w:rPr>
        <w:t> </w:t>
      </w:r>
      <w:r>
        <w:rPr>
          <w:w w:val="105"/>
        </w:rPr>
        <w:t>pairs</w:t>
      </w:r>
      <w:r>
        <w:rPr>
          <w:spacing w:val="-16"/>
          <w:w w:val="105"/>
        </w:rPr>
        <w:t> </w:t>
      </w:r>
      <w:r>
        <w:rPr>
          <w:w w:val="105"/>
        </w:rPr>
        <w:t>up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year-end,</w:t>
      </w:r>
      <w:r>
        <w:rPr>
          <w:spacing w:val="-16"/>
          <w:w w:val="105"/>
        </w:rPr>
        <w:t> </w:t>
      </w:r>
      <w:r>
        <w:rPr>
          <w:w w:val="105"/>
        </w:rPr>
        <w:t>attendees</w:t>
      </w:r>
      <w:r>
        <w:rPr>
          <w:spacing w:val="-16"/>
          <w:w w:val="105"/>
        </w:rPr>
        <w:t> </w:t>
      </w:r>
      <w:r>
        <w:rPr>
          <w:w w:val="105"/>
        </w:rPr>
        <w:t>thought</w:t>
      </w:r>
      <w:r>
        <w:rPr>
          <w:spacing w:val="-16"/>
          <w:w w:val="105"/>
        </w:rPr>
        <w:t> </w:t>
      </w:r>
      <w:r>
        <w:rPr>
          <w:w w:val="105"/>
        </w:rPr>
        <w:t>there were a variety of factors that could cause a repositioning in the market including central bank policy announcements, the result of the US election and the impact caused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anticipated</w:t>
      </w:r>
      <w:r>
        <w:rPr>
          <w:spacing w:val="-7"/>
          <w:w w:val="105"/>
        </w:rPr>
        <w:t> </w:t>
      </w:r>
      <w:r>
        <w:rPr>
          <w:w w:val="105"/>
        </w:rPr>
        <w:t>announcement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UK</w:t>
      </w:r>
      <w:r>
        <w:rPr>
          <w:spacing w:val="-7"/>
          <w:w w:val="105"/>
        </w:rPr>
        <w:t> </w:t>
      </w:r>
      <w:r>
        <w:rPr>
          <w:w w:val="105"/>
        </w:rPr>
        <w:t>invoking</w:t>
      </w:r>
      <w:r>
        <w:rPr>
          <w:spacing w:val="-7"/>
          <w:w w:val="105"/>
        </w:rPr>
        <w:t> </w:t>
      </w:r>
      <w:r>
        <w:rPr>
          <w:w w:val="105"/>
        </w:rPr>
        <w:t>Article</w:t>
      </w:r>
      <w:r>
        <w:rPr>
          <w:spacing w:val="-8"/>
          <w:w w:val="105"/>
        </w:rPr>
        <w:t> </w:t>
      </w:r>
      <w:r>
        <w:rPr>
          <w:w w:val="105"/>
        </w:rPr>
        <w:t>50.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384" w:val="left" w:leader="none"/>
        </w:tabs>
        <w:spacing w:line="240" w:lineRule="auto" w:before="0" w:after="0"/>
        <w:ind w:left="383" w:right="0" w:hanging="269"/>
        <w:jc w:val="left"/>
      </w:pPr>
      <w:r>
        <w:rPr>
          <w:w w:val="105"/>
        </w:rPr>
        <w:t>BIS/FXJSC Turnover</w:t>
      </w:r>
      <w:r>
        <w:rPr>
          <w:spacing w:val="-7"/>
          <w:w w:val="105"/>
        </w:rPr>
        <w:t> </w:t>
      </w:r>
      <w:r>
        <w:rPr>
          <w:w w:val="105"/>
        </w:rPr>
        <w:t>Surveys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line="491" w:lineRule="auto"/>
        <w:ind w:left="552" w:right="431"/>
      </w:pPr>
      <w:r>
        <w:rPr>
          <w:w w:val="105"/>
        </w:rPr>
        <w:t>Chris Cox </w:t>
      </w:r>
      <w:r>
        <w:rPr>
          <w:i/>
          <w:w w:val="105"/>
        </w:rPr>
        <w:t>(Bank of England) </w:t>
      </w:r>
      <w:r>
        <w:rPr>
          <w:w w:val="105"/>
        </w:rPr>
        <w:t>provided an overview of the key themes from the recently</w:t>
      </w:r>
      <w:r>
        <w:rPr>
          <w:spacing w:val="-17"/>
          <w:w w:val="105"/>
        </w:rPr>
        <w:t> </w:t>
      </w:r>
      <w:r>
        <w:rPr>
          <w:w w:val="105"/>
        </w:rPr>
        <w:t>published</w:t>
      </w:r>
      <w:r>
        <w:rPr>
          <w:spacing w:val="-18"/>
          <w:w w:val="105"/>
        </w:rPr>
        <w:t> </w:t>
      </w:r>
      <w:r>
        <w:rPr>
          <w:w w:val="105"/>
        </w:rPr>
        <w:t>April</w:t>
      </w:r>
      <w:r>
        <w:rPr>
          <w:spacing w:val="-18"/>
          <w:w w:val="105"/>
        </w:rPr>
        <w:t> </w:t>
      </w:r>
      <w:r>
        <w:rPr>
          <w:w w:val="105"/>
        </w:rPr>
        <w:t>2016</w:t>
      </w:r>
      <w:r>
        <w:rPr>
          <w:spacing w:val="-18"/>
          <w:w w:val="105"/>
        </w:rPr>
        <w:t> </w:t>
      </w:r>
      <w:r>
        <w:rPr>
          <w:w w:val="105"/>
        </w:rPr>
        <w:t>BIS</w:t>
      </w:r>
      <w:r>
        <w:rPr>
          <w:spacing w:val="-17"/>
          <w:w w:val="105"/>
        </w:rPr>
        <w:t> </w:t>
      </w:r>
      <w:r>
        <w:rPr>
          <w:w w:val="105"/>
        </w:rPr>
        <w:t>Triennial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FXJSC</w:t>
      </w:r>
      <w:r>
        <w:rPr>
          <w:spacing w:val="-18"/>
          <w:w w:val="105"/>
        </w:rPr>
        <w:t> </w:t>
      </w:r>
      <w:r>
        <w:rPr>
          <w:w w:val="105"/>
        </w:rPr>
        <w:t>turnover</w:t>
      </w:r>
      <w:r>
        <w:rPr>
          <w:spacing w:val="-18"/>
          <w:w w:val="105"/>
        </w:rPr>
        <w:t> </w:t>
      </w:r>
      <w:r>
        <w:rPr>
          <w:w w:val="105"/>
        </w:rPr>
        <w:t>surveys.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group briefly</w:t>
      </w:r>
      <w:r>
        <w:rPr>
          <w:spacing w:val="-17"/>
          <w:w w:val="105"/>
        </w:rPr>
        <w:t> </w:t>
      </w:r>
      <w:r>
        <w:rPr>
          <w:w w:val="105"/>
        </w:rPr>
        <w:t>discussed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results,</w:t>
      </w:r>
      <w:r>
        <w:rPr>
          <w:spacing w:val="-17"/>
          <w:w w:val="105"/>
        </w:rPr>
        <w:t> </w:t>
      </w:r>
      <w:r>
        <w:rPr>
          <w:w w:val="105"/>
        </w:rPr>
        <w:t>including:</w:t>
      </w:r>
      <w:r>
        <w:rPr>
          <w:spacing w:val="-19"/>
          <w:w w:val="105"/>
        </w:rPr>
        <w:t> </w:t>
      </w:r>
      <w:r>
        <w:rPr>
          <w:w w:val="105"/>
        </w:rPr>
        <w:t>(i)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drivers</w:t>
      </w:r>
      <w:r>
        <w:rPr>
          <w:spacing w:val="-18"/>
          <w:w w:val="105"/>
        </w:rPr>
        <w:t> </w:t>
      </w:r>
      <w:r>
        <w:rPr>
          <w:w w:val="105"/>
        </w:rPr>
        <w:t>behind,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potential</w:t>
      </w:r>
      <w:r>
        <w:rPr>
          <w:spacing w:val="-18"/>
          <w:w w:val="105"/>
        </w:rPr>
        <w:t> </w:t>
      </w:r>
      <w:r>
        <w:rPr>
          <w:w w:val="105"/>
        </w:rPr>
        <w:t>impact</w:t>
      </w:r>
      <w:r>
        <w:rPr>
          <w:spacing w:val="-19"/>
          <w:w w:val="105"/>
        </w:rPr>
        <w:t> </w:t>
      </w:r>
      <w:r>
        <w:rPr>
          <w:w w:val="105"/>
        </w:rPr>
        <w:t>of, the</w:t>
      </w:r>
      <w:r>
        <w:rPr>
          <w:spacing w:val="-13"/>
          <w:w w:val="105"/>
        </w:rPr>
        <w:t> </w:t>
      </w:r>
      <w:r>
        <w:rPr>
          <w:w w:val="105"/>
        </w:rPr>
        <w:t>decline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UK’s</w:t>
      </w:r>
      <w:r>
        <w:rPr>
          <w:spacing w:val="-12"/>
          <w:w w:val="105"/>
        </w:rPr>
        <w:t> </w:t>
      </w:r>
      <w:r>
        <w:rPr>
          <w:w w:val="105"/>
        </w:rPr>
        <w:t>share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global</w:t>
      </w:r>
      <w:r>
        <w:rPr>
          <w:spacing w:val="-14"/>
          <w:w w:val="105"/>
        </w:rPr>
        <w:t> </w:t>
      </w:r>
      <w:r>
        <w:rPr>
          <w:w w:val="105"/>
        </w:rPr>
        <w:t>FX</w:t>
      </w:r>
      <w:r>
        <w:rPr>
          <w:spacing w:val="-11"/>
          <w:w w:val="105"/>
        </w:rPr>
        <w:t> </w:t>
      </w:r>
      <w:r>
        <w:rPr>
          <w:w w:val="105"/>
        </w:rPr>
        <w:t>turnover;</w:t>
      </w:r>
      <w:r>
        <w:rPr>
          <w:spacing w:val="-13"/>
          <w:w w:val="105"/>
        </w:rPr>
        <w:t> </w:t>
      </w:r>
      <w:r>
        <w:rPr>
          <w:w w:val="105"/>
        </w:rPr>
        <w:t>(ii)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continuation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existing</w:t>
      </w:r>
    </w:p>
    <w:p>
      <w:pPr>
        <w:spacing w:after="0" w:line="491" w:lineRule="auto"/>
        <w:sectPr>
          <w:pgSz w:w="12240" w:h="15840"/>
          <w:pgMar w:header="0" w:footer="634" w:top="1280" w:bottom="820" w:left="1660" w:right="1720"/>
        </w:sectPr>
      </w:pPr>
    </w:p>
    <w:p>
      <w:pPr>
        <w:pStyle w:val="BodyText"/>
        <w:spacing w:line="491" w:lineRule="auto" w:before="78"/>
        <w:ind w:left="552" w:right="1632"/>
      </w:pPr>
      <w:r>
        <w:rPr>
          <w:w w:val="105"/>
        </w:rPr>
        <w:t>trends</w:t>
      </w:r>
      <w:r>
        <w:rPr>
          <w:spacing w:val="-22"/>
          <w:w w:val="105"/>
        </w:rPr>
        <w:t> </w:t>
      </w:r>
      <w:r>
        <w:rPr>
          <w:w w:val="105"/>
        </w:rPr>
        <w:t>such</w:t>
      </w:r>
      <w:r>
        <w:rPr>
          <w:spacing w:val="-21"/>
          <w:w w:val="105"/>
        </w:rPr>
        <w:t> </w:t>
      </w:r>
      <w:r>
        <w:rPr>
          <w:w w:val="105"/>
        </w:rPr>
        <w:t>as</w:t>
      </w:r>
      <w:r>
        <w:rPr>
          <w:spacing w:val="-22"/>
          <w:w w:val="105"/>
        </w:rPr>
        <w:t> </w:t>
      </w:r>
      <w:r>
        <w:rPr>
          <w:w w:val="105"/>
        </w:rPr>
        <w:t>increased</w:t>
      </w:r>
      <w:r>
        <w:rPr>
          <w:spacing w:val="-21"/>
          <w:w w:val="105"/>
        </w:rPr>
        <w:t> </w:t>
      </w:r>
      <w:r>
        <w:rPr>
          <w:w w:val="105"/>
        </w:rPr>
        <w:t>counterparty</w:t>
      </w:r>
      <w:r>
        <w:rPr>
          <w:spacing w:val="-20"/>
          <w:w w:val="105"/>
        </w:rPr>
        <w:t> </w:t>
      </w:r>
      <w:r>
        <w:rPr>
          <w:w w:val="105"/>
        </w:rPr>
        <w:t>concentration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greater</w:t>
      </w:r>
      <w:r>
        <w:rPr>
          <w:spacing w:val="-22"/>
          <w:w w:val="105"/>
        </w:rPr>
        <w:t> </w:t>
      </w:r>
      <w:r>
        <w:rPr>
          <w:w w:val="105"/>
        </w:rPr>
        <w:t>liquidity fragmentation</w:t>
      </w:r>
      <w:r>
        <w:rPr>
          <w:spacing w:val="-9"/>
          <w:w w:val="105"/>
        </w:rPr>
        <w:t> </w:t>
      </w:r>
      <w:r>
        <w:rPr>
          <w:w w:val="105"/>
        </w:rPr>
        <w:t>and;</w:t>
      </w:r>
      <w:r>
        <w:rPr>
          <w:spacing w:val="-9"/>
          <w:w w:val="105"/>
        </w:rPr>
        <w:t> </w:t>
      </w:r>
      <w:r>
        <w:rPr>
          <w:w w:val="105"/>
        </w:rPr>
        <w:t>(iii)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Renminbi.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spacing w:before="1"/>
        <w:ind w:left="1182" w:right="1125" w:firstLine="0"/>
        <w:jc w:val="center"/>
      </w:pPr>
      <w:r>
        <w:rPr>
          <w:w w:val="105"/>
        </w:rPr>
        <w:t>The next meeting of the FXJSC will be held on 19 December 2016.</w:t>
      </w:r>
    </w:p>
    <w:sectPr>
      <w:pgSz w:w="12240" w:h="15840"/>
      <w:pgMar w:header="0" w:footer="634" w:top="1280" w:bottom="820" w:left="16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9.639999pt;margin-top:749.283508pt;width:63.95pt;height:10.4pt;mso-position-horizontal-relative:page;mso-position-vertical-relative:page;z-index:-25207091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sz w:val="15"/>
                  </w:rPr>
                </w:pPr>
                <w:r>
                  <w:rPr>
                    <w:rFonts w:ascii="Arial"/>
                    <w:sz w:val="15"/>
                  </w:rPr>
                  <w:t>Markets 946094v1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83" w:hanging="26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1228" w:hanging="2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76" w:hanging="2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24" w:hanging="2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72" w:hanging="2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20" w:hanging="2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68" w:hanging="2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16" w:hanging="2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64" w:hanging="26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383" w:hanging="269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383" w:hanging="269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43"/>
      <w:ind w:left="100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bis.org/about/factmktc/fxwg.ht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London FXJSC meeting minutes - September 2016</dc:subject>
  <dc:title>London FXJSC meeting minutes - September 2016</dc:title>
  <dcterms:created xsi:type="dcterms:W3CDTF">2020-06-01T02:01:20Z</dcterms:created>
  <dcterms:modified xsi:type="dcterms:W3CDTF">2020-06-01T02:01:20Z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2020-06-01T00:00:00Z</vt:filetime>
  </property>
</Properties>
</file>