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26 January 2005</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86" w:right="2599" w:firstLine="0"/>
        <w:jc w:val="center"/>
        <w:rPr>
          <w:rFonts w:ascii="Book Antiqua"/>
          <w:b/>
          <w:sz w:val="48"/>
        </w:rPr>
      </w:pPr>
      <w:r>
        <w:rPr>
          <w:rFonts w:ascii="Book Antiqua"/>
          <w:b/>
          <w:color w:val="231F20"/>
          <w:sz w:val="48"/>
        </w:rPr>
        <w:t>12 and 13 January 2005</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pStyle w:val="Heading1"/>
        <w:spacing w:line="266" w:lineRule="auto" w:before="423"/>
        <w:ind w:right="1340"/>
      </w:pPr>
      <w:r>
        <w:rPr>
          <w:color w:val="231F20"/>
        </w:rPr>
        <w:t>These are the minutes of the Monetary Policy Committee meeting held on 12 and 13 January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.bankofengland.co.uk/mpc/mpc0501.pdf).</w:t>
        </w:r>
      </w:hyperlink>
    </w:p>
    <w:p>
      <w:pPr>
        <w:pStyle w:val="Heading1"/>
        <w:spacing w:line="266" w:lineRule="auto" w:before="282"/>
        <w:ind w:right="283"/>
      </w:pPr>
      <w:r>
        <w:rPr>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color w:val="231F20"/>
          <w:spacing w:val="-4"/>
        </w:rPr>
        <w:t>Wednesday </w:t>
      </w:r>
      <w:r>
        <w:rPr>
          <w:color w:val="231F20"/>
        </w:rPr>
        <w:t>of the second week after the meeting takes place. </w:t>
      </w:r>
      <w:r>
        <w:rPr>
          <w:color w:val="231F20"/>
          <w:spacing w:val="-3"/>
        </w:rPr>
        <w:t>Accordingly, </w:t>
      </w:r>
      <w:r>
        <w:rPr>
          <w:color w:val="231F20"/>
        </w:rPr>
        <w:t>the minutes of the Committee meeting held on 9 and 10 February will be published on   23 February</w:t>
      </w:r>
      <w:r>
        <w:rPr>
          <w:color w:val="231F20"/>
          <w:spacing w:val="11"/>
        </w:rPr>
        <w:t> </w:t>
      </w:r>
      <w:r>
        <w:rPr>
          <w:color w:val="231F20"/>
        </w:rPr>
        <w:t>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spacing w:before="10"/>
        <w:rPr>
          <w:rFonts w:ascii="Book Antiqua"/>
          <w:sz w:val="25"/>
        </w:rPr>
      </w:pPr>
    </w:p>
    <w:p>
      <w:pPr>
        <w:spacing w:line="249" w:lineRule="auto" w:before="94"/>
        <w:ind w:left="107" w:right="581" w:firstLine="0"/>
        <w:jc w:val="left"/>
        <w:rPr>
          <w:b/>
          <w:sz w:val="27"/>
        </w:rPr>
      </w:pPr>
      <w:r>
        <w:rPr>
          <w:b/>
          <w:sz w:val="27"/>
        </w:rPr>
        <w:t>MINUTES OF THE MONETARY POLICY COMMITTEE MEETING HELD ON 12-13 JANUARY 2005</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8" w:right="429" w:firstLine="0"/>
        <w:jc w:val="left"/>
        <w:rPr>
          <w:sz w:val="24"/>
        </w:rPr>
      </w:pPr>
      <w:r>
        <w:rPr>
          <w:sz w:val="24"/>
        </w:rPr>
        <w:t>Before turning to its immediate policy decision, the Committee discussed developments in financial markets ; the international economy; money, </w:t>
      </w:r>
      <w:r>
        <w:rPr>
          <w:spacing w:val="-3"/>
          <w:sz w:val="24"/>
        </w:rPr>
        <w:t>credit, </w:t>
      </w:r>
      <w:r>
        <w:rPr>
          <w:sz w:val="24"/>
        </w:rPr>
        <w:t>demand </w:t>
      </w:r>
      <w:r>
        <w:rPr>
          <w:spacing w:val="3"/>
          <w:sz w:val="24"/>
        </w:rPr>
        <w:t>and </w:t>
      </w:r>
      <w:r>
        <w:rPr>
          <w:sz w:val="24"/>
        </w:rPr>
        <w:t>output; and wages, costs and 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72" w:firstLine="0"/>
        <w:jc w:val="left"/>
        <w:rPr>
          <w:sz w:val="24"/>
        </w:rPr>
      </w:pPr>
      <w:r>
        <w:rPr>
          <w:sz w:val="24"/>
        </w:rPr>
        <w:t>The Bank’s effective sterling exchange rate had fallen by just over 2% since the Committee’s December meeting, taking it back close to the level at the time of the November </w:t>
      </w:r>
      <w:r>
        <w:rPr>
          <w:i/>
          <w:sz w:val="24"/>
        </w:rPr>
        <w:t>Inflation Report</w:t>
      </w:r>
      <w:r>
        <w:rPr>
          <w:sz w:val="24"/>
        </w:rPr>
        <w:t>. Sterling had depreciated against all other currencies. Over the month as a whole, sterling </w:t>
      </w:r>
      <w:r>
        <w:rPr>
          <w:spacing w:val="-3"/>
          <w:sz w:val="24"/>
        </w:rPr>
        <w:t>short-term </w:t>
      </w:r>
      <w:r>
        <w:rPr>
          <w:sz w:val="24"/>
        </w:rPr>
        <w:t>market interest rates were broadly unchanged whereas US dollar and euro rates had risen. </w:t>
      </w:r>
      <w:r>
        <w:rPr>
          <w:spacing w:val="2"/>
          <w:sz w:val="24"/>
        </w:rPr>
        <w:t>That </w:t>
      </w:r>
      <w:r>
        <w:rPr>
          <w:sz w:val="24"/>
        </w:rPr>
        <w:t>pattern of exchange rate and interest rate movements seemed broadly consistent with the economic</w:t>
      </w:r>
      <w:r>
        <w:rPr>
          <w:spacing w:val="-22"/>
          <w:sz w:val="24"/>
        </w:rPr>
        <w:t> </w:t>
      </w:r>
      <w:r>
        <w:rPr>
          <w:sz w:val="24"/>
        </w:rPr>
        <w:t>news.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289" w:firstLine="0"/>
        <w:jc w:val="left"/>
        <w:rPr>
          <w:sz w:val="24"/>
        </w:rPr>
      </w:pPr>
      <w:r>
        <w:rPr>
          <w:sz w:val="24"/>
        </w:rPr>
        <w:t>The sterling money market yield curve suggested that the repo rate was expected to </w:t>
      </w:r>
      <w:r>
        <w:rPr>
          <w:spacing w:val="-2"/>
          <w:sz w:val="24"/>
        </w:rPr>
        <w:t>remain </w:t>
      </w:r>
      <w:r>
        <w:rPr>
          <w:sz w:val="24"/>
        </w:rPr>
        <w:t>unchanged for the first half of the year at least. The most recent Reuters poll of economists</w:t>
      </w:r>
      <w:r>
        <w:rPr>
          <w:spacing w:val="-32"/>
          <w:sz w:val="24"/>
        </w:rPr>
        <w:t> </w:t>
      </w:r>
      <w:r>
        <w:rPr>
          <w:sz w:val="24"/>
        </w:rPr>
        <w:t>presented a similar picture, although the range of economists’ forecasts for the end of 2005 – above and below the</w:t>
      </w:r>
      <w:r>
        <w:rPr>
          <w:spacing w:val="-4"/>
          <w:sz w:val="24"/>
        </w:rPr>
        <w:t> </w:t>
      </w:r>
      <w:r>
        <w:rPr>
          <w:sz w:val="24"/>
        </w:rPr>
        <w:t>current</w:t>
      </w:r>
      <w:r>
        <w:rPr>
          <w:spacing w:val="-4"/>
          <w:sz w:val="24"/>
        </w:rPr>
        <w:t> </w:t>
      </w:r>
      <w:r>
        <w:rPr>
          <w:sz w:val="24"/>
        </w:rPr>
        <w:t>repo</w:t>
      </w:r>
      <w:r>
        <w:rPr>
          <w:spacing w:val="-4"/>
          <w:sz w:val="24"/>
        </w:rPr>
        <w:t> </w:t>
      </w:r>
      <w:r>
        <w:rPr>
          <w:sz w:val="24"/>
        </w:rPr>
        <w:t>rate</w:t>
      </w:r>
      <w:r>
        <w:rPr>
          <w:spacing w:val="-3"/>
          <w:sz w:val="24"/>
        </w:rPr>
        <w:t> </w:t>
      </w:r>
      <w:r>
        <w:rPr>
          <w:sz w:val="24"/>
        </w:rPr>
        <w:t>of</w:t>
      </w:r>
      <w:r>
        <w:rPr>
          <w:spacing w:val="-4"/>
          <w:sz w:val="24"/>
        </w:rPr>
        <w:t> </w:t>
      </w:r>
      <w:r>
        <w:rPr>
          <w:sz w:val="24"/>
        </w:rPr>
        <w:t>4.75%</w:t>
      </w:r>
      <w:r>
        <w:rPr>
          <w:spacing w:val="-4"/>
          <w:sz w:val="24"/>
        </w:rPr>
        <w:t> </w:t>
      </w:r>
      <w:r>
        <w:rPr>
          <w:sz w:val="24"/>
        </w:rPr>
        <w:t>–</w:t>
      </w:r>
      <w:r>
        <w:rPr>
          <w:spacing w:val="-3"/>
          <w:sz w:val="24"/>
        </w:rPr>
        <w:t> </w:t>
      </w:r>
      <w:r>
        <w:rPr>
          <w:sz w:val="24"/>
        </w:rPr>
        <w:t>was</w:t>
      </w:r>
      <w:r>
        <w:rPr>
          <w:spacing w:val="-2"/>
          <w:sz w:val="24"/>
        </w:rPr>
        <w:t> </w:t>
      </w:r>
      <w:r>
        <w:rPr>
          <w:sz w:val="24"/>
        </w:rPr>
        <w:t>wider</w:t>
      </w:r>
      <w:r>
        <w:rPr>
          <w:spacing w:val="-3"/>
          <w:sz w:val="24"/>
        </w:rPr>
        <w:t> </w:t>
      </w:r>
      <w:r>
        <w:rPr>
          <w:sz w:val="24"/>
        </w:rPr>
        <w:t>than</w:t>
      </w:r>
      <w:r>
        <w:rPr>
          <w:spacing w:val="-3"/>
          <w:sz w:val="24"/>
        </w:rPr>
        <w:t> </w:t>
      </w:r>
      <w:r>
        <w:rPr>
          <w:sz w:val="24"/>
        </w:rPr>
        <w:t>the</w:t>
      </w:r>
      <w:r>
        <w:rPr>
          <w:spacing w:val="-3"/>
          <w:sz w:val="24"/>
        </w:rPr>
        <w:t> </w:t>
      </w:r>
      <w:r>
        <w:rPr>
          <w:sz w:val="24"/>
        </w:rPr>
        <w:t>range</w:t>
      </w:r>
      <w:r>
        <w:rPr>
          <w:spacing w:val="-2"/>
          <w:sz w:val="24"/>
        </w:rPr>
        <w:t> </w:t>
      </w:r>
      <w:r>
        <w:rPr>
          <w:sz w:val="24"/>
        </w:rPr>
        <w:t>of</w:t>
      </w:r>
      <w:r>
        <w:rPr>
          <w:spacing w:val="-3"/>
          <w:sz w:val="24"/>
        </w:rPr>
        <w:t> </w:t>
      </w:r>
      <w:r>
        <w:rPr>
          <w:sz w:val="24"/>
        </w:rPr>
        <w:t>forecasts</w:t>
      </w:r>
      <w:r>
        <w:rPr>
          <w:spacing w:val="-3"/>
          <w:sz w:val="24"/>
        </w:rPr>
        <w:t> </w:t>
      </w:r>
      <w:r>
        <w:rPr>
          <w:sz w:val="24"/>
        </w:rPr>
        <w:t>for</w:t>
      </w:r>
      <w:r>
        <w:rPr>
          <w:spacing w:val="-3"/>
          <w:sz w:val="24"/>
        </w:rPr>
        <w:t> </w:t>
      </w:r>
      <w:r>
        <w:rPr>
          <w:sz w:val="24"/>
        </w:rPr>
        <w:t>the</w:t>
      </w:r>
      <w:r>
        <w:rPr>
          <w:spacing w:val="-2"/>
          <w:sz w:val="24"/>
        </w:rPr>
        <w:t> </w:t>
      </w:r>
      <w:r>
        <w:rPr>
          <w:sz w:val="24"/>
        </w:rPr>
        <w:t>end</w:t>
      </w:r>
      <w:r>
        <w:rPr>
          <w:spacing w:val="-3"/>
          <w:sz w:val="24"/>
        </w:rPr>
        <w:t> </w:t>
      </w:r>
      <w:r>
        <w:rPr>
          <w:sz w:val="24"/>
        </w:rPr>
        <w:t>of</w:t>
      </w:r>
      <w:r>
        <w:rPr>
          <w:spacing w:val="-3"/>
          <w:sz w:val="24"/>
        </w:rPr>
        <w:t> </w:t>
      </w:r>
      <w:r>
        <w:rPr>
          <w:sz w:val="24"/>
        </w:rPr>
        <w:t>2004</w:t>
      </w:r>
      <w:r>
        <w:rPr>
          <w:spacing w:val="-3"/>
          <w:sz w:val="24"/>
        </w:rPr>
        <w:t> </w:t>
      </w:r>
      <w:r>
        <w:rPr>
          <w:sz w:val="24"/>
        </w:rPr>
        <w:t>had</w:t>
      </w:r>
      <w:r>
        <w:rPr>
          <w:spacing w:val="-2"/>
          <w:sz w:val="24"/>
        </w:rPr>
        <w:t> </w:t>
      </w:r>
      <w:r>
        <w:rPr>
          <w:sz w:val="24"/>
        </w:rPr>
        <w:t>been</w:t>
      </w:r>
      <w:r>
        <w:rPr>
          <w:spacing w:val="-3"/>
          <w:sz w:val="24"/>
        </w:rPr>
        <w:t> </w:t>
      </w:r>
      <w:r>
        <w:rPr>
          <w:sz w:val="24"/>
        </w:rPr>
        <w:t>in January of that year. 44 of the 45 economists surveyed had expected </w:t>
      </w:r>
      <w:r>
        <w:rPr>
          <w:spacing w:val="3"/>
          <w:sz w:val="24"/>
        </w:rPr>
        <w:t>‘no </w:t>
      </w:r>
      <w:r>
        <w:rPr>
          <w:sz w:val="24"/>
        </w:rPr>
        <w:t>change’ this</w:t>
      </w:r>
      <w:r>
        <w:rPr>
          <w:spacing w:val="-35"/>
          <w:sz w:val="24"/>
        </w:rPr>
        <w:t> </w:t>
      </w:r>
      <w:r>
        <w:rPr>
          <w:spacing w:val="-2"/>
          <w:sz w:val="24"/>
        </w:rPr>
        <w:t>month.</w:t>
      </w:r>
    </w:p>
    <w:p>
      <w:pPr>
        <w:pStyle w:val="BodyText"/>
        <w:spacing w:line="355" w:lineRule="auto" w:before="6"/>
        <w:ind w:left="108"/>
      </w:pPr>
      <w:r>
        <w:rPr/>
        <w:t>That was consistent with anecdote from market participants and the pattern of very short-term interest rates.</w:t>
      </w:r>
    </w:p>
    <w:p>
      <w:pPr>
        <w:pStyle w:val="BodyText"/>
        <w:spacing w:before="5"/>
        <w:rPr>
          <w:sz w:val="36"/>
        </w:rPr>
      </w:pPr>
    </w:p>
    <w:p>
      <w:pPr>
        <w:pStyle w:val="ListParagraph"/>
        <w:numPr>
          <w:ilvl w:val="0"/>
          <w:numId w:val="1"/>
        </w:numPr>
        <w:tabs>
          <w:tab w:pos="671" w:val="left" w:leader="none"/>
          <w:tab w:pos="672" w:val="left" w:leader="none"/>
        </w:tabs>
        <w:spacing w:line="364" w:lineRule="auto" w:before="0" w:after="0"/>
        <w:ind w:left="108" w:right="627" w:firstLine="0"/>
        <w:jc w:val="left"/>
        <w:rPr>
          <w:sz w:val="24"/>
        </w:rPr>
      </w:pPr>
      <w:r>
        <w:rPr>
          <w:sz w:val="24"/>
        </w:rPr>
        <w:t>The</w:t>
      </w:r>
      <w:r>
        <w:rPr>
          <w:spacing w:val="-6"/>
          <w:sz w:val="24"/>
        </w:rPr>
        <w:t> </w:t>
      </w:r>
      <w:r>
        <w:rPr>
          <w:sz w:val="24"/>
        </w:rPr>
        <w:t>FTSE</w:t>
      </w:r>
      <w:r>
        <w:rPr>
          <w:spacing w:val="-5"/>
          <w:sz w:val="24"/>
        </w:rPr>
        <w:t> </w:t>
      </w:r>
      <w:r>
        <w:rPr>
          <w:sz w:val="24"/>
        </w:rPr>
        <w:t>All-Share</w:t>
      </w:r>
      <w:r>
        <w:rPr>
          <w:spacing w:val="-4"/>
          <w:sz w:val="24"/>
        </w:rPr>
        <w:t> </w:t>
      </w:r>
      <w:r>
        <w:rPr>
          <w:sz w:val="24"/>
        </w:rPr>
        <w:t>index</w:t>
      </w:r>
      <w:r>
        <w:rPr>
          <w:spacing w:val="-3"/>
          <w:sz w:val="24"/>
        </w:rPr>
        <w:t> </w:t>
      </w:r>
      <w:r>
        <w:rPr>
          <w:sz w:val="24"/>
        </w:rPr>
        <w:t>had</w:t>
      </w:r>
      <w:r>
        <w:rPr>
          <w:spacing w:val="-3"/>
          <w:sz w:val="24"/>
        </w:rPr>
        <w:t> </w:t>
      </w:r>
      <w:r>
        <w:rPr>
          <w:sz w:val="24"/>
        </w:rPr>
        <w:t>risen</w:t>
      </w:r>
      <w:r>
        <w:rPr>
          <w:spacing w:val="-4"/>
          <w:sz w:val="24"/>
        </w:rPr>
        <w:t> </w:t>
      </w:r>
      <w:r>
        <w:rPr>
          <w:sz w:val="24"/>
        </w:rPr>
        <w:t>by</w:t>
      </w:r>
      <w:r>
        <w:rPr>
          <w:spacing w:val="-4"/>
          <w:sz w:val="24"/>
        </w:rPr>
        <w:t> </w:t>
      </w:r>
      <w:r>
        <w:rPr>
          <w:sz w:val="24"/>
        </w:rPr>
        <w:t>more</w:t>
      </w:r>
      <w:r>
        <w:rPr>
          <w:spacing w:val="-2"/>
          <w:sz w:val="24"/>
        </w:rPr>
        <w:t> </w:t>
      </w:r>
      <w:r>
        <w:rPr>
          <w:sz w:val="24"/>
        </w:rPr>
        <w:t>than</w:t>
      </w:r>
      <w:r>
        <w:rPr>
          <w:spacing w:val="-3"/>
          <w:sz w:val="24"/>
        </w:rPr>
        <w:t> </w:t>
      </w:r>
      <w:r>
        <w:rPr>
          <w:sz w:val="24"/>
        </w:rPr>
        <w:t>2%</w:t>
      </w:r>
      <w:r>
        <w:rPr>
          <w:spacing w:val="-4"/>
          <w:sz w:val="24"/>
        </w:rPr>
        <w:t> </w:t>
      </w:r>
      <w:r>
        <w:rPr>
          <w:sz w:val="24"/>
        </w:rPr>
        <w:t>over</w:t>
      </w:r>
      <w:r>
        <w:rPr>
          <w:spacing w:val="-3"/>
          <w:sz w:val="24"/>
        </w:rPr>
        <w:t> </w:t>
      </w:r>
      <w:r>
        <w:rPr>
          <w:sz w:val="24"/>
        </w:rPr>
        <w:t>the</w:t>
      </w:r>
      <w:r>
        <w:rPr>
          <w:spacing w:val="-3"/>
          <w:sz w:val="24"/>
        </w:rPr>
        <w:t> </w:t>
      </w:r>
      <w:r>
        <w:rPr>
          <w:sz w:val="24"/>
        </w:rPr>
        <w:t>past</w:t>
      </w:r>
      <w:r>
        <w:rPr>
          <w:spacing w:val="-4"/>
          <w:sz w:val="24"/>
        </w:rPr>
        <w:t> </w:t>
      </w:r>
      <w:r>
        <w:rPr>
          <w:sz w:val="24"/>
        </w:rPr>
        <w:t>month</w:t>
      </w:r>
      <w:r>
        <w:rPr>
          <w:spacing w:val="-2"/>
          <w:sz w:val="24"/>
        </w:rPr>
        <w:t> </w:t>
      </w:r>
      <w:r>
        <w:rPr>
          <w:sz w:val="24"/>
        </w:rPr>
        <w:t>in</w:t>
      </w:r>
      <w:r>
        <w:rPr>
          <w:spacing w:val="-3"/>
          <w:sz w:val="24"/>
        </w:rPr>
        <w:t> </w:t>
      </w:r>
      <w:r>
        <w:rPr>
          <w:sz w:val="24"/>
        </w:rPr>
        <w:t>sterling</w:t>
      </w:r>
      <w:r>
        <w:rPr>
          <w:spacing w:val="-4"/>
          <w:sz w:val="24"/>
        </w:rPr>
        <w:t> </w:t>
      </w:r>
      <w:r>
        <w:rPr>
          <w:sz w:val="24"/>
        </w:rPr>
        <w:t>terms. But it was broadly unchanged in US </w:t>
      </w:r>
      <w:r>
        <w:rPr>
          <w:spacing w:val="-3"/>
          <w:sz w:val="24"/>
        </w:rPr>
        <w:t>dollar terms </w:t>
      </w:r>
      <w:r>
        <w:rPr>
          <w:sz w:val="24"/>
        </w:rPr>
        <w:t>, as were broad US equity</w:t>
      </w:r>
      <w:r>
        <w:rPr>
          <w:spacing w:val="-43"/>
          <w:sz w:val="24"/>
        </w:rPr>
        <w:t> </w:t>
      </w:r>
      <w:r>
        <w:rPr>
          <w:sz w:val="24"/>
        </w:rPr>
        <w:t>indices.</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8" w:right="178" w:firstLine="0"/>
        <w:jc w:val="left"/>
        <w:rPr>
          <w:sz w:val="24"/>
        </w:rPr>
      </w:pPr>
      <w:r>
        <w:rPr>
          <w:sz w:val="24"/>
        </w:rPr>
        <w:t>Looking at developments in financial asset prices over a longer period, the Committee noted the low levels of both long-term forward real market interest rates and of </w:t>
      </w:r>
      <w:r>
        <w:rPr>
          <w:spacing w:val="2"/>
          <w:sz w:val="24"/>
        </w:rPr>
        <w:t>implied </w:t>
      </w:r>
      <w:r>
        <w:rPr>
          <w:sz w:val="24"/>
        </w:rPr>
        <w:t>risk premia across a </w:t>
      </w:r>
      <w:r>
        <w:rPr>
          <w:spacing w:val="-4"/>
          <w:sz w:val="24"/>
        </w:rPr>
        <w:t>range </w:t>
      </w:r>
      <w:r>
        <w:rPr>
          <w:sz w:val="24"/>
        </w:rPr>
        <w:t>of financial assets globally. Low risk premia were more evident in bond markets whereas equity markets were perhaps still tainted by memories of the unwinding of the late-1990s bull</w:t>
      </w:r>
      <w:r>
        <w:rPr>
          <w:spacing w:val="4"/>
          <w:sz w:val="24"/>
        </w:rPr>
        <w:t> </w:t>
      </w:r>
      <w:r>
        <w:rPr>
          <w:spacing w:val="-3"/>
          <w:sz w:val="24"/>
        </w:rPr>
        <w:t>market.</w:t>
      </w:r>
    </w:p>
    <w:p>
      <w:pPr>
        <w:spacing w:after="0" w:line="357" w:lineRule="auto"/>
        <w:jc w:val="left"/>
        <w:rPr>
          <w:sz w:val="24"/>
        </w:rPr>
        <w:sectPr>
          <w:pgSz w:w="11900" w:h="16840"/>
          <w:pgMar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7" w:right="119" w:firstLine="0"/>
        <w:jc w:val="left"/>
        <w:rPr>
          <w:sz w:val="24"/>
        </w:rPr>
      </w:pPr>
      <w:r>
        <w:rPr>
          <w:sz w:val="24"/>
        </w:rPr>
        <w:t>The Committee discussed possible explanations. Credit risk </w:t>
      </w:r>
      <w:r>
        <w:rPr>
          <w:spacing w:val="6"/>
          <w:sz w:val="24"/>
        </w:rPr>
        <w:t>on </w:t>
      </w:r>
      <w:r>
        <w:rPr>
          <w:sz w:val="24"/>
        </w:rPr>
        <w:t>corporate bonds might have fallen following the restructuring of corporate balance sheets in recent years. But spreads on bonds issued by emerging market governments had also narrowed and implied volatilities from many (but</w:t>
      </w:r>
      <w:r>
        <w:rPr>
          <w:spacing w:val="-40"/>
          <w:sz w:val="24"/>
        </w:rPr>
        <w:t> </w:t>
      </w:r>
      <w:r>
        <w:rPr>
          <w:sz w:val="24"/>
        </w:rPr>
        <w:t>not all) interest rate and </w:t>
      </w:r>
      <w:r>
        <w:rPr>
          <w:spacing w:val="-3"/>
          <w:sz w:val="24"/>
        </w:rPr>
        <w:t>exchange </w:t>
      </w:r>
      <w:r>
        <w:rPr>
          <w:sz w:val="24"/>
        </w:rPr>
        <w:t>rate options were also low by historical standards, perhaps suggesting </w:t>
      </w:r>
      <w:r>
        <w:rPr>
          <w:spacing w:val="6"/>
          <w:sz w:val="24"/>
        </w:rPr>
        <w:t>an </w:t>
      </w:r>
      <w:r>
        <w:rPr>
          <w:sz w:val="24"/>
        </w:rPr>
        <w:t>assessment that the degree of uncertainty was low in the world economy more generally. At a time of low risk-free bond yields, a further possibility was that falls in risk premia reflected attempts by investors to maintain the yield on their portfolios by taking on more risk – the so-called ‘search for yield’.</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634" w:firstLine="0"/>
        <w:jc w:val="left"/>
        <w:rPr>
          <w:sz w:val="24"/>
        </w:rPr>
      </w:pPr>
      <w:r>
        <w:rPr>
          <w:sz w:val="24"/>
        </w:rPr>
        <w:t>The</w:t>
      </w:r>
      <w:r>
        <w:rPr>
          <w:spacing w:val="-6"/>
          <w:sz w:val="24"/>
        </w:rPr>
        <w:t> </w:t>
      </w:r>
      <w:r>
        <w:rPr>
          <w:sz w:val="24"/>
        </w:rPr>
        <w:t>low</w:t>
      </w:r>
      <w:r>
        <w:rPr>
          <w:spacing w:val="-5"/>
          <w:sz w:val="24"/>
        </w:rPr>
        <w:t> </w:t>
      </w:r>
      <w:r>
        <w:rPr>
          <w:sz w:val="24"/>
        </w:rPr>
        <w:t>level</w:t>
      </w:r>
      <w:r>
        <w:rPr>
          <w:spacing w:val="-5"/>
          <w:sz w:val="24"/>
        </w:rPr>
        <w:t> </w:t>
      </w:r>
      <w:r>
        <w:rPr>
          <w:sz w:val="24"/>
        </w:rPr>
        <w:t>of</w:t>
      </w:r>
      <w:r>
        <w:rPr>
          <w:spacing w:val="-5"/>
          <w:sz w:val="24"/>
        </w:rPr>
        <w:t> </w:t>
      </w:r>
      <w:r>
        <w:rPr>
          <w:sz w:val="24"/>
        </w:rPr>
        <w:t>long-term</w:t>
      </w:r>
      <w:r>
        <w:rPr>
          <w:spacing w:val="-4"/>
          <w:sz w:val="24"/>
        </w:rPr>
        <w:t> </w:t>
      </w:r>
      <w:r>
        <w:rPr>
          <w:sz w:val="24"/>
        </w:rPr>
        <w:t>real</w:t>
      </w:r>
      <w:r>
        <w:rPr>
          <w:spacing w:val="-4"/>
          <w:sz w:val="24"/>
        </w:rPr>
        <w:t> </w:t>
      </w:r>
      <w:r>
        <w:rPr>
          <w:sz w:val="24"/>
        </w:rPr>
        <w:t>forward</w:t>
      </w:r>
      <w:r>
        <w:rPr>
          <w:spacing w:val="-4"/>
          <w:sz w:val="24"/>
        </w:rPr>
        <w:t> </w:t>
      </w:r>
      <w:r>
        <w:rPr>
          <w:sz w:val="24"/>
        </w:rPr>
        <w:t>risk-free</w:t>
      </w:r>
      <w:r>
        <w:rPr>
          <w:spacing w:val="-6"/>
          <w:sz w:val="24"/>
        </w:rPr>
        <w:t> </w:t>
      </w:r>
      <w:r>
        <w:rPr>
          <w:sz w:val="24"/>
        </w:rPr>
        <w:t>market</w:t>
      </w:r>
      <w:r>
        <w:rPr>
          <w:spacing w:val="-5"/>
          <w:sz w:val="24"/>
        </w:rPr>
        <w:t> </w:t>
      </w:r>
      <w:r>
        <w:rPr>
          <w:sz w:val="24"/>
        </w:rPr>
        <w:t>interest</w:t>
      </w:r>
      <w:r>
        <w:rPr>
          <w:spacing w:val="-5"/>
          <w:sz w:val="24"/>
        </w:rPr>
        <w:t> </w:t>
      </w:r>
      <w:r>
        <w:rPr>
          <w:sz w:val="24"/>
        </w:rPr>
        <w:t>rates</w:t>
      </w:r>
      <w:r>
        <w:rPr>
          <w:spacing w:val="-5"/>
          <w:sz w:val="24"/>
        </w:rPr>
        <w:t> </w:t>
      </w:r>
      <w:r>
        <w:rPr>
          <w:sz w:val="24"/>
        </w:rPr>
        <w:t>was</w:t>
      </w:r>
      <w:r>
        <w:rPr>
          <w:spacing w:val="-5"/>
          <w:sz w:val="24"/>
        </w:rPr>
        <w:t> </w:t>
      </w:r>
      <w:r>
        <w:rPr>
          <w:sz w:val="24"/>
        </w:rPr>
        <w:t>equally</w:t>
      </w:r>
      <w:r>
        <w:rPr>
          <w:spacing w:val="-6"/>
          <w:sz w:val="24"/>
        </w:rPr>
        <w:t> </w:t>
      </w:r>
      <w:r>
        <w:rPr>
          <w:sz w:val="24"/>
        </w:rPr>
        <w:t>puzzling, especially given rising government indebtedness in most of the major economies. Demographic change might have been part of the explanation if savings had risen or if market participants</w:t>
      </w:r>
      <w:r>
        <w:rPr>
          <w:spacing w:val="-33"/>
          <w:sz w:val="24"/>
        </w:rPr>
        <w:t> </w:t>
      </w:r>
      <w:r>
        <w:rPr>
          <w:sz w:val="24"/>
        </w:rPr>
        <w:t>had</w:t>
      </w:r>
    </w:p>
    <w:p>
      <w:pPr>
        <w:pStyle w:val="BodyText"/>
        <w:spacing w:line="364" w:lineRule="auto"/>
        <w:ind w:left="108"/>
      </w:pPr>
      <w:r>
        <w:rPr/>
        <w:t>re-evaluated the implications for long-term savings. Other possible factors included the effect of </w:t>
      </w:r>
      <w:r>
        <w:rPr>
          <w:spacing w:val="-2"/>
        </w:rPr>
        <w:t>the </w:t>
      </w:r>
      <w:r>
        <w:rPr/>
        <w:t>recent relatively rapid official purchases of </w:t>
      </w:r>
      <w:r>
        <w:rPr>
          <w:spacing w:val="-3"/>
        </w:rPr>
        <w:t>government </w:t>
      </w:r>
      <w:r>
        <w:rPr/>
        <w:t>bonds, particularly of US government</w:t>
      </w:r>
      <w:r>
        <w:rPr>
          <w:spacing w:val="-14"/>
        </w:rPr>
        <w:t> </w:t>
      </w:r>
      <w:r>
        <w:rPr/>
        <w:t>bonds.</w:t>
      </w:r>
    </w:p>
    <w:p>
      <w:pPr>
        <w:pStyle w:val="BodyText"/>
        <w:rPr>
          <w:sz w:val="35"/>
        </w:rPr>
      </w:pPr>
    </w:p>
    <w:p>
      <w:pPr>
        <w:pStyle w:val="ListParagraph"/>
        <w:numPr>
          <w:ilvl w:val="0"/>
          <w:numId w:val="1"/>
        </w:numPr>
        <w:tabs>
          <w:tab w:pos="671" w:val="left" w:leader="none"/>
          <w:tab w:pos="672" w:val="left" w:leader="none"/>
        </w:tabs>
        <w:spacing w:line="360" w:lineRule="auto" w:before="1" w:after="0"/>
        <w:ind w:left="108" w:right="105" w:firstLine="0"/>
        <w:jc w:val="left"/>
        <w:rPr>
          <w:sz w:val="24"/>
        </w:rPr>
      </w:pPr>
      <w:r>
        <w:rPr>
          <w:sz w:val="24"/>
        </w:rPr>
        <w:t>In the immediate future, low long-term bond yields and risk premia would continue to facilitate new borrowing and refinancing of existing debts on favourable terms. Looser credit conditions would add some stimulus to global demand. The Committee judged that there might be some downside risk of an asset price correction. However, it was possible that developments in derivatives markets </w:t>
      </w:r>
      <w:r>
        <w:rPr>
          <w:spacing w:val="-4"/>
          <w:sz w:val="24"/>
        </w:rPr>
        <w:t>had </w:t>
      </w:r>
      <w:r>
        <w:rPr>
          <w:sz w:val="24"/>
        </w:rPr>
        <w:t>made it possible for investors to diversify their portfolios better, spreading risk more effectively across a wider population of investors. This was most plausible in credit markets, where it was now easier for investors to diversify across sectors and regions and to adjust their exposures. Moreover, </w:t>
      </w:r>
      <w:r>
        <w:rPr>
          <w:spacing w:val="-4"/>
          <w:sz w:val="24"/>
        </w:rPr>
        <w:t>the </w:t>
      </w:r>
      <w:r>
        <w:rPr>
          <w:spacing w:val="-6"/>
          <w:sz w:val="24"/>
        </w:rPr>
        <w:t>UK </w:t>
      </w:r>
      <w:r>
        <w:rPr>
          <w:sz w:val="24"/>
        </w:rPr>
        <w:t>financial sector appeared strong and the global economy had weathered a number of financial</w:t>
      </w:r>
      <w:r>
        <w:rPr>
          <w:spacing w:val="-40"/>
          <w:sz w:val="24"/>
        </w:rPr>
        <w:t> </w:t>
      </w:r>
      <w:r>
        <w:rPr>
          <w:spacing w:val="-2"/>
          <w:sz w:val="24"/>
        </w:rPr>
        <w:t>shocks</w:t>
      </w:r>
    </w:p>
    <w:p>
      <w:pPr>
        <w:pStyle w:val="BodyText"/>
        <w:ind w:left="108"/>
      </w:pPr>
      <w:r>
        <w:rPr/>
        <w:t>in the past decade without significant long-term damage.</w:t>
      </w:r>
    </w:p>
    <w:p>
      <w:pPr>
        <w:pStyle w:val="BodyText"/>
        <w:rPr>
          <w:sz w:val="26"/>
        </w:rPr>
      </w:pPr>
    </w:p>
    <w:p>
      <w:pPr>
        <w:pStyle w:val="BodyText"/>
        <w:rPr>
          <w:sz w:val="22"/>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68" w:firstLine="0"/>
        <w:jc w:val="left"/>
        <w:rPr>
          <w:sz w:val="24"/>
        </w:rPr>
      </w:pPr>
      <w:r>
        <w:rPr>
          <w:sz w:val="24"/>
        </w:rPr>
        <w:t>The Committee judged that there had been little change in the outlook for UK-weighted world activity this month. United States’ GDP growth had been unrevised at 1% in 2004 Q3, and </w:t>
      </w:r>
      <w:r>
        <w:rPr>
          <w:spacing w:val="3"/>
          <w:sz w:val="24"/>
        </w:rPr>
        <w:t>was </w:t>
      </w:r>
      <w:r>
        <w:rPr>
          <w:sz w:val="24"/>
        </w:rPr>
        <w:t>expected to remain strong in Q4. Industrial production had risen in November, </w:t>
      </w:r>
      <w:r>
        <w:rPr>
          <w:spacing w:val="-3"/>
          <w:sz w:val="24"/>
        </w:rPr>
        <w:t>and </w:t>
      </w:r>
      <w:r>
        <w:rPr>
          <w:sz w:val="24"/>
        </w:rPr>
        <w:t>the December manufacturing and non-manufacturing Institute of Supply Management (ISM) indices had both risen. There had been further steady growth in employment, and consumer confidence had risen in December. However, the US trade </w:t>
      </w:r>
      <w:r>
        <w:rPr>
          <w:spacing w:val="-3"/>
          <w:sz w:val="24"/>
        </w:rPr>
        <w:t>data had </w:t>
      </w:r>
      <w:r>
        <w:rPr>
          <w:sz w:val="24"/>
        </w:rPr>
        <w:t>recorded a </w:t>
      </w:r>
      <w:r>
        <w:rPr>
          <w:spacing w:val="-3"/>
          <w:sz w:val="24"/>
        </w:rPr>
        <w:t>fall </w:t>
      </w:r>
      <w:r>
        <w:rPr>
          <w:sz w:val="24"/>
        </w:rPr>
        <w:t>in exports in November, pointing not</w:t>
      </w:r>
      <w:r>
        <w:rPr>
          <w:spacing w:val="-6"/>
          <w:sz w:val="24"/>
        </w:rPr>
        <w:t> </w:t>
      </w:r>
      <w:r>
        <w:rPr>
          <w:sz w:val="24"/>
        </w:rPr>
        <w:t>only</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spacing w:before="9"/>
        <w:rPr>
          <w:sz w:val="22"/>
        </w:rPr>
      </w:pPr>
    </w:p>
    <w:p>
      <w:pPr>
        <w:pStyle w:val="BodyText"/>
        <w:spacing w:line="364" w:lineRule="auto" w:before="90"/>
        <w:ind w:left="107" w:right="581"/>
      </w:pPr>
      <w:r>
        <w:rPr/>
        <w:t>to the net trade contribution in 2004 Q4, but also the possibility of activity in the rest of the world, being weaker than expected.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42" w:firstLine="0"/>
        <w:jc w:val="left"/>
        <w:rPr>
          <w:sz w:val="24"/>
        </w:rPr>
      </w:pPr>
      <w:r>
        <w:rPr>
          <w:sz w:val="24"/>
        </w:rPr>
        <w:t>Estimated euro-area </w:t>
      </w:r>
      <w:r>
        <w:rPr>
          <w:spacing w:val="-3"/>
          <w:sz w:val="24"/>
        </w:rPr>
        <w:t>output growth </w:t>
      </w:r>
      <w:r>
        <w:rPr>
          <w:spacing w:val="7"/>
          <w:sz w:val="24"/>
        </w:rPr>
        <w:t>in </w:t>
      </w:r>
      <w:r>
        <w:rPr>
          <w:sz w:val="24"/>
        </w:rPr>
        <w:t>2004 Q3 had been 0.3%, which was unrevised on the previous release. </w:t>
      </w:r>
      <w:r>
        <w:rPr>
          <w:spacing w:val="-3"/>
          <w:sz w:val="24"/>
        </w:rPr>
        <w:t>Taken </w:t>
      </w:r>
      <w:r>
        <w:rPr>
          <w:sz w:val="24"/>
        </w:rPr>
        <w:t>together, the latest indicators were mixed but still pointed to growth </w:t>
      </w:r>
      <w:r>
        <w:rPr>
          <w:spacing w:val="-4"/>
          <w:sz w:val="24"/>
        </w:rPr>
        <w:t>in </w:t>
      </w:r>
      <w:r>
        <w:rPr>
          <w:sz w:val="24"/>
        </w:rPr>
        <w:t>2004 Q4 at broadly the same pace as in Q3.</w:t>
      </w:r>
      <w:r>
        <w:rPr>
          <w:spacing w:val="10"/>
          <w:sz w:val="24"/>
        </w:rPr>
        <w:t> </w:t>
      </w:r>
      <w:r>
        <w:rPr>
          <w:sz w:val="24"/>
        </w:rPr>
        <w:t>Retail sales had been revised down in October and had been flat in November. The Purchasing Managers Indices </w:t>
      </w:r>
      <w:r>
        <w:rPr>
          <w:spacing w:val="-3"/>
          <w:sz w:val="24"/>
        </w:rPr>
        <w:t>had </w:t>
      </w:r>
      <w:r>
        <w:rPr>
          <w:sz w:val="24"/>
        </w:rPr>
        <w:t>looked a little stronger in December – </w:t>
      </w:r>
      <w:r>
        <w:rPr>
          <w:spacing w:val="-2"/>
          <w:sz w:val="24"/>
        </w:rPr>
        <w:t>the </w:t>
      </w:r>
      <w:r>
        <w:rPr>
          <w:sz w:val="24"/>
        </w:rPr>
        <w:t>manufacturing index </w:t>
      </w:r>
      <w:r>
        <w:rPr>
          <w:spacing w:val="-3"/>
          <w:sz w:val="24"/>
        </w:rPr>
        <w:t>had </w:t>
      </w:r>
      <w:r>
        <w:rPr>
          <w:sz w:val="24"/>
        </w:rPr>
        <w:t>increased for the first time since July. </w:t>
      </w:r>
      <w:r>
        <w:rPr>
          <w:spacing w:val="2"/>
          <w:sz w:val="24"/>
        </w:rPr>
        <w:t>There </w:t>
      </w:r>
      <w:r>
        <w:rPr>
          <w:sz w:val="24"/>
        </w:rPr>
        <w:t>were </w:t>
      </w:r>
      <w:r>
        <w:rPr>
          <w:spacing w:val="-3"/>
          <w:sz w:val="24"/>
        </w:rPr>
        <w:t>some </w:t>
      </w:r>
      <w:r>
        <w:rPr>
          <w:sz w:val="24"/>
        </w:rPr>
        <w:t>expectations of a bounce-back</w:t>
      </w:r>
      <w:r>
        <w:rPr>
          <w:spacing w:val="-22"/>
          <w:sz w:val="24"/>
        </w:rPr>
        <w:t> </w:t>
      </w:r>
      <w:r>
        <w:rPr>
          <w:sz w:val="24"/>
        </w:rPr>
        <w:t>of</w:t>
      </w:r>
      <w:r>
        <w:rPr>
          <w:spacing w:val="2"/>
          <w:sz w:val="24"/>
        </w:rPr>
        <w:t> </w:t>
      </w:r>
      <w:r>
        <w:rPr>
          <w:sz w:val="24"/>
        </w:rPr>
        <w:t>GDP</w:t>
      </w:r>
      <w:r>
        <w:rPr>
          <w:spacing w:val="6"/>
          <w:sz w:val="24"/>
        </w:rPr>
        <w:t> </w:t>
      </w:r>
      <w:r>
        <w:rPr>
          <w:sz w:val="24"/>
        </w:rPr>
        <w:t>growth</w:t>
      </w:r>
      <w:r>
        <w:rPr>
          <w:spacing w:val="-6"/>
          <w:sz w:val="24"/>
        </w:rPr>
        <w:t> </w:t>
      </w:r>
      <w:r>
        <w:rPr>
          <w:sz w:val="24"/>
        </w:rPr>
        <w:t>in</w:t>
      </w:r>
      <w:r>
        <w:rPr>
          <w:spacing w:val="-7"/>
          <w:sz w:val="24"/>
        </w:rPr>
        <w:t> </w:t>
      </w:r>
      <w:r>
        <w:rPr>
          <w:sz w:val="24"/>
        </w:rPr>
        <w:t>France</w:t>
      </w:r>
      <w:r>
        <w:rPr>
          <w:spacing w:val="-3"/>
          <w:sz w:val="24"/>
        </w:rPr>
        <w:t> </w:t>
      </w:r>
      <w:r>
        <w:rPr>
          <w:sz w:val="24"/>
        </w:rPr>
        <w:t>in</w:t>
      </w:r>
      <w:r>
        <w:rPr>
          <w:spacing w:val="-3"/>
          <w:sz w:val="24"/>
        </w:rPr>
        <w:t> </w:t>
      </w:r>
      <w:r>
        <w:rPr>
          <w:sz w:val="24"/>
        </w:rPr>
        <w:t>the</w:t>
      </w:r>
      <w:r>
        <w:rPr>
          <w:spacing w:val="-4"/>
          <w:sz w:val="24"/>
        </w:rPr>
        <w:t> </w:t>
      </w:r>
      <w:r>
        <w:rPr>
          <w:sz w:val="24"/>
        </w:rPr>
        <w:t>fourth</w:t>
      </w:r>
      <w:r>
        <w:rPr>
          <w:spacing w:val="-4"/>
          <w:sz w:val="24"/>
        </w:rPr>
        <w:t> </w:t>
      </w:r>
      <w:r>
        <w:rPr>
          <w:sz w:val="24"/>
        </w:rPr>
        <w:t>quarter,</w:t>
      </w:r>
      <w:r>
        <w:rPr>
          <w:spacing w:val="-6"/>
          <w:sz w:val="24"/>
        </w:rPr>
        <w:t> </w:t>
      </w:r>
      <w:r>
        <w:rPr>
          <w:sz w:val="24"/>
        </w:rPr>
        <w:t>although</w:t>
      </w:r>
      <w:r>
        <w:rPr>
          <w:spacing w:val="-6"/>
          <w:sz w:val="24"/>
        </w:rPr>
        <w:t> </w:t>
      </w:r>
      <w:r>
        <w:rPr>
          <w:sz w:val="24"/>
        </w:rPr>
        <w:t>the</w:t>
      </w:r>
      <w:r>
        <w:rPr>
          <w:spacing w:val="-7"/>
          <w:sz w:val="24"/>
        </w:rPr>
        <w:t> </w:t>
      </w:r>
      <w:r>
        <w:rPr>
          <w:sz w:val="24"/>
        </w:rPr>
        <w:t>latest</w:t>
      </w:r>
      <w:r>
        <w:rPr>
          <w:spacing w:val="-6"/>
          <w:sz w:val="24"/>
        </w:rPr>
        <w:t> </w:t>
      </w:r>
      <w:r>
        <w:rPr>
          <w:sz w:val="24"/>
        </w:rPr>
        <w:t>indicators</w:t>
      </w:r>
      <w:r>
        <w:rPr>
          <w:spacing w:val="-7"/>
          <w:sz w:val="24"/>
        </w:rPr>
        <w:t> </w:t>
      </w:r>
      <w:r>
        <w:rPr>
          <w:sz w:val="24"/>
        </w:rPr>
        <w:t>for</w:t>
      </w:r>
      <w:r>
        <w:rPr>
          <w:spacing w:val="-7"/>
          <w:sz w:val="24"/>
        </w:rPr>
        <w:t> </w:t>
      </w:r>
      <w:r>
        <w:rPr>
          <w:sz w:val="24"/>
        </w:rPr>
        <w:t>Germa</w:t>
      </w:r>
      <w:r>
        <w:rPr>
          <w:spacing w:val="-29"/>
          <w:sz w:val="24"/>
        </w:rPr>
        <w:t> </w:t>
      </w:r>
      <w:r>
        <w:rPr>
          <w:spacing w:val="-6"/>
          <w:sz w:val="24"/>
        </w:rPr>
        <w:t>ny </w:t>
      </w:r>
      <w:r>
        <w:rPr>
          <w:spacing w:val="-3"/>
          <w:sz w:val="24"/>
        </w:rPr>
        <w:t>had </w:t>
      </w:r>
      <w:r>
        <w:rPr>
          <w:sz w:val="24"/>
        </w:rPr>
        <w:t>remained weak. </w:t>
      </w:r>
      <w:r>
        <w:rPr>
          <w:spacing w:val="2"/>
          <w:sz w:val="24"/>
        </w:rPr>
        <w:t>The </w:t>
      </w:r>
      <w:r>
        <w:rPr>
          <w:sz w:val="24"/>
        </w:rPr>
        <w:t>appreciation of the euro against the US dollar appeared to have already had some effect on the export shares of some euro area</w:t>
      </w:r>
      <w:r>
        <w:rPr>
          <w:spacing w:val="-16"/>
          <w:sz w:val="24"/>
        </w:rPr>
        <w:t> </w:t>
      </w:r>
      <w:r>
        <w:rPr>
          <w:sz w:val="24"/>
        </w:rPr>
        <w:t>countries.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26" w:firstLine="0"/>
        <w:jc w:val="left"/>
        <w:rPr>
          <w:sz w:val="24"/>
        </w:rPr>
      </w:pPr>
      <w:r>
        <w:rPr>
          <w:sz w:val="24"/>
        </w:rPr>
        <w:t>Japanese GDP in 2004 Q2 and Q3 still seemed likely to have been broadly flat. Some of </w:t>
      </w:r>
      <w:r>
        <w:rPr>
          <w:spacing w:val="-4"/>
          <w:sz w:val="24"/>
        </w:rPr>
        <w:t>the </w:t>
      </w:r>
      <w:r>
        <w:rPr>
          <w:sz w:val="24"/>
        </w:rPr>
        <w:t>survey-based indicators remained </w:t>
      </w:r>
      <w:r>
        <w:rPr>
          <w:spacing w:val="-3"/>
          <w:sz w:val="24"/>
        </w:rPr>
        <w:t>more </w:t>
      </w:r>
      <w:r>
        <w:rPr>
          <w:sz w:val="24"/>
        </w:rPr>
        <w:t>positive. In particular, the outlook for consumption looked promising and should be sustained by falling unemployment. The latest Tankan survey </w:t>
      </w:r>
      <w:r>
        <w:rPr>
          <w:spacing w:val="-3"/>
          <w:sz w:val="24"/>
        </w:rPr>
        <w:t>had </w:t>
      </w:r>
      <w:r>
        <w:rPr>
          <w:sz w:val="24"/>
        </w:rPr>
        <w:t>suggested a more positive outlook for the business sector. The latest indicators were consistent with slowing growth in non-Japan Asia, although the latest Chinese trade data had been particularly volatile </w:t>
      </w:r>
      <w:r>
        <w:rPr>
          <w:spacing w:val="-4"/>
          <w:sz w:val="24"/>
        </w:rPr>
        <w:t>and </w:t>
      </w:r>
      <w:r>
        <w:rPr>
          <w:sz w:val="24"/>
        </w:rPr>
        <w:t>were hard to interpret. The </w:t>
      </w:r>
      <w:r>
        <w:rPr>
          <w:spacing w:val="-3"/>
          <w:sz w:val="24"/>
        </w:rPr>
        <w:t>Asian tsunami </w:t>
      </w:r>
      <w:r>
        <w:rPr>
          <w:sz w:val="24"/>
        </w:rPr>
        <w:t>, though devastating in human terms, </w:t>
      </w:r>
      <w:r>
        <w:rPr>
          <w:spacing w:val="2"/>
          <w:sz w:val="24"/>
        </w:rPr>
        <w:t>was </w:t>
      </w:r>
      <w:r>
        <w:rPr>
          <w:sz w:val="24"/>
        </w:rPr>
        <w:t>expected to have only a very small impact on global</w:t>
      </w:r>
      <w:r>
        <w:rPr>
          <w:spacing w:val="-4"/>
          <w:sz w:val="24"/>
        </w:rPr>
        <w:t> </w:t>
      </w:r>
      <w:r>
        <w:rPr>
          <w:sz w:val="24"/>
        </w:rPr>
        <w:t>growth.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321" w:firstLine="0"/>
        <w:jc w:val="left"/>
        <w:rPr>
          <w:sz w:val="24"/>
        </w:rPr>
      </w:pPr>
      <w:r>
        <w:rPr>
          <w:sz w:val="24"/>
        </w:rPr>
        <w:t>The spot price of oil had risen nearly 20% on the month in dollar terms, in part reflecting the OPEC agreement to cut production, but the futures price had </w:t>
      </w:r>
      <w:r>
        <w:rPr>
          <w:spacing w:val="-3"/>
          <w:sz w:val="24"/>
        </w:rPr>
        <w:t>been </w:t>
      </w:r>
      <w:r>
        <w:rPr>
          <w:sz w:val="24"/>
        </w:rPr>
        <w:t>broadly unchanged at longer maturities. There seemed only limited concern among market participants </w:t>
      </w:r>
      <w:r>
        <w:rPr>
          <w:spacing w:val="-3"/>
          <w:sz w:val="24"/>
        </w:rPr>
        <w:t>that </w:t>
      </w:r>
      <w:r>
        <w:rPr>
          <w:sz w:val="24"/>
        </w:rPr>
        <w:t>oil prices might </w:t>
      </w:r>
      <w:r>
        <w:rPr>
          <w:spacing w:val="3"/>
          <w:sz w:val="24"/>
        </w:rPr>
        <w:t>rise </w:t>
      </w:r>
      <w:r>
        <w:rPr>
          <w:sz w:val="24"/>
        </w:rPr>
        <w:t>further in the long term. But much would depend on how oil industry investment </w:t>
      </w:r>
      <w:r>
        <w:rPr>
          <w:spacing w:val="7"/>
          <w:sz w:val="24"/>
        </w:rPr>
        <w:t>in </w:t>
      </w:r>
      <w:r>
        <w:rPr>
          <w:sz w:val="24"/>
        </w:rPr>
        <w:t>exploration and extraction</w:t>
      </w:r>
      <w:r>
        <w:rPr>
          <w:spacing w:val="-7"/>
          <w:sz w:val="24"/>
        </w:rPr>
        <w:t> </w:t>
      </w:r>
      <w:r>
        <w:rPr>
          <w:sz w:val="24"/>
        </w:rPr>
        <w:t>responded</w:t>
      </w:r>
      <w:r>
        <w:rPr>
          <w:spacing w:val="1"/>
          <w:sz w:val="24"/>
        </w:rPr>
        <w:t> </w:t>
      </w:r>
      <w:r>
        <w:rPr>
          <w:sz w:val="24"/>
        </w:rPr>
        <w:t>to</w:t>
      </w:r>
      <w:r>
        <w:rPr>
          <w:spacing w:val="-3"/>
          <w:sz w:val="24"/>
        </w:rPr>
        <w:t> </w:t>
      </w:r>
      <w:r>
        <w:rPr>
          <w:sz w:val="24"/>
        </w:rPr>
        <w:t>the</w:t>
      </w:r>
      <w:r>
        <w:rPr>
          <w:spacing w:val="-5"/>
          <w:sz w:val="24"/>
        </w:rPr>
        <w:t> </w:t>
      </w:r>
      <w:r>
        <w:rPr>
          <w:sz w:val="24"/>
        </w:rPr>
        <w:t>existing</w:t>
      </w:r>
      <w:r>
        <w:rPr>
          <w:spacing w:val="-4"/>
          <w:sz w:val="24"/>
        </w:rPr>
        <w:t> </w:t>
      </w:r>
      <w:r>
        <w:rPr>
          <w:sz w:val="24"/>
        </w:rPr>
        <w:t>rise</w:t>
      </w:r>
      <w:r>
        <w:rPr>
          <w:spacing w:val="-5"/>
          <w:sz w:val="24"/>
        </w:rPr>
        <w:t> </w:t>
      </w:r>
      <w:r>
        <w:rPr>
          <w:sz w:val="24"/>
        </w:rPr>
        <w:t>in</w:t>
      </w:r>
      <w:r>
        <w:rPr>
          <w:spacing w:val="-4"/>
          <w:sz w:val="24"/>
        </w:rPr>
        <w:t> </w:t>
      </w:r>
      <w:r>
        <w:rPr>
          <w:sz w:val="24"/>
        </w:rPr>
        <w:t>oil</w:t>
      </w:r>
      <w:r>
        <w:rPr>
          <w:spacing w:val="-5"/>
          <w:sz w:val="24"/>
        </w:rPr>
        <w:t> </w:t>
      </w:r>
      <w:r>
        <w:rPr>
          <w:sz w:val="24"/>
        </w:rPr>
        <w:t>prices</w:t>
      </w:r>
      <w:r>
        <w:rPr>
          <w:spacing w:val="-5"/>
          <w:sz w:val="24"/>
        </w:rPr>
        <w:t> </w:t>
      </w:r>
      <w:r>
        <w:rPr>
          <w:sz w:val="24"/>
        </w:rPr>
        <w:t>–</w:t>
      </w:r>
      <w:r>
        <w:rPr>
          <w:spacing w:val="-15"/>
          <w:sz w:val="24"/>
        </w:rPr>
        <w:t> </w:t>
      </w:r>
      <w:r>
        <w:rPr>
          <w:sz w:val="24"/>
        </w:rPr>
        <w:t>especially</w:t>
      </w:r>
      <w:r>
        <w:rPr>
          <w:spacing w:val="-2"/>
          <w:sz w:val="24"/>
        </w:rPr>
        <w:t> </w:t>
      </w:r>
      <w:r>
        <w:rPr>
          <w:sz w:val="24"/>
        </w:rPr>
        <w:t>given</w:t>
      </w:r>
      <w:r>
        <w:rPr>
          <w:spacing w:val="-2"/>
          <w:sz w:val="24"/>
        </w:rPr>
        <w:t> </w:t>
      </w:r>
      <w:r>
        <w:rPr>
          <w:sz w:val="24"/>
        </w:rPr>
        <w:t>the</w:t>
      </w:r>
      <w:r>
        <w:rPr>
          <w:spacing w:val="-2"/>
          <w:sz w:val="24"/>
        </w:rPr>
        <w:t> </w:t>
      </w:r>
      <w:r>
        <w:rPr>
          <w:sz w:val="24"/>
        </w:rPr>
        <w:t>political</w:t>
      </w:r>
      <w:r>
        <w:rPr>
          <w:spacing w:val="-5"/>
          <w:sz w:val="24"/>
        </w:rPr>
        <w:t> </w:t>
      </w:r>
      <w:r>
        <w:rPr>
          <w:sz w:val="24"/>
        </w:rPr>
        <w:t>uncertainties</w:t>
      </w:r>
      <w:r>
        <w:rPr>
          <w:spacing w:val="-6"/>
          <w:sz w:val="24"/>
        </w:rPr>
        <w:t> </w:t>
      </w:r>
      <w:r>
        <w:rPr>
          <w:sz w:val="24"/>
        </w:rPr>
        <w:t>in</w:t>
      </w:r>
      <w:r>
        <w:rPr>
          <w:spacing w:val="-7"/>
          <w:sz w:val="24"/>
        </w:rPr>
        <w:t> </w:t>
      </w:r>
      <w:r>
        <w:rPr>
          <w:sz w:val="24"/>
        </w:rPr>
        <w:t>a number</w:t>
      </w:r>
      <w:r>
        <w:rPr>
          <w:spacing w:val="-10"/>
          <w:sz w:val="24"/>
        </w:rPr>
        <w:t> </w:t>
      </w:r>
      <w:r>
        <w:rPr>
          <w:sz w:val="24"/>
        </w:rPr>
        <w:t>of</w:t>
      </w:r>
      <w:r>
        <w:rPr>
          <w:spacing w:val="3"/>
          <w:sz w:val="24"/>
        </w:rPr>
        <w:t> </w:t>
      </w:r>
      <w:r>
        <w:rPr>
          <w:sz w:val="24"/>
        </w:rPr>
        <w:t>the</w:t>
      </w:r>
      <w:r>
        <w:rPr>
          <w:spacing w:val="-4"/>
          <w:sz w:val="24"/>
        </w:rPr>
        <w:t> </w:t>
      </w:r>
      <w:r>
        <w:rPr>
          <w:sz w:val="24"/>
        </w:rPr>
        <w:t>countries where</w:t>
      </w:r>
      <w:r>
        <w:rPr>
          <w:spacing w:val="-1"/>
          <w:sz w:val="24"/>
        </w:rPr>
        <w:t> </w:t>
      </w:r>
      <w:r>
        <w:rPr>
          <w:spacing w:val="-4"/>
          <w:sz w:val="24"/>
        </w:rPr>
        <w:t>the</w:t>
      </w:r>
      <w:r>
        <w:rPr>
          <w:spacing w:val="-7"/>
          <w:sz w:val="24"/>
        </w:rPr>
        <w:t> </w:t>
      </w:r>
      <w:r>
        <w:rPr>
          <w:sz w:val="24"/>
        </w:rPr>
        <w:t>further</w:t>
      </w:r>
      <w:r>
        <w:rPr>
          <w:spacing w:val="-3"/>
          <w:sz w:val="24"/>
        </w:rPr>
        <w:t> </w:t>
      </w:r>
      <w:r>
        <w:rPr>
          <w:sz w:val="24"/>
        </w:rPr>
        <w:t>developme</w:t>
      </w:r>
      <w:r>
        <w:rPr>
          <w:spacing w:val="-27"/>
          <w:sz w:val="24"/>
        </w:rPr>
        <w:t> </w:t>
      </w:r>
      <w:r>
        <w:rPr>
          <w:sz w:val="24"/>
        </w:rPr>
        <w:t>nt</w:t>
      </w:r>
      <w:r>
        <w:rPr>
          <w:spacing w:val="-2"/>
          <w:sz w:val="24"/>
        </w:rPr>
        <w:t> </w:t>
      </w:r>
      <w:r>
        <w:rPr>
          <w:sz w:val="24"/>
        </w:rPr>
        <w:t>was</w:t>
      </w:r>
      <w:r>
        <w:rPr>
          <w:spacing w:val="-3"/>
          <w:sz w:val="24"/>
        </w:rPr>
        <w:t> </w:t>
      </w:r>
      <w:r>
        <w:rPr>
          <w:sz w:val="24"/>
        </w:rPr>
        <w:t>likely</w:t>
      </w:r>
      <w:r>
        <w:rPr>
          <w:spacing w:val="-10"/>
          <w:sz w:val="24"/>
        </w:rPr>
        <w:t> </w:t>
      </w:r>
      <w:r>
        <w:rPr>
          <w:sz w:val="24"/>
        </w:rPr>
        <w:t>to</w:t>
      </w:r>
      <w:r>
        <w:rPr>
          <w:spacing w:val="2"/>
          <w:sz w:val="24"/>
        </w:rPr>
        <w:t> </w:t>
      </w:r>
      <w:r>
        <w:rPr>
          <w:sz w:val="24"/>
        </w:rPr>
        <w:t>be</w:t>
      </w:r>
      <w:r>
        <w:rPr>
          <w:spacing w:val="1"/>
          <w:sz w:val="24"/>
        </w:rPr>
        <w:t> </w:t>
      </w:r>
      <w:r>
        <w:rPr>
          <w:sz w:val="24"/>
        </w:rPr>
        <w:t>concentrated.</w:t>
      </w:r>
    </w:p>
    <w:p>
      <w:pPr>
        <w:pStyle w:val="BodyText"/>
        <w:spacing w:before="6"/>
        <w:rPr>
          <w:sz w:val="36"/>
        </w:rPr>
      </w:pPr>
    </w:p>
    <w:p>
      <w:pPr>
        <w:pStyle w:val="ListParagraph"/>
        <w:numPr>
          <w:ilvl w:val="0"/>
          <w:numId w:val="1"/>
        </w:numPr>
        <w:tabs>
          <w:tab w:pos="671" w:val="left" w:leader="none"/>
          <w:tab w:pos="672" w:val="left" w:leader="none"/>
        </w:tabs>
        <w:spacing w:line="360" w:lineRule="auto" w:before="1" w:after="0"/>
        <w:ind w:left="107" w:right="176" w:firstLine="0"/>
        <w:jc w:val="left"/>
        <w:rPr>
          <w:sz w:val="24"/>
        </w:rPr>
      </w:pPr>
      <w:r>
        <w:rPr>
          <w:sz w:val="24"/>
        </w:rPr>
        <w:t>The first-round effects of the past increases in oil prices still appeared to be working through, with headline producer and consumer price inflation rising in the United States in November and </w:t>
      </w:r>
      <w:r>
        <w:rPr>
          <w:spacing w:val="-3"/>
          <w:sz w:val="24"/>
        </w:rPr>
        <w:t>the </w:t>
      </w:r>
      <w:r>
        <w:rPr>
          <w:sz w:val="24"/>
        </w:rPr>
        <w:t>December flash estimate of Harmonised Index of Consumer Prices (HICP) inflation up a little in </w:t>
      </w:r>
      <w:r>
        <w:rPr>
          <w:spacing w:val="-2"/>
          <w:sz w:val="24"/>
        </w:rPr>
        <w:t>the </w:t>
      </w:r>
      <w:r>
        <w:rPr>
          <w:sz w:val="24"/>
        </w:rPr>
        <w:t>euro area. ‘Core’ producer and consumer price inflation </w:t>
      </w:r>
      <w:r>
        <w:rPr>
          <w:spacing w:val="-9"/>
          <w:sz w:val="24"/>
        </w:rPr>
        <w:t>had </w:t>
      </w:r>
      <w:r>
        <w:rPr>
          <w:sz w:val="24"/>
        </w:rPr>
        <w:t>continued to tick up in the </w:t>
      </w:r>
      <w:r>
        <w:rPr>
          <w:spacing w:val="-3"/>
          <w:sz w:val="24"/>
        </w:rPr>
        <w:t>United </w:t>
      </w:r>
      <w:r>
        <w:rPr>
          <w:sz w:val="24"/>
        </w:rPr>
        <w:t>States, which </w:t>
      </w:r>
      <w:r>
        <w:rPr>
          <w:spacing w:val="-3"/>
          <w:sz w:val="24"/>
        </w:rPr>
        <w:t>might </w:t>
      </w:r>
      <w:r>
        <w:rPr>
          <w:sz w:val="24"/>
        </w:rPr>
        <w:t>be consistent with there having been some small second-round effects from oil prices,</w:t>
      </w:r>
      <w:r>
        <w:rPr>
          <w:spacing w:val="-41"/>
          <w:sz w:val="24"/>
        </w:rPr>
        <w:t> </w:t>
      </w:r>
      <w:r>
        <w:rPr>
          <w:sz w:val="24"/>
        </w:rPr>
        <w:t>but could equally reflect growing demand</w:t>
      </w:r>
      <w:r>
        <w:rPr>
          <w:spacing w:val="3"/>
          <w:sz w:val="24"/>
        </w:rPr>
        <w:t> </w:t>
      </w:r>
      <w:r>
        <w:rPr>
          <w:sz w:val="24"/>
        </w:rPr>
        <w:t>pressures.</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Heading2"/>
        <w:spacing w:before="90"/>
        <w:ind w:left="107"/>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322" w:firstLine="0"/>
        <w:jc w:val="left"/>
        <w:rPr>
          <w:sz w:val="24"/>
        </w:rPr>
      </w:pPr>
      <w:r>
        <w:rPr>
          <w:sz w:val="24"/>
        </w:rPr>
        <w:t>UK GDP </w:t>
      </w:r>
      <w:r>
        <w:rPr>
          <w:spacing w:val="-3"/>
          <w:sz w:val="24"/>
        </w:rPr>
        <w:t>growth </w:t>
      </w:r>
      <w:r>
        <w:rPr>
          <w:sz w:val="24"/>
        </w:rPr>
        <w:t>had been revised up to 0.5% in 2004 Q3 in the National Accounts release, bringing it into line with the November </w:t>
      </w:r>
      <w:r>
        <w:rPr>
          <w:i/>
          <w:sz w:val="24"/>
        </w:rPr>
        <w:t>Inflation Report </w:t>
      </w:r>
      <w:r>
        <w:rPr>
          <w:spacing w:val="-3"/>
          <w:sz w:val="24"/>
        </w:rPr>
        <w:t>projection. </w:t>
      </w:r>
      <w:r>
        <w:rPr>
          <w:sz w:val="24"/>
        </w:rPr>
        <w:t>The revisions to the basic price adjustment meant that the level of GDP measured at basic prices had been revised </w:t>
      </w:r>
      <w:r>
        <w:rPr>
          <w:spacing w:val="3"/>
          <w:sz w:val="24"/>
        </w:rPr>
        <w:t>up, </w:t>
      </w:r>
      <w:r>
        <w:rPr>
          <w:sz w:val="24"/>
        </w:rPr>
        <w:t>while the</w:t>
      </w:r>
      <w:r>
        <w:rPr>
          <w:spacing w:val="-37"/>
          <w:sz w:val="24"/>
        </w:rPr>
        <w:t> </w:t>
      </w:r>
      <w:r>
        <w:rPr>
          <w:sz w:val="24"/>
        </w:rPr>
        <w:t>level of GDP at market prices had been revised </w:t>
      </w:r>
      <w:r>
        <w:rPr>
          <w:spacing w:val="-3"/>
          <w:sz w:val="24"/>
        </w:rPr>
        <w:t>down. </w:t>
      </w:r>
      <w:r>
        <w:rPr>
          <w:sz w:val="24"/>
        </w:rPr>
        <w:t>The Committee judged that those revisions, which were largely concentrated in 2003, should not make a material difference to the assessment of inflationary</w:t>
      </w:r>
      <w:r>
        <w:rPr>
          <w:spacing w:val="-2"/>
          <w:sz w:val="24"/>
        </w:rPr>
        <w:t> </w:t>
      </w:r>
      <w:r>
        <w:rPr>
          <w:sz w:val="24"/>
        </w:rPr>
        <w:t>pressure.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43" w:firstLine="0"/>
        <w:jc w:val="left"/>
        <w:rPr>
          <w:sz w:val="24"/>
        </w:rPr>
      </w:pPr>
      <w:r>
        <w:rPr>
          <w:sz w:val="24"/>
        </w:rPr>
        <w:t>There was judged to be little news in the latest estimates of the expenditure components of </w:t>
      </w:r>
      <w:r>
        <w:rPr>
          <w:spacing w:val="3"/>
          <w:sz w:val="24"/>
        </w:rPr>
        <w:t>GDP </w:t>
      </w:r>
      <w:r>
        <w:rPr>
          <w:sz w:val="24"/>
        </w:rPr>
        <w:t>in 2004 Q3. The revisions to the expenditure components had moved them more into line with </w:t>
      </w:r>
      <w:r>
        <w:rPr>
          <w:spacing w:val="-3"/>
          <w:sz w:val="24"/>
        </w:rPr>
        <w:t>expectations </w:t>
      </w:r>
      <w:r>
        <w:rPr>
          <w:sz w:val="24"/>
        </w:rPr>
        <w:t>at the time of the November </w:t>
      </w:r>
      <w:r>
        <w:rPr>
          <w:i/>
          <w:sz w:val="24"/>
        </w:rPr>
        <w:t>Inflation Report</w:t>
      </w:r>
      <w:r>
        <w:rPr>
          <w:sz w:val="24"/>
        </w:rPr>
        <w:t>, although government spending remained stronger than expected while investment was weaker. To the extent that stronger government spending represented higher nominal spending and that spending for the financial year was largely fixed, it might be unwound in 2004 Q4 and/or 2005</w:t>
      </w:r>
      <w:r>
        <w:rPr>
          <w:spacing w:val="13"/>
          <w:sz w:val="24"/>
        </w:rPr>
        <w:t> </w:t>
      </w:r>
      <w:r>
        <w:rPr>
          <w:spacing w:val="-2"/>
          <w:sz w:val="24"/>
        </w:rPr>
        <w:t>Q1.</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3" w:firstLine="0"/>
        <w:jc w:val="left"/>
        <w:rPr>
          <w:sz w:val="24"/>
        </w:rPr>
      </w:pPr>
      <w:r>
        <w:rPr>
          <w:sz w:val="24"/>
        </w:rPr>
        <w:t>Equally, there was little news on the income side of the accounts. Stronger-than-expected household income growth had </w:t>
      </w:r>
      <w:r>
        <w:rPr>
          <w:spacing w:val="-3"/>
          <w:sz w:val="24"/>
        </w:rPr>
        <w:t>been </w:t>
      </w:r>
      <w:r>
        <w:rPr>
          <w:sz w:val="24"/>
        </w:rPr>
        <w:t>accompanied by downward revisions to back data in 2004, leaving the saving ratio broadly flat over the past few years. </w:t>
      </w:r>
      <w:r>
        <w:rPr>
          <w:spacing w:val="-4"/>
          <w:sz w:val="24"/>
        </w:rPr>
        <w:t>The </w:t>
      </w:r>
      <w:r>
        <w:rPr>
          <w:sz w:val="24"/>
        </w:rPr>
        <w:t>Q3 National Accounts </w:t>
      </w:r>
      <w:r>
        <w:rPr>
          <w:spacing w:val="-3"/>
          <w:sz w:val="24"/>
        </w:rPr>
        <w:t>had </w:t>
      </w:r>
      <w:r>
        <w:rPr>
          <w:sz w:val="24"/>
        </w:rPr>
        <w:t>suggested a fall in the gross operating surplus of companies in 2004 Q3 (excluding the quarterly alignment adjustment). </w:t>
      </w:r>
      <w:r>
        <w:rPr>
          <w:spacing w:val="-3"/>
          <w:sz w:val="24"/>
        </w:rPr>
        <w:t>This </w:t>
      </w:r>
      <w:r>
        <w:rPr>
          <w:sz w:val="24"/>
        </w:rPr>
        <w:t>had </w:t>
      </w:r>
      <w:r>
        <w:rPr>
          <w:spacing w:val="-3"/>
          <w:sz w:val="24"/>
        </w:rPr>
        <w:t>been </w:t>
      </w:r>
      <w:r>
        <w:rPr>
          <w:sz w:val="24"/>
        </w:rPr>
        <w:t>concentrated in financial companies.  However, the gross operating surplus </w:t>
      </w:r>
      <w:r>
        <w:rPr>
          <w:spacing w:val="-4"/>
          <w:sz w:val="24"/>
        </w:rPr>
        <w:t>of </w:t>
      </w:r>
      <w:r>
        <w:rPr>
          <w:sz w:val="24"/>
        </w:rPr>
        <w:t>companies was often subject to significant revision in subsequent ONS</w:t>
      </w:r>
      <w:r>
        <w:rPr>
          <w:spacing w:val="-6"/>
          <w:sz w:val="24"/>
        </w:rPr>
        <w:t> </w:t>
      </w:r>
      <w:r>
        <w:rPr>
          <w:sz w:val="24"/>
        </w:rPr>
        <w:t>releases.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65" w:firstLine="0"/>
        <w:jc w:val="left"/>
        <w:rPr>
          <w:sz w:val="24"/>
        </w:rPr>
      </w:pPr>
      <w:r>
        <w:rPr>
          <w:sz w:val="24"/>
        </w:rPr>
        <w:t>The Chartered Institute of Purchasing and Supply (CIPS) services business activity and </w:t>
      </w:r>
      <w:r>
        <w:rPr>
          <w:spacing w:val="-2"/>
          <w:sz w:val="24"/>
        </w:rPr>
        <w:t>new </w:t>
      </w:r>
      <w:r>
        <w:rPr>
          <w:sz w:val="24"/>
        </w:rPr>
        <w:t>orders indices had fallen in December, but remained at healthy levels. </w:t>
      </w:r>
      <w:r>
        <w:rPr>
          <w:spacing w:val="-3"/>
          <w:sz w:val="24"/>
        </w:rPr>
        <w:t>Industrial </w:t>
      </w:r>
      <w:r>
        <w:rPr>
          <w:sz w:val="24"/>
        </w:rPr>
        <w:t>production had fallen </w:t>
      </w:r>
      <w:r>
        <w:rPr>
          <w:spacing w:val="-3"/>
          <w:sz w:val="24"/>
        </w:rPr>
        <w:t>by </w:t>
      </w:r>
      <w:r>
        <w:rPr>
          <w:sz w:val="24"/>
        </w:rPr>
        <w:t>a little </w:t>
      </w:r>
      <w:r>
        <w:rPr>
          <w:spacing w:val="-3"/>
          <w:sz w:val="24"/>
        </w:rPr>
        <w:t>more than </w:t>
      </w:r>
      <w:r>
        <w:rPr>
          <w:sz w:val="24"/>
        </w:rPr>
        <w:t>had been expected </w:t>
      </w:r>
      <w:r>
        <w:rPr>
          <w:spacing w:val="2"/>
          <w:sz w:val="24"/>
        </w:rPr>
        <w:t>in </w:t>
      </w:r>
      <w:r>
        <w:rPr>
          <w:sz w:val="24"/>
        </w:rPr>
        <w:t>the three months to </w:t>
      </w:r>
      <w:r>
        <w:rPr>
          <w:spacing w:val="-3"/>
          <w:sz w:val="24"/>
        </w:rPr>
        <w:t>November. </w:t>
      </w:r>
      <w:r>
        <w:rPr>
          <w:sz w:val="24"/>
        </w:rPr>
        <w:t>Overall, the latest indicators </w:t>
      </w:r>
      <w:r>
        <w:rPr>
          <w:spacing w:val="-3"/>
          <w:sz w:val="24"/>
        </w:rPr>
        <w:t>pointed </w:t>
      </w:r>
      <w:r>
        <w:rPr>
          <w:sz w:val="24"/>
        </w:rPr>
        <w:t>to GDP growth at around its </w:t>
      </w:r>
      <w:r>
        <w:rPr>
          <w:spacing w:val="-5"/>
          <w:sz w:val="24"/>
        </w:rPr>
        <w:t>trend </w:t>
      </w:r>
      <w:r>
        <w:rPr>
          <w:spacing w:val="-3"/>
          <w:sz w:val="24"/>
        </w:rPr>
        <w:t>rate </w:t>
      </w:r>
      <w:r>
        <w:rPr>
          <w:sz w:val="24"/>
        </w:rPr>
        <w:t>in 2004 Q4, as expected at the time of the November </w:t>
      </w:r>
      <w:r>
        <w:rPr>
          <w:i/>
          <w:sz w:val="24"/>
        </w:rPr>
        <w:t>Inflation Report</w:t>
      </w:r>
      <w:r>
        <w:rPr>
          <w:sz w:val="24"/>
        </w:rPr>
        <w:t>. There remained some tension between the weakness of industrial production and the rather stronger picture painted by surveys – although the CIPS manufacturing and CBI </w:t>
      </w:r>
      <w:r>
        <w:rPr>
          <w:i/>
          <w:sz w:val="24"/>
        </w:rPr>
        <w:t>Monthly </w:t>
      </w:r>
      <w:r>
        <w:rPr>
          <w:i/>
          <w:sz w:val="24"/>
        </w:rPr>
        <w:t>Industrial Trends Survey </w:t>
      </w:r>
      <w:r>
        <w:rPr>
          <w:sz w:val="24"/>
        </w:rPr>
        <w:t>output indicators </w:t>
      </w:r>
      <w:r>
        <w:rPr>
          <w:spacing w:val="-3"/>
          <w:sz w:val="24"/>
        </w:rPr>
        <w:t>had </w:t>
      </w:r>
      <w:r>
        <w:rPr>
          <w:sz w:val="24"/>
        </w:rPr>
        <w:t>both fallen in</w:t>
      </w:r>
      <w:r>
        <w:rPr>
          <w:spacing w:val="10"/>
          <w:sz w:val="24"/>
        </w:rPr>
        <w:t> </w:t>
      </w:r>
      <w:r>
        <w:rPr>
          <w:sz w:val="24"/>
        </w:rPr>
        <w:t>December.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471" w:firstLine="0"/>
        <w:jc w:val="left"/>
        <w:rPr>
          <w:sz w:val="24"/>
        </w:rPr>
      </w:pPr>
      <w:r>
        <w:rPr>
          <w:spacing w:val="-3"/>
          <w:sz w:val="24"/>
        </w:rPr>
        <w:t>The </w:t>
      </w:r>
      <w:r>
        <w:rPr>
          <w:sz w:val="24"/>
        </w:rPr>
        <w:t>Bank’s regional </w:t>
      </w:r>
      <w:r>
        <w:rPr>
          <w:spacing w:val="-3"/>
          <w:sz w:val="24"/>
        </w:rPr>
        <w:t>Agents </w:t>
      </w:r>
      <w:r>
        <w:rPr>
          <w:sz w:val="24"/>
        </w:rPr>
        <w:t>had </w:t>
      </w:r>
      <w:r>
        <w:rPr>
          <w:spacing w:val="-3"/>
          <w:sz w:val="24"/>
        </w:rPr>
        <w:t>noted </w:t>
      </w:r>
      <w:r>
        <w:rPr>
          <w:sz w:val="24"/>
        </w:rPr>
        <w:t>heavy discounting by retailers before Christmas, but it was not clear </w:t>
      </w:r>
      <w:r>
        <w:rPr>
          <w:spacing w:val="-5"/>
          <w:sz w:val="24"/>
        </w:rPr>
        <w:t>to </w:t>
      </w:r>
      <w:r>
        <w:rPr>
          <w:sz w:val="24"/>
        </w:rPr>
        <w:t>the Committee the extent to which this was different from what had happened in earlier </w:t>
      </w:r>
      <w:r>
        <w:rPr>
          <w:spacing w:val="-3"/>
          <w:sz w:val="24"/>
        </w:rPr>
        <w:t>years when </w:t>
      </w:r>
      <w:r>
        <w:rPr>
          <w:sz w:val="24"/>
        </w:rPr>
        <w:t>discounting had also been reported. The GfK consumer confidence measure</w:t>
      </w:r>
      <w:r>
        <w:rPr>
          <w:spacing w:val="-34"/>
          <w:sz w:val="24"/>
        </w:rPr>
        <w:t> </w:t>
      </w:r>
      <w:r>
        <w:rPr>
          <w:spacing w:val="-2"/>
          <w:sz w:val="24"/>
        </w:rPr>
        <w:t>had</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8" w:right="142"/>
      </w:pPr>
      <w:r>
        <w:rPr/>
        <w:t>risen in December, for the third month in a row. Taken as a whole, the latest monthly retail sales indicators from the CBI and the British Retail Consortium, and evidence from the Bank’s regional Agents, did not suggest a substantial change to the outlook for retail sales and consumption growth at the turn of the year. It would be necessary to look at December and January data together to obtain a clearer picture, because of variations in the timing of sales around Christmas and the New Year.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54" w:firstLine="0"/>
        <w:jc w:val="left"/>
        <w:rPr>
          <w:sz w:val="24"/>
        </w:rPr>
      </w:pPr>
      <w:r>
        <w:rPr>
          <w:sz w:val="24"/>
        </w:rPr>
        <w:t>The average of the Halifax and Nationwide house prices indices had risen by 0.6% in 2004 Q4, a little stronger than expected at the time of the November </w:t>
      </w:r>
      <w:r>
        <w:rPr>
          <w:i/>
          <w:sz w:val="24"/>
        </w:rPr>
        <w:t>Inflation Report</w:t>
      </w:r>
      <w:r>
        <w:rPr>
          <w:sz w:val="24"/>
        </w:rPr>
        <w:t>. </w:t>
      </w:r>
      <w:r>
        <w:rPr>
          <w:spacing w:val="-3"/>
          <w:sz w:val="24"/>
        </w:rPr>
        <w:t>The </w:t>
      </w:r>
      <w:r>
        <w:rPr>
          <w:sz w:val="24"/>
        </w:rPr>
        <w:t>preview of the Royal Institution of Chartered Surveyors (RICS) survey for December </w:t>
      </w:r>
      <w:r>
        <w:rPr>
          <w:spacing w:val="-3"/>
          <w:sz w:val="24"/>
        </w:rPr>
        <w:t>had </w:t>
      </w:r>
      <w:r>
        <w:rPr>
          <w:sz w:val="24"/>
        </w:rPr>
        <w:t>shown a further small fall in the sales-to-stock ratio. The number of approvals for new mortgages had continued to fall in November, though it was possible that the change in mortgage regulation had temporarily distorted the figure. It was</w:t>
      </w:r>
      <w:r>
        <w:rPr>
          <w:spacing w:val="-4"/>
          <w:sz w:val="24"/>
        </w:rPr>
        <w:t> </w:t>
      </w:r>
      <w:r>
        <w:rPr>
          <w:sz w:val="24"/>
        </w:rPr>
        <w:t>too</w:t>
      </w:r>
      <w:r>
        <w:rPr>
          <w:spacing w:val="-3"/>
          <w:sz w:val="24"/>
        </w:rPr>
        <w:t> </w:t>
      </w:r>
      <w:r>
        <w:rPr>
          <w:sz w:val="24"/>
        </w:rPr>
        <w:t>early</w:t>
      </w:r>
      <w:r>
        <w:rPr>
          <w:spacing w:val="-3"/>
          <w:sz w:val="24"/>
        </w:rPr>
        <w:t> </w:t>
      </w:r>
      <w:r>
        <w:rPr>
          <w:sz w:val="24"/>
        </w:rPr>
        <w:t>to</w:t>
      </w:r>
      <w:r>
        <w:rPr>
          <w:spacing w:val="-4"/>
          <w:sz w:val="24"/>
        </w:rPr>
        <w:t> </w:t>
      </w:r>
      <w:r>
        <w:rPr>
          <w:sz w:val="24"/>
        </w:rPr>
        <w:t>draw</w:t>
      </w:r>
      <w:r>
        <w:rPr>
          <w:spacing w:val="-3"/>
          <w:sz w:val="24"/>
        </w:rPr>
        <w:t> </w:t>
      </w:r>
      <w:r>
        <w:rPr>
          <w:sz w:val="24"/>
        </w:rPr>
        <w:t>firm</w:t>
      </w:r>
      <w:r>
        <w:rPr>
          <w:spacing w:val="-3"/>
          <w:sz w:val="24"/>
        </w:rPr>
        <w:t> </w:t>
      </w:r>
      <w:r>
        <w:rPr>
          <w:sz w:val="24"/>
        </w:rPr>
        <w:t>conclusions,</w:t>
      </w:r>
      <w:r>
        <w:rPr>
          <w:spacing w:val="-4"/>
          <w:sz w:val="24"/>
        </w:rPr>
        <w:t> </w:t>
      </w:r>
      <w:r>
        <w:rPr>
          <w:sz w:val="24"/>
        </w:rPr>
        <w:t>but</w:t>
      </w:r>
      <w:r>
        <w:rPr>
          <w:spacing w:val="-3"/>
          <w:sz w:val="24"/>
        </w:rPr>
        <w:t> </w:t>
      </w:r>
      <w:r>
        <w:rPr>
          <w:sz w:val="24"/>
        </w:rPr>
        <w:t>if</w:t>
      </w:r>
      <w:r>
        <w:rPr>
          <w:spacing w:val="-3"/>
          <w:sz w:val="24"/>
        </w:rPr>
        <w:t> </w:t>
      </w:r>
      <w:r>
        <w:rPr>
          <w:sz w:val="24"/>
        </w:rPr>
        <w:t>anything</w:t>
      </w:r>
      <w:r>
        <w:rPr>
          <w:spacing w:val="-4"/>
          <w:sz w:val="24"/>
        </w:rPr>
        <w:t> </w:t>
      </w:r>
      <w:r>
        <w:rPr>
          <w:sz w:val="24"/>
        </w:rPr>
        <w:t>the</w:t>
      </w:r>
      <w:r>
        <w:rPr>
          <w:spacing w:val="-3"/>
          <w:sz w:val="24"/>
        </w:rPr>
        <w:t> </w:t>
      </w:r>
      <w:r>
        <w:rPr>
          <w:sz w:val="24"/>
        </w:rPr>
        <w:t>latest</w:t>
      </w:r>
      <w:r>
        <w:rPr>
          <w:spacing w:val="-3"/>
          <w:sz w:val="24"/>
        </w:rPr>
        <w:t> </w:t>
      </w:r>
      <w:r>
        <w:rPr>
          <w:sz w:val="24"/>
        </w:rPr>
        <w:t>indicators</w:t>
      </w:r>
      <w:r>
        <w:rPr>
          <w:spacing w:val="-4"/>
          <w:sz w:val="24"/>
        </w:rPr>
        <w:t> </w:t>
      </w:r>
      <w:r>
        <w:rPr>
          <w:sz w:val="24"/>
        </w:rPr>
        <w:t>suggested</w:t>
      </w:r>
      <w:r>
        <w:rPr>
          <w:spacing w:val="-3"/>
          <w:sz w:val="24"/>
        </w:rPr>
        <w:t> </w:t>
      </w:r>
      <w:r>
        <w:rPr>
          <w:sz w:val="24"/>
        </w:rPr>
        <w:t>that</w:t>
      </w:r>
      <w:r>
        <w:rPr>
          <w:spacing w:val="-3"/>
          <w:sz w:val="24"/>
        </w:rPr>
        <w:t> </w:t>
      </w:r>
      <w:r>
        <w:rPr>
          <w:sz w:val="24"/>
        </w:rPr>
        <w:t>house</w:t>
      </w:r>
      <w:r>
        <w:rPr>
          <w:spacing w:val="-2"/>
          <w:sz w:val="24"/>
        </w:rPr>
        <w:t> </w:t>
      </w:r>
      <w:r>
        <w:rPr>
          <w:spacing w:val="2"/>
          <w:sz w:val="24"/>
        </w:rPr>
        <w:t>prices </w:t>
      </w:r>
      <w:r>
        <w:rPr>
          <w:sz w:val="24"/>
        </w:rPr>
        <w:t>might remain a little stronger through the first months of 2005 than expected at the time of the November </w:t>
      </w:r>
      <w:r>
        <w:rPr>
          <w:i/>
          <w:sz w:val="24"/>
        </w:rPr>
        <w:t>Inflation Report</w:t>
      </w:r>
      <w:r>
        <w:rPr>
          <w:sz w:val="24"/>
        </w:rPr>
        <w:t>.</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8" w:right="157" w:firstLine="0"/>
        <w:jc w:val="left"/>
        <w:rPr>
          <w:sz w:val="24"/>
        </w:rPr>
      </w:pPr>
      <w:r>
        <w:rPr>
          <w:sz w:val="24"/>
        </w:rPr>
        <w:t>The Committee had previously noted the potential upside risks from rapid annual growth in nominal GDP, which had appeared to </w:t>
      </w:r>
      <w:r>
        <w:rPr>
          <w:spacing w:val="-3"/>
          <w:sz w:val="24"/>
        </w:rPr>
        <w:t>have been </w:t>
      </w:r>
      <w:r>
        <w:rPr>
          <w:sz w:val="24"/>
        </w:rPr>
        <w:t>increasing up to 2004 Q2. However, recent nominal </w:t>
      </w:r>
      <w:r>
        <w:rPr>
          <w:spacing w:val="-3"/>
          <w:sz w:val="24"/>
        </w:rPr>
        <w:t>GDP </w:t>
      </w:r>
      <w:r>
        <w:rPr>
          <w:sz w:val="24"/>
        </w:rPr>
        <w:t>growth rates had been revised down in the Q3 National Accounts. Measures of broad money</w:t>
      </w:r>
      <w:r>
        <w:rPr>
          <w:spacing w:val="-42"/>
          <w:sz w:val="24"/>
        </w:rPr>
        <w:t> </w:t>
      </w:r>
      <w:r>
        <w:rPr>
          <w:sz w:val="24"/>
        </w:rPr>
        <w:t>and credit growth </w:t>
      </w:r>
      <w:r>
        <w:rPr>
          <w:spacing w:val="-3"/>
          <w:sz w:val="24"/>
        </w:rPr>
        <w:t>had </w:t>
      </w:r>
      <w:r>
        <w:rPr>
          <w:sz w:val="24"/>
        </w:rPr>
        <w:t>continued to ease in</w:t>
      </w:r>
      <w:r>
        <w:rPr>
          <w:spacing w:val="11"/>
          <w:sz w:val="24"/>
        </w:rPr>
        <w:t> </w:t>
      </w:r>
      <w:r>
        <w:rPr>
          <w:sz w:val="24"/>
        </w:rPr>
        <w:t>November.</w:t>
      </w:r>
    </w:p>
    <w:p>
      <w:pPr>
        <w:pStyle w:val="BodyText"/>
        <w:spacing w:before="5"/>
        <w:rPr>
          <w:sz w:val="36"/>
        </w:rPr>
      </w:pPr>
    </w:p>
    <w:p>
      <w:pPr>
        <w:pStyle w:val="Heading2"/>
      </w:pPr>
      <w:r>
        <w:rPr/>
        <w:t>Wages,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68" w:firstLine="0"/>
        <w:jc w:val="left"/>
        <w:rPr>
          <w:sz w:val="24"/>
        </w:rPr>
      </w:pPr>
      <w:r>
        <w:rPr>
          <w:sz w:val="24"/>
        </w:rPr>
        <w:t>There seemed to be very little news in the labour market this month. Employment had increased in</w:t>
      </w:r>
      <w:r>
        <w:rPr>
          <w:spacing w:val="-3"/>
          <w:sz w:val="24"/>
        </w:rPr>
        <w:t> </w:t>
      </w:r>
      <w:r>
        <w:rPr>
          <w:sz w:val="24"/>
        </w:rPr>
        <w:t>the</w:t>
      </w:r>
      <w:r>
        <w:rPr>
          <w:spacing w:val="-2"/>
          <w:sz w:val="24"/>
        </w:rPr>
        <w:t> </w:t>
      </w:r>
      <w:r>
        <w:rPr>
          <w:sz w:val="24"/>
        </w:rPr>
        <w:t>three</w:t>
      </w:r>
      <w:r>
        <w:rPr>
          <w:spacing w:val="-2"/>
          <w:sz w:val="24"/>
        </w:rPr>
        <w:t> </w:t>
      </w:r>
      <w:r>
        <w:rPr>
          <w:sz w:val="24"/>
        </w:rPr>
        <w:t>months</w:t>
      </w:r>
      <w:r>
        <w:rPr>
          <w:spacing w:val="-2"/>
          <w:sz w:val="24"/>
        </w:rPr>
        <w:t> </w:t>
      </w:r>
      <w:r>
        <w:rPr>
          <w:sz w:val="24"/>
        </w:rPr>
        <w:t>to</w:t>
      </w:r>
      <w:r>
        <w:rPr>
          <w:spacing w:val="-2"/>
          <w:sz w:val="24"/>
        </w:rPr>
        <w:t> </w:t>
      </w:r>
      <w:r>
        <w:rPr>
          <w:sz w:val="24"/>
        </w:rPr>
        <w:t>October</w:t>
      </w:r>
      <w:r>
        <w:rPr>
          <w:spacing w:val="-2"/>
          <w:sz w:val="24"/>
        </w:rPr>
        <w:t> </w:t>
      </w:r>
      <w:r>
        <w:rPr>
          <w:sz w:val="24"/>
        </w:rPr>
        <w:t>on</w:t>
      </w:r>
      <w:r>
        <w:rPr>
          <w:spacing w:val="-2"/>
          <w:sz w:val="24"/>
        </w:rPr>
        <w:t> </w:t>
      </w:r>
      <w:r>
        <w:rPr>
          <w:sz w:val="24"/>
        </w:rPr>
        <w:t>the</w:t>
      </w:r>
      <w:r>
        <w:rPr>
          <w:spacing w:val="-2"/>
          <w:sz w:val="24"/>
        </w:rPr>
        <w:t> </w:t>
      </w:r>
      <w:r>
        <w:rPr>
          <w:sz w:val="24"/>
        </w:rPr>
        <w:t>Labour</w:t>
      </w:r>
      <w:r>
        <w:rPr>
          <w:spacing w:val="-2"/>
          <w:sz w:val="24"/>
        </w:rPr>
        <w:t> </w:t>
      </w:r>
      <w:r>
        <w:rPr>
          <w:sz w:val="24"/>
        </w:rPr>
        <w:t>Force</w:t>
      </w:r>
      <w:r>
        <w:rPr>
          <w:spacing w:val="-3"/>
          <w:sz w:val="24"/>
        </w:rPr>
        <w:t> </w:t>
      </w:r>
      <w:r>
        <w:rPr>
          <w:sz w:val="24"/>
        </w:rPr>
        <w:t>Survey</w:t>
      </w:r>
      <w:r>
        <w:rPr>
          <w:spacing w:val="-15"/>
          <w:sz w:val="24"/>
        </w:rPr>
        <w:t> </w:t>
      </w:r>
      <w:r>
        <w:rPr>
          <w:sz w:val="24"/>
        </w:rPr>
        <w:t>(LFS)</w:t>
      </w:r>
      <w:r>
        <w:rPr>
          <w:spacing w:val="8"/>
          <w:sz w:val="24"/>
        </w:rPr>
        <w:t> </w:t>
      </w:r>
      <w:r>
        <w:rPr>
          <w:sz w:val="24"/>
        </w:rPr>
        <w:t>measure</w:t>
      </w:r>
      <w:r>
        <w:rPr>
          <w:spacing w:val="-6"/>
          <w:sz w:val="24"/>
        </w:rPr>
        <w:t> </w:t>
      </w:r>
      <w:r>
        <w:rPr>
          <w:sz w:val="24"/>
        </w:rPr>
        <w:t>–</w:t>
      </w:r>
      <w:r>
        <w:rPr>
          <w:spacing w:val="-4"/>
          <w:sz w:val="24"/>
        </w:rPr>
        <w:t> </w:t>
      </w:r>
      <w:r>
        <w:rPr>
          <w:sz w:val="24"/>
        </w:rPr>
        <w:t>although</w:t>
      </w:r>
      <w:r>
        <w:rPr>
          <w:spacing w:val="-13"/>
          <w:sz w:val="24"/>
        </w:rPr>
        <w:t> </w:t>
      </w:r>
      <w:r>
        <w:rPr>
          <w:sz w:val="24"/>
        </w:rPr>
        <w:t>there</w:t>
      </w:r>
      <w:r>
        <w:rPr>
          <w:spacing w:val="-3"/>
          <w:sz w:val="24"/>
        </w:rPr>
        <w:t> </w:t>
      </w:r>
      <w:r>
        <w:rPr>
          <w:sz w:val="24"/>
        </w:rPr>
        <w:t>had</w:t>
      </w:r>
      <w:r>
        <w:rPr>
          <w:spacing w:val="-3"/>
          <w:sz w:val="24"/>
        </w:rPr>
        <w:t> </w:t>
      </w:r>
      <w:r>
        <w:rPr>
          <w:sz w:val="24"/>
        </w:rPr>
        <w:t>been</w:t>
      </w:r>
      <w:r>
        <w:rPr>
          <w:spacing w:val="-3"/>
          <w:sz w:val="24"/>
        </w:rPr>
        <w:t> </w:t>
      </w:r>
      <w:r>
        <w:rPr>
          <w:sz w:val="24"/>
        </w:rPr>
        <w:t>a fall in the Workforce Jobs measure in 2004 Q3. Inactivity </w:t>
      </w:r>
      <w:r>
        <w:rPr>
          <w:spacing w:val="-3"/>
          <w:sz w:val="24"/>
        </w:rPr>
        <w:t>had </w:t>
      </w:r>
      <w:r>
        <w:rPr>
          <w:sz w:val="24"/>
        </w:rPr>
        <w:t>continued to rise, but at a slower pace than a few months ago, and unemployment had fallen further on the LFS </w:t>
      </w:r>
      <w:r>
        <w:rPr>
          <w:spacing w:val="-3"/>
          <w:sz w:val="24"/>
        </w:rPr>
        <w:t>measure. </w:t>
      </w:r>
      <w:r>
        <w:rPr>
          <w:sz w:val="24"/>
        </w:rPr>
        <w:t>The overall picture for employment was broadly in line with what had been expected at the time of the November </w:t>
      </w:r>
      <w:r>
        <w:rPr>
          <w:i/>
          <w:sz w:val="24"/>
        </w:rPr>
        <w:t>Inflation Report</w:t>
      </w:r>
      <w:r>
        <w:rPr>
          <w:sz w:val="24"/>
        </w:rPr>
        <w:t>. Looking forward, </w:t>
      </w:r>
      <w:r>
        <w:rPr>
          <w:spacing w:val="-5"/>
          <w:sz w:val="24"/>
        </w:rPr>
        <w:t>the </w:t>
      </w:r>
      <w:r>
        <w:rPr>
          <w:sz w:val="24"/>
        </w:rPr>
        <w:t>latest CIPS employment indices for services, manufacturing and construction were weaker in December, as </w:t>
      </w:r>
      <w:r>
        <w:rPr>
          <w:spacing w:val="2"/>
          <w:sz w:val="24"/>
        </w:rPr>
        <w:t>were </w:t>
      </w:r>
      <w:r>
        <w:rPr>
          <w:sz w:val="24"/>
        </w:rPr>
        <w:t>the Recruitment and Employment Confederation </w:t>
      </w:r>
      <w:r>
        <w:rPr>
          <w:spacing w:val="-3"/>
          <w:sz w:val="24"/>
        </w:rPr>
        <w:t>survey </w:t>
      </w:r>
      <w:r>
        <w:rPr>
          <w:sz w:val="24"/>
        </w:rPr>
        <w:t>measures of demand for labour. The picture from the </w:t>
      </w:r>
      <w:r>
        <w:rPr>
          <w:spacing w:val="-4"/>
          <w:sz w:val="24"/>
        </w:rPr>
        <w:t>surveys </w:t>
      </w:r>
      <w:r>
        <w:rPr>
          <w:sz w:val="24"/>
        </w:rPr>
        <w:t>seemed consistent with reports </w:t>
      </w:r>
      <w:r>
        <w:rPr>
          <w:spacing w:val="4"/>
          <w:sz w:val="24"/>
        </w:rPr>
        <w:t>from </w:t>
      </w:r>
      <w:r>
        <w:rPr>
          <w:sz w:val="24"/>
        </w:rPr>
        <w:t>the Bank’s regional</w:t>
      </w:r>
      <w:r>
        <w:rPr>
          <w:spacing w:val="-29"/>
          <w:sz w:val="24"/>
        </w:rPr>
        <w:t> </w:t>
      </w:r>
      <w:r>
        <w:rPr>
          <w:sz w:val="24"/>
        </w:rPr>
        <w:t>Agents.</w:t>
      </w:r>
    </w:p>
    <w:p>
      <w:pPr>
        <w:pStyle w:val="BodyText"/>
        <w:spacing w:before="1"/>
        <w:rPr>
          <w:sz w:val="36"/>
        </w:rPr>
      </w:pPr>
    </w:p>
    <w:p>
      <w:pPr>
        <w:pStyle w:val="ListParagraph"/>
        <w:numPr>
          <w:ilvl w:val="0"/>
          <w:numId w:val="1"/>
        </w:numPr>
        <w:tabs>
          <w:tab w:pos="671" w:val="left" w:leader="none"/>
          <w:tab w:pos="672" w:val="left" w:leader="none"/>
        </w:tabs>
        <w:spacing w:line="364" w:lineRule="auto" w:before="0" w:after="0"/>
        <w:ind w:left="108" w:right="134" w:firstLine="0"/>
        <w:jc w:val="left"/>
        <w:rPr>
          <w:sz w:val="24"/>
        </w:rPr>
      </w:pPr>
      <w:r>
        <w:rPr>
          <w:sz w:val="24"/>
        </w:rPr>
        <w:t>The Committee had noted at its December meeting that there had been a small rise in the</w:t>
      </w:r>
      <w:r>
        <w:rPr>
          <w:spacing w:val="-33"/>
          <w:sz w:val="24"/>
        </w:rPr>
        <w:t> </w:t>
      </w:r>
      <w:r>
        <w:rPr>
          <w:sz w:val="24"/>
        </w:rPr>
        <w:t>shorter- run three-month measure of private sector pay settlements in October. That rise appeared to have</w:t>
      </w:r>
      <w:r>
        <w:rPr>
          <w:spacing w:val="-3"/>
          <w:sz w:val="24"/>
        </w:rPr>
        <w:t> </w:t>
      </w:r>
      <w:r>
        <w:rPr>
          <w:sz w:val="24"/>
        </w:rPr>
        <w:t>been</w:t>
      </w:r>
    </w:p>
    <w:p>
      <w:pPr>
        <w:spacing w:after="0" w:line="364"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142"/>
      </w:pPr>
      <w:r>
        <w:rPr/>
        <w:t>sustained in the three months to November. However, the twelve-month measure remained broadly flat, as it had been throughout 2004. Growth in regular pay had continued to increase gradually since the beginning of 2003, but the rise in recent months was in line with expectations.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2" w:firstLine="0"/>
        <w:jc w:val="left"/>
        <w:rPr>
          <w:sz w:val="24"/>
        </w:rPr>
      </w:pPr>
      <w:r>
        <w:rPr>
          <w:sz w:val="24"/>
        </w:rPr>
        <w:t>Private sector productivity growth </w:t>
      </w:r>
      <w:r>
        <w:rPr>
          <w:spacing w:val="-3"/>
          <w:sz w:val="24"/>
        </w:rPr>
        <w:t>had </w:t>
      </w:r>
      <w:r>
        <w:rPr>
          <w:sz w:val="24"/>
        </w:rPr>
        <w:t>remained strong in the year to 2004 Q3. Although there was little change in the annual growth rate compared with the second quarter, it remained much </w:t>
      </w:r>
      <w:r>
        <w:rPr>
          <w:spacing w:val="-2"/>
          <w:sz w:val="24"/>
        </w:rPr>
        <w:t>higher </w:t>
      </w:r>
      <w:r>
        <w:rPr>
          <w:sz w:val="24"/>
        </w:rPr>
        <w:t>than a year ago. Given that investment had been subdued, it was no surprise that the rapid growth in labour productivity had been accounted for, in large part, by growth in total factor productivity. It seemed likely that much of the recent increase in productivity was cyclical and could reflect the unwinding of </w:t>
      </w:r>
      <w:r>
        <w:rPr>
          <w:spacing w:val="2"/>
          <w:sz w:val="24"/>
        </w:rPr>
        <w:t>earlier </w:t>
      </w:r>
      <w:r>
        <w:rPr>
          <w:sz w:val="24"/>
        </w:rPr>
        <w:t>labour </w:t>
      </w:r>
      <w:r>
        <w:rPr>
          <w:spacing w:val="-3"/>
          <w:sz w:val="24"/>
        </w:rPr>
        <w:t>hoarding </w:t>
      </w:r>
      <w:r>
        <w:rPr>
          <w:sz w:val="24"/>
        </w:rPr>
        <w:t>by companies. However, there was a possibility that some part of the recent rise in the productivity growth rate reflected a change in the underlying </w:t>
      </w:r>
      <w:r>
        <w:rPr>
          <w:spacing w:val="-3"/>
          <w:sz w:val="24"/>
        </w:rPr>
        <w:t>trend, </w:t>
      </w:r>
      <w:r>
        <w:rPr>
          <w:sz w:val="24"/>
        </w:rPr>
        <w:t>for example resulting from increased use of information and communications technology. The rise in the private sector productivity growth rate </w:t>
      </w:r>
      <w:r>
        <w:rPr>
          <w:spacing w:val="-3"/>
          <w:sz w:val="24"/>
        </w:rPr>
        <w:t>had had </w:t>
      </w:r>
      <w:r>
        <w:rPr>
          <w:sz w:val="24"/>
        </w:rPr>
        <w:t>a striking impact on unit wage costs, which were estimated to have been broadly flat in the year to 2004</w:t>
      </w:r>
      <w:r>
        <w:rPr>
          <w:spacing w:val="12"/>
          <w:sz w:val="24"/>
        </w:rPr>
        <w:t> </w:t>
      </w:r>
      <w:r>
        <w:rPr>
          <w:sz w:val="24"/>
        </w:rPr>
        <w:t>Q3.</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70" w:firstLine="0"/>
        <w:jc w:val="left"/>
        <w:rPr>
          <w:sz w:val="24"/>
        </w:rPr>
      </w:pPr>
      <w:r>
        <w:rPr>
          <w:spacing w:val="-4"/>
          <w:sz w:val="24"/>
        </w:rPr>
        <w:t>The </w:t>
      </w:r>
      <w:r>
        <w:rPr>
          <w:sz w:val="24"/>
        </w:rPr>
        <w:t>data on supply-chain costs and prices were a little weaker </w:t>
      </w:r>
      <w:r>
        <w:rPr>
          <w:spacing w:val="-6"/>
          <w:sz w:val="24"/>
        </w:rPr>
        <w:t>this </w:t>
      </w:r>
      <w:r>
        <w:rPr>
          <w:sz w:val="24"/>
        </w:rPr>
        <w:t>month. Input price inflation had fallen in November, both including and excluding oil. The annual rate of increase of producer </w:t>
      </w:r>
      <w:r>
        <w:rPr>
          <w:spacing w:val="-3"/>
          <w:sz w:val="24"/>
        </w:rPr>
        <w:t>output </w:t>
      </w:r>
      <w:r>
        <w:rPr>
          <w:sz w:val="24"/>
        </w:rPr>
        <w:t>prices, excluding petroleum products, </w:t>
      </w:r>
      <w:r>
        <w:rPr>
          <w:spacing w:val="-3"/>
          <w:sz w:val="24"/>
        </w:rPr>
        <w:t>had </w:t>
      </w:r>
      <w:r>
        <w:rPr>
          <w:sz w:val="24"/>
        </w:rPr>
        <w:t>also fallen slightly in November – though the longer- term picture remained one of rising inflation since</w:t>
      </w:r>
      <w:r>
        <w:rPr>
          <w:spacing w:val="-8"/>
          <w:sz w:val="24"/>
        </w:rPr>
        <w:t> </w:t>
      </w:r>
      <w:r>
        <w:rPr>
          <w:sz w:val="24"/>
        </w:rPr>
        <w:t>1999.</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213" w:firstLine="0"/>
        <w:jc w:val="left"/>
        <w:rPr>
          <w:sz w:val="24"/>
        </w:rPr>
      </w:pPr>
      <w:r>
        <w:rPr>
          <w:sz w:val="24"/>
        </w:rPr>
        <w:t>The Committee discussed the reasons for low price </w:t>
      </w:r>
      <w:r>
        <w:rPr>
          <w:spacing w:val="-3"/>
          <w:sz w:val="24"/>
        </w:rPr>
        <w:t>inflation </w:t>
      </w:r>
      <w:r>
        <w:rPr>
          <w:sz w:val="24"/>
        </w:rPr>
        <w:t>of consumer goods. These reasons had changed over time . From 1999 to the first half of 2001, falling margins in distribution had offset rising domestic </w:t>
      </w:r>
      <w:r>
        <w:rPr>
          <w:spacing w:val="-8"/>
          <w:sz w:val="24"/>
        </w:rPr>
        <w:t>and </w:t>
      </w:r>
      <w:r>
        <w:rPr>
          <w:sz w:val="24"/>
        </w:rPr>
        <w:t>imported prices. Over the following year or so, the major influences on consumer prices had been falling domestic and imported producer prices. Thereafter, despite the pressure of domestic</w:t>
      </w:r>
      <w:r>
        <w:rPr>
          <w:spacing w:val="-6"/>
          <w:sz w:val="24"/>
        </w:rPr>
        <w:t> </w:t>
      </w:r>
      <w:r>
        <w:rPr>
          <w:sz w:val="24"/>
        </w:rPr>
        <w:t>demand</w:t>
      </w:r>
      <w:r>
        <w:rPr>
          <w:spacing w:val="-5"/>
          <w:sz w:val="24"/>
        </w:rPr>
        <w:t> </w:t>
      </w:r>
      <w:r>
        <w:rPr>
          <w:sz w:val="24"/>
        </w:rPr>
        <w:t>on</w:t>
      </w:r>
      <w:r>
        <w:rPr>
          <w:spacing w:val="-5"/>
          <w:sz w:val="24"/>
        </w:rPr>
        <w:t> </w:t>
      </w:r>
      <w:r>
        <w:rPr>
          <w:sz w:val="24"/>
        </w:rPr>
        <w:t>supply,</w:t>
      </w:r>
      <w:r>
        <w:rPr>
          <w:spacing w:val="-6"/>
          <w:sz w:val="24"/>
        </w:rPr>
        <w:t> </w:t>
      </w:r>
      <w:r>
        <w:rPr>
          <w:sz w:val="24"/>
        </w:rPr>
        <w:t>which</w:t>
      </w:r>
      <w:r>
        <w:rPr>
          <w:spacing w:val="-5"/>
          <w:sz w:val="24"/>
        </w:rPr>
        <w:t> </w:t>
      </w:r>
      <w:r>
        <w:rPr>
          <w:sz w:val="24"/>
        </w:rPr>
        <w:t>had</w:t>
      </w:r>
      <w:r>
        <w:rPr>
          <w:spacing w:val="-5"/>
          <w:sz w:val="24"/>
        </w:rPr>
        <w:t> </w:t>
      </w:r>
      <w:r>
        <w:rPr>
          <w:sz w:val="24"/>
        </w:rPr>
        <w:t>led</w:t>
      </w:r>
      <w:r>
        <w:rPr>
          <w:spacing w:val="-6"/>
          <w:sz w:val="24"/>
        </w:rPr>
        <w:t> </w:t>
      </w:r>
      <w:r>
        <w:rPr>
          <w:sz w:val="24"/>
        </w:rPr>
        <w:t>to</w:t>
      </w:r>
      <w:r>
        <w:rPr>
          <w:spacing w:val="-5"/>
          <w:sz w:val="24"/>
        </w:rPr>
        <w:t> </w:t>
      </w:r>
      <w:r>
        <w:rPr>
          <w:sz w:val="24"/>
        </w:rPr>
        <w:t>rising</w:t>
      </w:r>
      <w:r>
        <w:rPr>
          <w:spacing w:val="-5"/>
          <w:sz w:val="24"/>
        </w:rPr>
        <w:t> </w:t>
      </w:r>
      <w:r>
        <w:rPr>
          <w:sz w:val="24"/>
        </w:rPr>
        <w:t>prices</w:t>
      </w:r>
      <w:r>
        <w:rPr>
          <w:spacing w:val="-6"/>
          <w:sz w:val="24"/>
        </w:rPr>
        <w:t> </w:t>
      </w:r>
      <w:r>
        <w:rPr>
          <w:sz w:val="24"/>
        </w:rPr>
        <w:t>of</w:t>
      </w:r>
      <w:r>
        <w:rPr>
          <w:spacing w:val="-5"/>
          <w:sz w:val="24"/>
        </w:rPr>
        <w:t> </w:t>
      </w:r>
      <w:r>
        <w:rPr>
          <w:sz w:val="24"/>
        </w:rPr>
        <w:t>domestically</w:t>
      </w:r>
      <w:r>
        <w:rPr>
          <w:spacing w:val="-4"/>
          <w:sz w:val="24"/>
        </w:rPr>
        <w:t> </w:t>
      </w:r>
      <w:r>
        <w:rPr>
          <w:sz w:val="24"/>
        </w:rPr>
        <w:t>produced</w:t>
      </w:r>
      <w:r>
        <w:rPr>
          <w:spacing w:val="-5"/>
          <w:sz w:val="24"/>
        </w:rPr>
        <w:t> </w:t>
      </w:r>
      <w:r>
        <w:rPr>
          <w:sz w:val="24"/>
        </w:rPr>
        <w:t>goods,</w:t>
      </w:r>
      <w:r>
        <w:rPr>
          <w:spacing w:val="-4"/>
          <w:sz w:val="24"/>
        </w:rPr>
        <w:t> </w:t>
      </w:r>
      <w:r>
        <w:rPr>
          <w:sz w:val="24"/>
        </w:rPr>
        <w:t>consumer goods price inflation had been held down by distributors and retailers continuing to find cheaper sources for goods in overseas markets, and by competitive pressures and efficiency gains in the distribution</w:t>
      </w:r>
      <w:r>
        <w:rPr>
          <w:spacing w:val="-2"/>
          <w:sz w:val="24"/>
        </w:rPr>
        <w:t> </w:t>
      </w:r>
      <w:r>
        <w:rPr>
          <w:sz w:val="24"/>
        </w:rPr>
        <w:t>sector.</w:t>
      </w:r>
    </w:p>
    <w:p>
      <w:pPr>
        <w:pStyle w:val="BodyText"/>
        <w:spacing w:before="7"/>
        <w:rPr>
          <w:sz w:val="36"/>
        </w:rPr>
      </w:pPr>
    </w:p>
    <w:p>
      <w:pPr>
        <w:pStyle w:val="ListParagraph"/>
        <w:numPr>
          <w:ilvl w:val="0"/>
          <w:numId w:val="1"/>
        </w:numPr>
        <w:tabs>
          <w:tab w:pos="671" w:val="left" w:leader="none"/>
          <w:tab w:pos="672" w:val="left" w:leader="none"/>
        </w:tabs>
        <w:spacing w:line="360" w:lineRule="auto" w:before="0" w:after="0"/>
        <w:ind w:left="107" w:right="141" w:firstLine="0"/>
        <w:jc w:val="left"/>
        <w:rPr>
          <w:sz w:val="24"/>
        </w:rPr>
      </w:pPr>
      <w:r>
        <w:rPr>
          <w:sz w:val="24"/>
        </w:rPr>
        <w:t>Annual CPI inflation had risen to 1.5% in November, which was a little higher than expected. </w:t>
      </w:r>
      <w:r>
        <w:rPr>
          <w:spacing w:val="-4"/>
          <w:sz w:val="24"/>
        </w:rPr>
        <w:t>In </w:t>
      </w:r>
      <w:r>
        <w:rPr>
          <w:sz w:val="24"/>
        </w:rPr>
        <w:t>line with pre-release arrangements, an advance estimate of CPI inflation for December had been provided</w:t>
      </w:r>
      <w:r>
        <w:rPr>
          <w:spacing w:val="-6"/>
          <w:sz w:val="24"/>
        </w:rPr>
        <w:t> </w:t>
      </w:r>
      <w:r>
        <w:rPr>
          <w:sz w:val="24"/>
        </w:rPr>
        <w:t>to</w:t>
      </w:r>
      <w:r>
        <w:rPr>
          <w:spacing w:val="-5"/>
          <w:sz w:val="24"/>
        </w:rPr>
        <w:t> </w:t>
      </w:r>
      <w:r>
        <w:rPr>
          <w:sz w:val="24"/>
        </w:rPr>
        <w:t>the</w:t>
      </w:r>
      <w:r>
        <w:rPr>
          <w:spacing w:val="-5"/>
          <w:sz w:val="24"/>
        </w:rPr>
        <w:t> </w:t>
      </w:r>
      <w:r>
        <w:rPr>
          <w:sz w:val="24"/>
        </w:rPr>
        <w:t>Governor</w:t>
      </w:r>
      <w:r>
        <w:rPr>
          <w:spacing w:val="-2"/>
          <w:sz w:val="24"/>
        </w:rPr>
        <w:t> </w:t>
      </w:r>
      <w:r>
        <w:rPr>
          <w:sz w:val="24"/>
        </w:rPr>
        <w:t>3½</w:t>
      </w:r>
      <w:r>
        <w:rPr>
          <w:spacing w:val="-3"/>
          <w:sz w:val="24"/>
        </w:rPr>
        <w:t> </w:t>
      </w:r>
      <w:r>
        <w:rPr>
          <w:sz w:val="24"/>
        </w:rPr>
        <w:t>days</w:t>
      </w:r>
      <w:r>
        <w:rPr>
          <w:spacing w:val="-2"/>
          <w:sz w:val="24"/>
        </w:rPr>
        <w:t> </w:t>
      </w:r>
      <w:r>
        <w:rPr>
          <w:sz w:val="24"/>
        </w:rPr>
        <w:t>ahead</w:t>
      </w:r>
      <w:r>
        <w:rPr>
          <w:spacing w:val="-3"/>
          <w:sz w:val="24"/>
        </w:rPr>
        <w:t> </w:t>
      </w:r>
      <w:r>
        <w:rPr>
          <w:sz w:val="24"/>
        </w:rPr>
        <w:t>of</w:t>
      </w:r>
      <w:r>
        <w:rPr>
          <w:spacing w:val="-2"/>
          <w:sz w:val="24"/>
        </w:rPr>
        <w:t> </w:t>
      </w:r>
      <w:r>
        <w:rPr>
          <w:sz w:val="24"/>
        </w:rPr>
        <w:t>publication,</w:t>
      </w:r>
      <w:r>
        <w:rPr>
          <w:spacing w:val="-3"/>
          <w:sz w:val="24"/>
        </w:rPr>
        <w:t> </w:t>
      </w:r>
      <w:r>
        <w:rPr>
          <w:sz w:val="24"/>
        </w:rPr>
        <w:t>and</w:t>
      </w:r>
      <w:r>
        <w:rPr>
          <w:spacing w:val="-2"/>
          <w:sz w:val="24"/>
        </w:rPr>
        <w:t> </w:t>
      </w:r>
      <w:r>
        <w:rPr>
          <w:sz w:val="24"/>
        </w:rPr>
        <w:t>this</w:t>
      </w:r>
      <w:r>
        <w:rPr>
          <w:spacing w:val="-3"/>
          <w:sz w:val="24"/>
        </w:rPr>
        <w:t> </w:t>
      </w:r>
      <w:r>
        <w:rPr>
          <w:sz w:val="24"/>
        </w:rPr>
        <w:t>suggested</w:t>
      </w:r>
      <w:r>
        <w:rPr>
          <w:spacing w:val="-2"/>
          <w:sz w:val="24"/>
        </w:rPr>
        <w:t> </w:t>
      </w:r>
      <w:r>
        <w:rPr>
          <w:sz w:val="24"/>
        </w:rPr>
        <w:t>a</w:t>
      </w:r>
      <w:r>
        <w:rPr>
          <w:spacing w:val="-4"/>
          <w:sz w:val="24"/>
        </w:rPr>
        <w:t> </w:t>
      </w:r>
      <w:r>
        <w:rPr>
          <w:sz w:val="24"/>
        </w:rPr>
        <w:t>rise</w:t>
      </w:r>
      <w:r>
        <w:rPr>
          <w:spacing w:val="-4"/>
          <w:sz w:val="24"/>
        </w:rPr>
        <w:t> </w:t>
      </w:r>
      <w:r>
        <w:rPr>
          <w:sz w:val="24"/>
        </w:rPr>
        <w:t>in</w:t>
      </w:r>
      <w:r>
        <w:rPr>
          <w:spacing w:val="-3"/>
          <w:sz w:val="24"/>
        </w:rPr>
        <w:t> </w:t>
      </w:r>
      <w:r>
        <w:rPr>
          <w:sz w:val="24"/>
        </w:rPr>
        <w:t>the</w:t>
      </w:r>
      <w:r>
        <w:rPr>
          <w:spacing w:val="-4"/>
          <w:sz w:val="24"/>
        </w:rPr>
        <w:t> </w:t>
      </w:r>
      <w:r>
        <w:rPr>
          <w:sz w:val="24"/>
        </w:rPr>
        <w:t>inflation</w:t>
      </w:r>
      <w:r>
        <w:rPr>
          <w:spacing w:val="-4"/>
          <w:sz w:val="24"/>
        </w:rPr>
        <w:t> </w:t>
      </w:r>
      <w:r>
        <w:rPr>
          <w:sz w:val="24"/>
        </w:rPr>
        <w:t>rate</w:t>
      </w:r>
      <w:r>
        <w:rPr>
          <w:spacing w:val="-5"/>
          <w:sz w:val="24"/>
        </w:rPr>
        <w:t> </w:t>
      </w:r>
      <w:r>
        <w:rPr>
          <w:sz w:val="24"/>
        </w:rPr>
        <w:t>to 1.6%. </w:t>
      </w:r>
      <w:r>
        <w:rPr>
          <w:spacing w:val="-3"/>
          <w:sz w:val="24"/>
        </w:rPr>
        <w:t>Over </w:t>
      </w:r>
      <w:r>
        <w:rPr>
          <w:sz w:val="24"/>
        </w:rPr>
        <w:t>six months, inflation had fallen from 1.6% to 1.1% and had then returned to 1.6%. More analysis would be required, but there were no obvious signs in the advance estimate of heavy</w:t>
      </w:r>
      <w:r>
        <w:rPr>
          <w:spacing w:val="-11"/>
          <w:sz w:val="24"/>
        </w:rPr>
        <w:t> </w:t>
      </w:r>
      <w:r>
        <w:rPr>
          <w:sz w:val="24"/>
        </w:rPr>
        <w:t>price</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581"/>
      </w:pPr>
      <w:r>
        <w:rPr/>
        <w:t>discounting by retailers – although that might be because of the timing of the CPI collection day relative to the pre-Christmas discounting.</w:t>
      </w:r>
    </w:p>
    <w:p>
      <w:pPr>
        <w:pStyle w:val="BodyText"/>
        <w:spacing w:before="6"/>
        <w:rPr>
          <w:sz w:val="35"/>
        </w:rPr>
      </w:pPr>
    </w:p>
    <w:p>
      <w:pPr>
        <w:pStyle w:val="Heading2"/>
        <w:ind w:left="107"/>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30" w:firstLine="0"/>
        <w:jc w:val="left"/>
        <w:rPr>
          <w:sz w:val="24"/>
        </w:rPr>
      </w:pPr>
      <w:r>
        <w:rPr>
          <w:sz w:val="24"/>
        </w:rPr>
        <w:t>Overall, the Committee agreed that there had been relatively little news this </w:t>
      </w:r>
      <w:r>
        <w:rPr>
          <w:spacing w:val="-3"/>
          <w:sz w:val="24"/>
        </w:rPr>
        <w:t>month. </w:t>
      </w:r>
      <w:r>
        <w:rPr>
          <w:sz w:val="24"/>
        </w:rPr>
        <w:t>Nor was there any evidence to suggest that the main risks identified at the time of the November </w:t>
      </w:r>
      <w:r>
        <w:rPr>
          <w:i/>
          <w:sz w:val="24"/>
        </w:rPr>
        <w:t>Inflation </w:t>
      </w:r>
      <w:r>
        <w:rPr>
          <w:i/>
          <w:sz w:val="24"/>
        </w:rPr>
        <w:t>Report </w:t>
      </w:r>
      <w:r>
        <w:rPr>
          <w:sz w:val="24"/>
        </w:rPr>
        <w:t>were materialising – with the possible exception of slightly weaker world activity that had been identified in the December Minutes. The outlook for UK-weighted world activity had not changed much over the past month. </w:t>
      </w:r>
      <w:r>
        <w:rPr>
          <w:spacing w:val="-5"/>
          <w:sz w:val="24"/>
        </w:rPr>
        <w:t>The </w:t>
      </w:r>
      <w:r>
        <w:rPr>
          <w:spacing w:val="-4"/>
          <w:sz w:val="24"/>
        </w:rPr>
        <w:t>US </w:t>
      </w:r>
      <w:r>
        <w:rPr>
          <w:sz w:val="24"/>
        </w:rPr>
        <w:t>economy continued to progress broadly in line with expectations </w:t>
      </w:r>
      <w:r>
        <w:rPr>
          <w:spacing w:val="-3"/>
          <w:sz w:val="24"/>
        </w:rPr>
        <w:t>at </w:t>
      </w:r>
      <w:r>
        <w:rPr>
          <w:sz w:val="24"/>
        </w:rPr>
        <w:t>the time of the November </w:t>
      </w:r>
      <w:r>
        <w:rPr>
          <w:i/>
          <w:sz w:val="24"/>
        </w:rPr>
        <w:t>Inflation Report</w:t>
      </w:r>
      <w:r>
        <w:rPr>
          <w:sz w:val="24"/>
        </w:rPr>
        <w:t>. Euro-area and Japanese growth remained weaker than expected in November.  </w:t>
      </w:r>
      <w:r>
        <w:rPr>
          <w:spacing w:val="-3"/>
          <w:sz w:val="24"/>
        </w:rPr>
        <w:t>Views </w:t>
      </w:r>
      <w:r>
        <w:rPr>
          <w:sz w:val="24"/>
        </w:rPr>
        <w:t>differed slightly on the prospects for a </w:t>
      </w:r>
      <w:r>
        <w:rPr>
          <w:spacing w:val="-3"/>
          <w:sz w:val="24"/>
        </w:rPr>
        <w:t>pickup </w:t>
      </w:r>
      <w:r>
        <w:rPr>
          <w:sz w:val="24"/>
        </w:rPr>
        <w:t>in euro-area growth in the near </w:t>
      </w:r>
      <w:r>
        <w:rPr>
          <w:spacing w:val="-7"/>
          <w:sz w:val="24"/>
        </w:rPr>
        <w:t>term, </w:t>
      </w:r>
      <w:r>
        <w:rPr>
          <w:sz w:val="24"/>
        </w:rPr>
        <w:t>partly hinging on the extent to which corporate sector investment might drive faster growth.</w:t>
      </w:r>
    </w:p>
    <w:p>
      <w:pPr>
        <w:pStyle w:val="BodyText"/>
        <w:rPr>
          <w:sz w:val="36"/>
        </w:rPr>
      </w:pPr>
    </w:p>
    <w:p>
      <w:pPr>
        <w:pStyle w:val="ListParagraph"/>
        <w:numPr>
          <w:ilvl w:val="0"/>
          <w:numId w:val="1"/>
        </w:numPr>
        <w:tabs>
          <w:tab w:pos="671" w:val="left" w:leader="none"/>
          <w:tab w:pos="672" w:val="left" w:leader="none"/>
        </w:tabs>
        <w:spacing w:line="357" w:lineRule="auto" w:before="1" w:after="0"/>
        <w:ind w:left="107" w:right="132" w:firstLine="0"/>
        <w:jc w:val="left"/>
        <w:rPr>
          <w:sz w:val="24"/>
        </w:rPr>
      </w:pPr>
      <w:r>
        <w:rPr>
          <w:sz w:val="24"/>
        </w:rPr>
        <w:t>On domestic activity, the Q3 National Accounts </w:t>
      </w:r>
      <w:r>
        <w:rPr>
          <w:spacing w:val="-3"/>
          <w:sz w:val="24"/>
        </w:rPr>
        <w:t>had </w:t>
      </w:r>
      <w:r>
        <w:rPr>
          <w:sz w:val="24"/>
        </w:rPr>
        <w:t>contained little news, but </w:t>
      </w:r>
      <w:r>
        <w:rPr>
          <w:spacing w:val="-3"/>
          <w:sz w:val="24"/>
        </w:rPr>
        <w:t>had </w:t>
      </w:r>
      <w:r>
        <w:rPr>
          <w:sz w:val="24"/>
        </w:rPr>
        <w:t>brought the official data more </w:t>
      </w:r>
      <w:r>
        <w:rPr>
          <w:spacing w:val="-7"/>
          <w:sz w:val="24"/>
        </w:rPr>
        <w:t>into </w:t>
      </w:r>
      <w:r>
        <w:rPr>
          <w:sz w:val="24"/>
        </w:rPr>
        <w:t>line with the November </w:t>
      </w:r>
      <w:r>
        <w:rPr>
          <w:i/>
          <w:sz w:val="24"/>
        </w:rPr>
        <w:t>Inflation Report </w:t>
      </w:r>
      <w:r>
        <w:rPr>
          <w:sz w:val="24"/>
        </w:rPr>
        <w:t>central projection </w:t>
      </w:r>
      <w:r>
        <w:rPr>
          <w:spacing w:val="-3"/>
          <w:sz w:val="24"/>
        </w:rPr>
        <w:t>than </w:t>
      </w:r>
      <w:r>
        <w:rPr>
          <w:sz w:val="24"/>
        </w:rPr>
        <w:t>the previous Output, Income and Expenditure release. The latest indicators pointed to GDP growth of close to trend in 2004 Q4, broadly in line with the </w:t>
      </w:r>
      <w:r>
        <w:rPr>
          <w:i/>
          <w:sz w:val="24"/>
        </w:rPr>
        <w:t>Inflation Report </w:t>
      </w:r>
      <w:r>
        <w:rPr>
          <w:sz w:val="24"/>
        </w:rPr>
        <w:t>central</w:t>
      </w:r>
      <w:r>
        <w:rPr>
          <w:spacing w:val="-13"/>
          <w:sz w:val="24"/>
        </w:rPr>
        <w:t> </w:t>
      </w:r>
      <w:r>
        <w:rPr>
          <w:sz w:val="24"/>
        </w:rPr>
        <w:t>projection.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65" w:firstLine="0"/>
        <w:jc w:val="left"/>
        <w:rPr>
          <w:sz w:val="24"/>
        </w:rPr>
      </w:pPr>
      <w:r>
        <w:rPr>
          <w:sz w:val="24"/>
        </w:rPr>
        <w:t>The Committee saw no clear evidence of a significant change in the pace of consumption </w:t>
      </w:r>
      <w:r>
        <w:rPr>
          <w:spacing w:val="-2"/>
          <w:sz w:val="24"/>
        </w:rPr>
        <w:t>growth </w:t>
      </w:r>
      <w:r>
        <w:rPr>
          <w:sz w:val="24"/>
        </w:rPr>
        <w:t>relative to that expected at the time of the </w:t>
      </w:r>
      <w:r>
        <w:rPr>
          <w:i/>
          <w:sz w:val="24"/>
        </w:rPr>
        <w:t>Report, </w:t>
      </w:r>
      <w:r>
        <w:rPr>
          <w:sz w:val="24"/>
        </w:rPr>
        <w:t>despite </w:t>
      </w:r>
      <w:r>
        <w:rPr>
          <w:spacing w:val="-3"/>
          <w:sz w:val="24"/>
        </w:rPr>
        <w:t>some </w:t>
      </w:r>
      <w:r>
        <w:rPr>
          <w:sz w:val="24"/>
        </w:rPr>
        <w:t>initial downbeat press comments about the weakness of retail sales over the </w:t>
      </w:r>
      <w:r>
        <w:rPr>
          <w:spacing w:val="2"/>
          <w:sz w:val="24"/>
        </w:rPr>
        <w:t>Christmas </w:t>
      </w:r>
      <w:r>
        <w:rPr>
          <w:sz w:val="24"/>
        </w:rPr>
        <w:t>period. The latest house price indicators were, if anything, a little stronger than expected at the time of the November </w:t>
      </w:r>
      <w:r>
        <w:rPr>
          <w:i/>
          <w:sz w:val="24"/>
        </w:rPr>
        <w:t>Inflation Report</w:t>
      </w:r>
      <w:r>
        <w:rPr>
          <w:sz w:val="24"/>
        </w:rPr>
        <w:t>, but it was </w:t>
      </w:r>
      <w:r>
        <w:rPr>
          <w:spacing w:val="-2"/>
          <w:sz w:val="24"/>
        </w:rPr>
        <w:t>too </w:t>
      </w:r>
      <w:r>
        <w:rPr>
          <w:sz w:val="24"/>
        </w:rPr>
        <w:t>early to draw firm conclusions about the pace of the housing </w:t>
      </w:r>
      <w:r>
        <w:rPr>
          <w:spacing w:val="-3"/>
          <w:sz w:val="24"/>
        </w:rPr>
        <w:t>market </w:t>
      </w:r>
      <w:r>
        <w:rPr>
          <w:sz w:val="24"/>
        </w:rPr>
        <w:t>slowdown. There were further signs of slower money and credit growth, which for some members slightly reduced the upside risks </w:t>
      </w:r>
      <w:r>
        <w:rPr>
          <w:spacing w:val="-4"/>
          <w:sz w:val="24"/>
        </w:rPr>
        <w:t>to </w:t>
      </w:r>
      <w:r>
        <w:rPr>
          <w:sz w:val="24"/>
        </w:rPr>
        <w:t>inflation.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30" w:firstLine="0"/>
        <w:jc w:val="left"/>
        <w:rPr>
          <w:sz w:val="24"/>
        </w:rPr>
      </w:pPr>
      <w:r>
        <w:rPr>
          <w:spacing w:val="-4"/>
          <w:sz w:val="24"/>
        </w:rPr>
        <w:t>The </w:t>
      </w:r>
      <w:r>
        <w:rPr>
          <w:sz w:val="24"/>
        </w:rPr>
        <w:t>Bank’s effective sterling exchange rate index had fallen a little over the past month, bringing it back to the level at the time of the November </w:t>
      </w:r>
      <w:r>
        <w:rPr>
          <w:i/>
          <w:sz w:val="24"/>
        </w:rPr>
        <w:t>Inflation Report</w:t>
      </w:r>
      <w:r>
        <w:rPr>
          <w:sz w:val="24"/>
        </w:rPr>
        <w:t>. There had been little movement in UK short-term interest rate expectations. The Committee had discussed the low levels of</w:t>
      </w:r>
      <w:r>
        <w:rPr>
          <w:spacing w:val="-29"/>
          <w:sz w:val="24"/>
        </w:rPr>
        <w:t> </w:t>
      </w:r>
      <w:r>
        <w:rPr>
          <w:sz w:val="24"/>
        </w:rPr>
        <w:t>both</w:t>
      </w:r>
    </w:p>
    <w:p>
      <w:pPr>
        <w:pStyle w:val="BodyText"/>
        <w:spacing w:line="355" w:lineRule="auto" w:before="6"/>
        <w:ind w:left="107"/>
      </w:pPr>
      <w:r>
        <w:rPr/>
        <w:t>long-term forward real interest rates and risk premia. In the immediate future, this meant credit conditions globally were a little looser, which would add to global demand. There was also some risk</w:t>
      </w:r>
    </w:p>
    <w:p>
      <w:pPr>
        <w:spacing w:after="0" w:line="355" w:lineRule="auto"/>
        <w:sectPr>
          <w:pgSz w:w="11900" w:h="16840"/>
          <w:pgMar w:header="1134" w:footer="0" w:top="1600" w:bottom="280" w:left="1020" w:right="740"/>
        </w:sectPr>
      </w:pPr>
    </w:p>
    <w:p>
      <w:pPr>
        <w:pStyle w:val="BodyText"/>
        <w:spacing w:before="9"/>
        <w:rPr>
          <w:sz w:val="22"/>
        </w:rPr>
      </w:pPr>
    </w:p>
    <w:p>
      <w:pPr>
        <w:pStyle w:val="BodyText"/>
        <w:spacing w:line="364" w:lineRule="auto" w:before="90"/>
        <w:ind w:left="108" w:right="581"/>
      </w:pPr>
      <w:r>
        <w:rPr/>
        <w:t>of asset price adjustments. But it was difficult to assess the significance of this risk or the likely consequences for output and inflation if it crystallised.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343" w:firstLine="0"/>
        <w:jc w:val="left"/>
        <w:rPr>
          <w:sz w:val="24"/>
        </w:rPr>
      </w:pPr>
      <w:r>
        <w:rPr>
          <w:sz w:val="24"/>
        </w:rPr>
        <w:t>There had </w:t>
      </w:r>
      <w:r>
        <w:rPr>
          <w:spacing w:val="-3"/>
          <w:sz w:val="24"/>
        </w:rPr>
        <w:t>been </w:t>
      </w:r>
      <w:r>
        <w:rPr>
          <w:sz w:val="24"/>
        </w:rPr>
        <w:t>little news on pay pressures, which remained subdued and, coupled with</w:t>
      </w:r>
      <w:r>
        <w:rPr>
          <w:spacing w:val="-41"/>
          <w:sz w:val="24"/>
        </w:rPr>
        <w:t> </w:t>
      </w:r>
      <w:r>
        <w:rPr>
          <w:sz w:val="24"/>
        </w:rPr>
        <w:t>strong productivity</w:t>
      </w:r>
      <w:r>
        <w:rPr>
          <w:spacing w:val="2"/>
          <w:sz w:val="24"/>
        </w:rPr>
        <w:t> </w:t>
      </w:r>
      <w:r>
        <w:rPr>
          <w:sz w:val="24"/>
        </w:rPr>
        <w:t>growth,</w:t>
      </w:r>
      <w:r>
        <w:rPr>
          <w:spacing w:val="5"/>
          <w:sz w:val="24"/>
        </w:rPr>
        <w:t> </w:t>
      </w:r>
      <w:r>
        <w:rPr>
          <w:sz w:val="24"/>
        </w:rPr>
        <w:t>had</w:t>
      </w:r>
      <w:r>
        <w:rPr>
          <w:spacing w:val="-5"/>
          <w:sz w:val="24"/>
        </w:rPr>
        <w:t> </w:t>
      </w:r>
      <w:r>
        <w:rPr>
          <w:sz w:val="24"/>
        </w:rPr>
        <w:t>translated</w:t>
      </w:r>
      <w:r>
        <w:rPr>
          <w:spacing w:val="-4"/>
          <w:sz w:val="24"/>
        </w:rPr>
        <w:t> </w:t>
      </w:r>
      <w:r>
        <w:rPr>
          <w:sz w:val="24"/>
        </w:rPr>
        <w:t>into</w:t>
      </w:r>
      <w:r>
        <w:rPr>
          <w:spacing w:val="-5"/>
          <w:sz w:val="24"/>
        </w:rPr>
        <w:t> </w:t>
      </w:r>
      <w:r>
        <w:rPr>
          <w:sz w:val="24"/>
        </w:rPr>
        <w:t>broadly</w:t>
      </w:r>
      <w:r>
        <w:rPr>
          <w:spacing w:val="3"/>
          <w:sz w:val="24"/>
        </w:rPr>
        <w:t> </w:t>
      </w:r>
      <w:r>
        <w:rPr>
          <w:sz w:val="24"/>
        </w:rPr>
        <w:t>flat</w:t>
      </w:r>
      <w:r>
        <w:rPr>
          <w:spacing w:val="-6"/>
          <w:sz w:val="24"/>
        </w:rPr>
        <w:t> </w:t>
      </w:r>
      <w:r>
        <w:rPr>
          <w:sz w:val="24"/>
        </w:rPr>
        <w:t>private</w:t>
      </w:r>
      <w:r>
        <w:rPr>
          <w:spacing w:val="-6"/>
          <w:sz w:val="24"/>
        </w:rPr>
        <w:t> </w:t>
      </w:r>
      <w:r>
        <w:rPr>
          <w:sz w:val="24"/>
        </w:rPr>
        <w:t>sector</w:t>
      </w:r>
      <w:r>
        <w:rPr>
          <w:spacing w:val="-6"/>
          <w:sz w:val="24"/>
        </w:rPr>
        <w:t> </w:t>
      </w:r>
      <w:r>
        <w:rPr>
          <w:sz w:val="24"/>
        </w:rPr>
        <w:t>unit</w:t>
      </w:r>
      <w:r>
        <w:rPr>
          <w:spacing w:val="-7"/>
          <w:sz w:val="24"/>
        </w:rPr>
        <w:t> </w:t>
      </w:r>
      <w:r>
        <w:rPr>
          <w:sz w:val="24"/>
        </w:rPr>
        <w:t>wage</w:t>
      </w:r>
      <w:r>
        <w:rPr>
          <w:spacing w:val="-6"/>
          <w:sz w:val="24"/>
        </w:rPr>
        <w:t> </w:t>
      </w:r>
      <w:r>
        <w:rPr>
          <w:sz w:val="24"/>
        </w:rPr>
        <w:t>costs</w:t>
      </w:r>
      <w:r>
        <w:rPr>
          <w:spacing w:val="-6"/>
          <w:sz w:val="24"/>
        </w:rPr>
        <w:t> </w:t>
      </w:r>
      <w:r>
        <w:rPr>
          <w:sz w:val="24"/>
        </w:rPr>
        <w:t>over</w:t>
      </w:r>
      <w:r>
        <w:rPr>
          <w:spacing w:val="-7"/>
          <w:sz w:val="24"/>
        </w:rPr>
        <w:t> </w:t>
      </w:r>
      <w:r>
        <w:rPr>
          <w:sz w:val="24"/>
        </w:rPr>
        <w:t>the</w:t>
      </w:r>
      <w:r>
        <w:rPr>
          <w:spacing w:val="-6"/>
          <w:sz w:val="24"/>
        </w:rPr>
        <w:t> </w:t>
      </w:r>
      <w:r>
        <w:rPr>
          <w:sz w:val="24"/>
        </w:rPr>
        <w:t>past</w:t>
      </w:r>
      <w:r>
        <w:rPr>
          <w:spacing w:val="-6"/>
          <w:sz w:val="24"/>
        </w:rPr>
        <w:t> </w:t>
      </w:r>
      <w:r>
        <w:rPr>
          <w:sz w:val="24"/>
        </w:rPr>
        <w:t>year. Supply-chain price pressures appeared to have eased a little, but producer output price inflation was still around 2%. There was continuing uncertainty about the path of import prices and whether the previous</w:t>
      </w:r>
      <w:r>
        <w:rPr>
          <w:spacing w:val="-5"/>
          <w:sz w:val="24"/>
        </w:rPr>
        <w:t> </w:t>
      </w:r>
      <w:r>
        <w:rPr>
          <w:sz w:val="24"/>
        </w:rPr>
        <w:t>trend</w:t>
      </w:r>
      <w:r>
        <w:rPr>
          <w:spacing w:val="-5"/>
          <w:sz w:val="24"/>
        </w:rPr>
        <w:t> </w:t>
      </w:r>
      <w:r>
        <w:rPr>
          <w:sz w:val="24"/>
        </w:rPr>
        <w:t>of</w:t>
      </w:r>
      <w:r>
        <w:rPr>
          <w:spacing w:val="-5"/>
          <w:sz w:val="24"/>
        </w:rPr>
        <w:t> </w:t>
      </w:r>
      <w:r>
        <w:rPr>
          <w:sz w:val="24"/>
        </w:rPr>
        <w:t>declining</w:t>
      </w:r>
      <w:r>
        <w:rPr>
          <w:spacing w:val="-4"/>
          <w:sz w:val="24"/>
        </w:rPr>
        <w:t> </w:t>
      </w:r>
      <w:r>
        <w:rPr>
          <w:sz w:val="24"/>
        </w:rPr>
        <w:t>prices</w:t>
      </w:r>
      <w:r>
        <w:rPr>
          <w:spacing w:val="-5"/>
          <w:sz w:val="24"/>
        </w:rPr>
        <w:t> </w:t>
      </w:r>
      <w:r>
        <w:rPr>
          <w:sz w:val="24"/>
        </w:rPr>
        <w:t>would</w:t>
      </w:r>
      <w:r>
        <w:rPr>
          <w:spacing w:val="-5"/>
          <w:sz w:val="24"/>
        </w:rPr>
        <w:t> </w:t>
      </w:r>
      <w:r>
        <w:rPr>
          <w:sz w:val="24"/>
        </w:rPr>
        <w:t>continue,</w:t>
      </w:r>
      <w:r>
        <w:rPr>
          <w:spacing w:val="-4"/>
          <w:sz w:val="24"/>
        </w:rPr>
        <w:t> </w:t>
      </w:r>
      <w:r>
        <w:rPr>
          <w:sz w:val="24"/>
        </w:rPr>
        <w:t>or</w:t>
      </w:r>
      <w:r>
        <w:rPr>
          <w:spacing w:val="-5"/>
          <w:sz w:val="24"/>
        </w:rPr>
        <w:t> </w:t>
      </w:r>
      <w:r>
        <w:rPr>
          <w:sz w:val="24"/>
        </w:rPr>
        <w:t>whether</w:t>
      </w:r>
      <w:r>
        <w:rPr>
          <w:spacing w:val="-5"/>
          <w:sz w:val="24"/>
        </w:rPr>
        <w:t> </w:t>
      </w:r>
      <w:r>
        <w:rPr>
          <w:sz w:val="24"/>
        </w:rPr>
        <w:t>import</w:t>
      </w:r>
      <w:r>
        <w:rPr>
          <w:spacing w:val="7"/>
          <w:sz w:val="24"/>
        </w:rPr>
        <w:t> </w:t>
      </w:r>
      <w:r>
        <w:rPr>
          <w:sz w:val="24"/>
        </w:rPr>
        <w:t>prices</w:t>
      </w:r>
      <w:r>
        <w:rPr>
          <w:spacing w:val="-3"/>
          <w:sz w:val="24"/>
        </w:rPr>
        <w:t> </w:t>
      </w:r>
      <w:r>
        <w:rPr>
          <w:sz w:val="24"/>
        </w:rPr>
        <w:t>would</w:t>
      </w:r>
      <w:r>
        <w:rPr>
          <w:spacing w:val="-2"/>
          <w:sz w:val="24"/>
        </w:rPr>
        <w:t> </w:t>
      </w:r>
      <w:r>
        <w:rPr>
          <w:sz w:val="24"/>
        </w:rPr>
        <w:t>now</w:t>
      </w:r>
      <w:r>
        <w:rPr>
          <w:spacing w:val="-3"/>
          <w:sz w:val="24"/>
        </w:rPr>
        <w:t> </w:t>
      </w:r>
      <w:r>
        <w:rPr>
          <w:sz w:val="24"/>
        </w:rPr>
        <w:t>start</w:t>
      </w:r>
      <w:r>
        <w:rPr>
          <w:spacing w:val="-3"/>
          <w:sz w:val="24"/>
        </w:rPr>
        <w:t> </w:t>
      </w:r>
      <w:r>
        <w:rPr>
          <w:sz w:val="24"/>
        </w:rPr>
        <w:t>to</w:t>
      </w:r>
      <w:r>
        <w:rPr>
          <w:spacing w:val="-3"/>
          <w:sz w:val="24"/>
        </w:rPr>
        <w:t> </w:t>
      </w:r>
      <w:r>
        <w:rPr>
          <w:sz w:val="24"/>
        </w:rPr>
        <w:t>rise.</w:t>
      </w:r>
    </w:p>
    <w:p>
      <w:pPr>
        <w:pStyle w:val="BodyText"/>
        <w:rPr>
          <w:sz w:val="36"/>
        </w:rPr>
      </w:pPr>
    </w:p>
    <w:p>
      <w:pPr>
        <w:pStyle w:val="ListParagraph"/>
        <w:numPr>
          <w:ilvl w:val="0"/>
          <w:numId w:val="1"/>
        </w:numPr>
        <w:tabs>
          <w:tab w:pos="671" w:val="left" w:leader="none"/>
          <w:tab w:pos="672" w:val="left" w:leader="none"/>
          <w:tab w:pos="1139" w:val="left" w:leader="none"/>
        </w:tabs>
        <w:spacing w:line="360" w:lineRule="auto" w:before="0" w:after="0"/>
        <w:ind w:left="107" w:right="181" w:firstLine="0"/>
        <w:jc w:val="left"/>
        <w:rPr>
          <w:sz w:val="24"/>
        </w:rPr>
      </w:pPr>
      <w:r>
        <w:rPr>
          <w:sz w:val="24"/>
        </w:rPr>
        <w:t>Consumer price inflation had picked up a little more rapidly than expected in the November </w:t>
      </w:r>
      <w:r>
        <w:rPr>
          <w:i/>
          <w:sz w:val="24"/>
        </w:rPr>
        <w:t>Inflation Report</w:t>
      </w:r>
      <w:r>
        <w:rPr>
          <w:sz w:val="24"/>
        </w:rPr>
        <w:t>. Recent outturns </w:t>
      </w:r>
      <w:r>
        <w:rPr>
          <w:spacing w:val="-3"/>
          <w:sz w:val="24"/>
        </w:rPr>
        <w:t>had </w:t>
      </w:r>
      <w:r>
        <w:rPr>
          <w:sz w:val="24"/>
        </w:rPr>
        <w:t>illustrated </w:t>
      </w:r>
      <w:r>
        <w:rPr>
          <w:spacing w:val="-3"/>
          <w:sz w:val="24"/>
        </w:rPr>
        <w:t>that, </w:t>
      </w:r>
      <w:r>
        <w:rPr>
          <w:sz w:val="24"/>
        </w:rPr>
        <w:t>over short periods, CPI inflation could be volatile.</w:t>
        <w:tab/>
        <w:t>Apart from the likelihood of a slightly higher short-term profile for CPI inflation, the November </w:t>
      </w:r>
      <w:r>
        <w:rPr>
          <w:i/>
          <w:sz w:val="24"/>
        </w:rPr>
        <w:t>Inflation Report </w:t>
      </w:r>
      <w:r>
        <w:rPr>
          <w:sz w:val="24"/>
        </w:rPr>
        <w:t>central projection of a pickup in inflation through 2005, reflecting the pressure of demand on supply and higher input and energy costs, still looked reasonable. Inflation</w:t>
      </w:r>
      <w:r>
        <w:rPr>
          <w:spacing w:val="-41"/>
          <w:sz w:val="24"/>
        </w:rPr>
        <w:t> </w:t>
      </w:r>
      <w:r>
        <w:rPr>
          <w:spacing w:val="-2"/>
          <w:sz w:val="24"/>
        </w:rPr>
        <w:t>had </w:t>
      </w:r>
      <w:r>
        <w:rPr>
          <w:spacing w:val="-4"/>
          <w:sz w:val="24"/>
        </w:rPr>
        <w:t>then </w:t>
      </w:r>
      <w:r>
        <w:rPr>
          <w:sz w:val="24"/>
        </w:rPr>
        <w:t>been expected to rise more slowly, reaching the 2% target after two years and remaining slightly above this level thereafter. There would be an opportunity to reassess the projections in the process of preparing the February </w:t>
      </w:r>
      <w:r>
        <w:rPr>
          <w:i/>
          <w:sz w:val="24"/>
        </w:rPr>
        <w:t>Inflation Report</w:t>
      </w:r>
      <w:r>
        <w:rPr>
          <w:sz w:val="24"/>
        </w:rPr>
        <w:t>. </w:t>
      </w:r>
      <w:r>
        <w:rPr>
          <w:spacing w:val="-5"/>
          <w:sz w:val="24"/>
        </w:rPr>
        <w:t>In </w:t>
      </w:r>
      <w:r>
        <w:rPr>
          <w:sz w:val="24"/>
        </w:rPr>
        <w:t>the absence of significant news, members concluded that no change in the repo rate was appropriate this</w:t>
      </w:r>
      <w:r>
        <w:rPr>
          <w:spacing w:val="2"/>
          <w:sz w:val="24"/>
        </w:rPr>
        <w:t> </w:t>
      </w:r>
      <w:r>
        <w:rPr>
          <w:spacing w:val="-2"/>
          <w:sz w:val="24"/>
        </w:rPr>
        <w:t>month.</w:t>
      </w:r>
    </w:p>
    <w:p>
      <w:pPr>
        <w:pStyle w:val="BodyText"/>
        <w:spacing w:before="1"/>
        <w:rPr>
          <w:sz w:val="36"/>
        </w:rPr>
      </w:pPr>
    </w:p>
    <w:p>
      <w:pPr>
        <w:pStyle w:val="ListParagraph"/>
        <w:numPr>
          <w:ilvl w:val="0"/>
          <w:numId w:val="1"/>
        </w:numPr>
        <w:tabs>
          <w:tab w:pos="671" w:val="left" w:leader="none"/>
          <w:tab w:pos="672" w:val="left" w:leader="none"/>
        </w:tabs>
        <w:spacing w:line="355" w:lineRule="auto" w:before="0" w:after="0"/>
        <w:ind w:left="107" w:right="145" w:firstLine="0"/>
        <w:jc w:val="left"/>
        <w:rPr>
          <w:sz w:val="24"/>
        </w:rPr>
      </w:pPr>
      <w:r>
        <w:rPr>
          <w:sz w:val="24"/>
        </w:rPr>
        <w:t>The Governor invited members to vote on the proposition that the repo rate should be</w:t>
      </w:r>
      <w:r>
        <w:rPr>
          <w:spacing w:val="-34"/>
          <w:sz w:val="24"/>
        </w:rPr>
        <w:t> </w:t>
      </w:r>
      <w:r>
        <w:rPr>
          <w:sz w:val="24"/>
        </w:rPr>
        <w:t>maintained at 4.75%. The Committee voted unanimously in favour of the</w:t>
      </w:r>
      <w:r>
        <w:rPr>
          <w:spacing w:val="-1"/>
          <w:sz w:val="24"/>
        </w:rPr>
        <w:t> </w:t>
      </w:r>
      <w:r>
        <w:rPr>
          <w:spacing w:val="-2"/>
          <w:sz w:val="24"/>
        </w:rPr>
        <w:t>proposition.</w:t>
      </w:r>
    </w:p>
    <w:p>
      <w:pPr>
        <w:pStyle w:val="ListParagraph"/>
        <w:numPr>
          <w:ilvl w:val="0"/>
          <w:numId w:val="1"/>
        </w:numPr>
        <w:tabs>
          <w:tab w:pos="671" w:val="left" w:leader="none"/>
          <w:tab w:pos="672" w:val="left" w:leader="none"/>
        </w:tabs>
        <w:spacing w:line="550" w:lineRule="atLeast" w:before="133" w:after="0"/>
        <w:ind w:left="107" w:right="409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215"/>
      </w:pPr>
      <w:r>
        <w:rPr/>
        <w:t>Rachel Lomax, Deputy Governor responsible for monetary policy Andrew Large, Deputy Governor responsible for financial</w:t>
      </w:r>
      <w:r>
        <w:rPr>
          <w:spacing w:val="-40"/>
        </w:rPr>
        <w:t> </w:t>
      </w:r>
      <w:r>
        <w:rPr/>
        <w:t>stability Kate</w:t>
      </w:r>
      <w:r>
        <w:rPr>
          <w:spacing w:val="2"/>
        </w:rPr>
        <w:t> </w:t>
      </w:r>
      <w:r>
        <w:rPr>
          <w:spacing w:val="-2"/>
        </w:rPr>
        <w:t>Barker</w:t>
      </w:r>
    </w:p>
    <w:p>
      <w:pPr>
        <w:pStyle w:val="BodyText"/>
        <w:ind w:left="107" w:right="838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497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42"/>
      <w:ind w:left="100"/>
      <w:outlineLvl w:val="1"/>
    </w:pPr>
    <w:rPr>
      <w:rFonts w:ascii="Book Antiqua" w:hAnsi="Book Antiqua" w:eastAsia="Book Antiqua" w:cs="Book Antiqua"/>
      <w:sz w:val="26"/>
      <w:szCs w:val="26"/>
    </w:rPr>
  </w:style>
  <w:style w:styleId="Heading2" w:type="paragraph">
    <w:name w:val="Heading 2"/>
    <w:basedOn w:val="Normal"/>
    <w:uiPriority w:val="1"/>
    <w:qFormat/>
    <w:pPr>
      <w:ind w:left="10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Monetary Policy, MPC, Minutes</cp:keywords>
  <dc:subject>Monetary Policy Committee Minutes</dc:subject>
  <dc:title>Minutes of Monetary Policy Committee Meeting held on 12 and 13 January 2005</dc:title>
  <dcterms:created xsi:type="dcterms:W3CDTF">2020-06-01T02:07:53Z</dcterms:created>
  <dcterms:modified xsi:type="dcterms:W3CDTF">2020-06-01T02:07:53Z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2005-01-25T00:00:00Z</vt:filetime>
  </property>
  <property fmtid="{D5CDD505-2E9C-101B-9397-08002B2CF9AE}" pid="3" name="Creator">
    <vt:lpwstr>QuarkXPress(tm) 4.11</vt:lpwstr>
  </property>
  <property fmtid="{D5CDD505-2E9C-101B-9397-08002B2CF9AE}" pid="4" name="LastSaved">
    <vt:filetime>2020-06-01T00:00:00Z</vt:filetime>
  </property>
</Properties>
</file>