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19 May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3092" w:right="3104" w:firstLine="0"/>
        <w:jc w:val="center"/>
        <w:rPr>
          <w:rFonts w:ascii="Arial"/>
          <w:b/>
          <w:sz w:val="48"/>
        </w:rPr>
      </w:pPr>
      <w:r>
        <w:rPr>
          <w:rFonts w:ascii="Arial"/>
          <w:b/>
          <w:color w:val="231F20"/>
          <w:sz w:val="48"/>
        </w:rPr>
        <w:t>5 and 6 May 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5 and 6 May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.bankofengland.co.uk/mpc9905.pdf).</w:t>
        </w:r>
      </w:hyperlink>
    </w:p>
    <w:p>
      <w:pPr>
        <w:pStyle w:val="BodyText"/>
        <w:spacing w:before="2"/>
        <w:rPr>
          <w:rFonts w:ascii="Arial"/>
          <w:sz w:val="26"/>
        </w:rPr>
      </w:pPr>
    </w:p>
    <w:p>
      <w:pPr>
        <w:spacing w:line="288" w:lineRule="auto" w:before="0"/>
        <w:ind w:left="100" w:right="20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9 and 10 June will be published</w:t>
      </w:r>
      <w:r>
        <w:rPr>
          <w:rFonts w:ascii="Arial"/>
          <w:color w:val="231F20"/>
          <w:spacing w:val="35"/>
          <w:sz w:val="26"/>
        </w:rPr>
        <w:t> </w:t>
      </w:r>
      <w:r>
        <w:rPr>
          <w:rFonts w:ascii="Arial"/>
          <w:color w:val="231F20"/>
          <w:sz w:val="26"/>
        </w:rPr>
        <w:t>on</w:t>
      </w:r>
    </w:p>
    <w:p>
      <w:pPr>
        <w:spacing w:before="8"/>
        <w:ind w:left="100" w:right="0" w:firstLine="0"/>
        <w:jc w:val="left"/>
        <w:rPr>
          <w:rFonts w:ascii="Arial"/>
          <w:sz w:val="26"/>
        </w:rPr>
      </w:pPr>
      <w:r>
        <w:rPr>
          <w:rFonts w:ascii="Arial"/>
          <w:color w:val="231F20"/>
          <w:sz w:val="26"/>
        </w:rPr>
        <w:t>23 June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9"/>
        </w:rPr>
      </w:pPr>
      <w:r>
        <w:rPr/>
        <w:drawing>
          <wp:anchor distT="0" distB="0" distL="0" distR="0" allowOverlap="1" layoutInCell="1" locked="0" behindDoc="0" simplePos="0" relativeHeight="2">
            <wp:simplePos x="0" y="0"/>
            <wp:positionH relativeFrom="page">
              <wp:posOffset>5326279</wp:posOffset>
            </wp:positionH>
            <wp:positionV relativeFrom="paragraph">
              <wp:posOffset>166233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9"/>
        </w:rPr>
        <w:sectPr>
          <w:type w:val="continuous"/>
          <w:pgSz w:w="11900" w:h="16840"/>
          <w:pgMar w:top="1340" w:bottom="280" w:left="880" w:right="860"/>
        </w:sectPr>
      </w:pPr>
    </w:p>
    <w:p>
      <w:pPr>
        <w:pStyle w:val="BodyText"/>
        <w:rPr>
          <w:rFonts w:ascii="Arial"/>
          <w:sz w:val="20"/>
        </w:rPr>
      </w:pPr>
    </w:p>
    <w:p>
      <w:pPr>
        <w:pStyle w:val="BodyText"/>
        <w:rPr>
          <w:rFonts w:ascii="Arial"/>
          <w:sz w:val="20"/>
        </w:rPr>
      </w:pPr>
    </w:p>
    <w:p>
      <w:pPr>
        <w:pStyle w:val="Heading1"/>
        <w:spacing w:before="218"/>
        <w:ind w:left="401"/>
      </w:pPr>
      <w:r>
        <w:rPr/>
        <w:t>MINUTES OF THE MONETARY POLICY COMMITTEE MEETING ON 5-6 MAY 1999</w:t>
      </w:r>
    </w:p>
    <w:p>
      <w:pPr>
        <w:pStyle w:val="BodyText"/>
        <w:rPr>
          <w:b/>
          <w:sz w:val="26"/>
        </w:rPr>
      </w:pPr>
    </w:p>
    <w:p>
      <w:pPr>
        <w:pStyle w:val="BodyText"/>
        <w:spacing w:before="10"/>
        <w:rPr>
          <w:b/>
          <w:sz w:val="23"/>
        </w:rPr>
      </w:pPr>
    </w:p>
    <w:p>
      <w:pPr>
        <w:pStyle w:val="ListParagraph"/>
        <w:numPr>
          <w:ilvl w:val="0"/>
          <w:numId w:val="1"/>
        </w:numPr>
        <w:tabs>
          <w:tab w:pos="761" w:val="left" w:leader="none"/>
          <w:tab w:pos="762" w:val="left" w:leader="none"/>
        </w:tabs>
        <w:spacing w:line="372" w:lineRule="auto" w:before="0" w:after="0"/>
        <w:ind w:left="401" w:right="431" w:firstLine="0"/>
        <w:jc w:val="left"/>
        <w:rPr>
          <w:sz w:val="24"/>
        </w:rPr>
      </w:pPr>
      <w:r>
        <w:rPr>
          <w:sz w:val="24"/>
        </w:rPr>
        <w:t>Before</w:t>
      </w:r>
      <w:r>
        <w:rPr>
          <w:spacing w:val="-14"/>
          <w:sz w:val="24"/>
        </w:rPr>
        <w:t> </w:t>
      </w:r>
      <w:r>
        <w:rPr>
          <w:sz w:val="24"/>
        </w:rPr>
        <w:t>turning</w:t>
      </w:r>
      <w:r>
        <w:rPr>
          <w:spacing w:val="-13"/>
          <w:sz w:val="24"/>
        </w:rPr>
        <w:t> </w:t>
      </w:r>
      <w:r>
        <w:rPr>
          <w:spacing w:val="2"/>
          <w:sz w:val="24"/>
        </w:rPr>
        <w:t>to</w:t>
      </w:r>
      <w:r>
        <w:rPr>
          <w:spacing w:val="-9"/>
          <w:sz w:val="24"/>
        </w:rPr>
        <w:t> </w:t>
      </w:r>
      <w:r>
        <w:rPr>
          <w:sz w:val="24"/>
        </w:rPr>
        <w:t>its</w:t>
      </w:r>
      <w:r>
        <w:rPr>
          <w:spacing w:val="-13"/>
          <w:sz w:val="24"/>
        </w:rPr>
        <w:t> </w:t>
      </w:r>
      <w:r>
        <w:rPr>
          <w:sz w:val="24"/>
        </w:rPr>
        <w:t>immediate</w:t>
      </w:r>
      <w:r>
        <w:rPr>
          <w:spacing w:val="-13"/>
          <w:sz w:val="24"/>
        </w:rPr>
        <w:t> </w:t>
      </w:r>
      <w:r>
        <w:rPr>
          <w:sz w:val="24"/>
        </w:rPr>
        <w:t>policy</w:t>
      </w:r>
      <w:r>
        <w:rPr>
          <w:spacing w:val="-13"/>
          <w:sz w:val="24"/>
        </w:rPr>
        <w:t> </w:t>
      </w:r>
      <w:r>
        <w:rPr>
          <w:sz w:val="24"/>
        </w:rPr>
        <w:t>decision,</w:t>
      </w:r>
      <w:r>
        <w:rPr>
          <w:spacing w:val="-13"/>
          <w:sz w:val="24"/>
        </w:rPr>
        <w:t> </w:t>
      </w:r>
      <w:r>
        <w:rPr>
          <w:sz w:val="24"/>
        </w:rPr>
        <w:t>the</w:t>
      </w:r>
      <w:r>
        <w:rPr>
          <w:spacing w:val="-13"/>
          <w:sz w:val="24"/>
        </w:rPr>
        <w:t> </w:t>
      </w:r>
      <w:r>
        <w:rPr>
          <w:sz w:val="24"/>
        </w:rPr>
        <w:t>Committee</w:t>
      </w:r>
      <w:r>
        <w:rPr>
          <w:spacing w:val="-13"/>
          <w:sz w:val="24"/>
        </w:rPr>
        <w:t> </w:t>
      </w:r>
      <w:r>
        <w:rPr>
          <w:sz w:val="24"/>
        </w:rPr>
        <w:t>reviewed</w:t>
      </w:r>
      <w:r>
        <w:rPr>
          <w:spacing w:val="-12"/>
          <w:sz w:val="24"/>
        </w:rPr>
        <w:t> </w:t>
      </w:r>
      <w:r>
        <w:rPr>
          <w:sz w:val="24"/>
        </w:rPr>
        <w:t>developments</w:t>
      </w:r>
      <w:r>
        <w:rPr>
          <w:spacing w:val="-13"/>
          <w:sz w:val="24"/>
        </w:rPr>
        <w:t> </w:t>
      </w:r>
      <w:r>
        <w:rPr>
          <w:sz w:val="24"/>
        </w:rPr>
        <w:t>in</w:t>
      </w:r>
      <w:r>
        <w:rPr>
          <w:spacing w:val="-13"/>
          <w:sz w:val="24"/>
        </w:rPr>
        <w:t> </w:t>
      </w:r>
      <w:r>
        <w:rPr>
          <w:sz w:val="24"/>
        </w:rPr>
        <w:t>the world</w:t>
      </w:r>
      <w:r>
        <w:rPr>
          <w:spacing w:val="-14"/>
          <w:sz w:val="24"/>
        </w:rPr>
        <w:t> </w:t>
      </w:r>
      <w:r>
        <w:rPr>
          <w:sz w:val="24"/>
        </w:rPr>
        <w:t>economy,</w:t>
      </w:r>
      <w:r>
        <w:rPr>
          <w:spacing w:val="-14"/>
          <w:sz w:val="24"/>
        </w:rPr>
        <w:t> </w:t>
      </w:r>
      <w:r>
        <w:rPr>
          <w:sz w:val="24"/>
        </w:rPr>
        <w:t>monetary</w:t>
      </w:r>
      <w:r>
        <w:rPr>
          <w:spacing w:val="-14"/>
          <w:sz w:val="24"/>
        </w:rPr>
        <w:t> </w:t>
      </w:r>
      <w:r>
        <w:rPr>
          <w:sz w:val="24"/>
        </w:rPr>
        <w:t>and</w:t>
      </w:r>
      <w:r>
        <w:rPr>
          <w:spacing w:val="-13"/>
          <w:sz w:val="24"/>
        </w:rPr>
        <w:t> </w:t>
      </w:r>
      <w:r>
        <w:rPr>
          <w:sz w:val="24"/>
        </w:rPr>
        <w:t>financial</w:t>
      </w:r>
      <w:r>
        <w:rPr>
          <w:spacing w:val="-14"/>
          <w:sz w:val="24"/>
        </w:rPr>
        <w:t> </w:t>
      </w:r>
      <w:r>
        <w:rPr>
          <w:sz w:val="24"/>
        </w:rPr>
        <w:t>market</w:t>
      </w:r>
      <w:r>
        <w:rPr>
          <w:spacing w:val="-10"/>
          <w:sz w:val="24"/>
        </w:rPr>
        <w:t> </w:t>
      </w:r>
      <w:r>
        <w:rPr>
          <w:sz w:val="24"/>
        </w:rPr>
        <w:t>conditions,</w:t>
      </w:r>
      <w:r>
        <w:rPr>
          <w:spacing w:val="-14"/>
          <w:sz w:val="24"/>
        </w:rPr>
        <w:t> </w:t>
      </w:r>
      <w:r>
        <w:rPr>
          <w:sz w:val="24"/>
        </w:rPr>
        <w:t>demand</w:t>
      </w:r>
      <w:r>
        <w:rPr>
          <w:spacing w:val="-13"/>
          <w:sz w:val="24"/>
        </w:rPr>
        <w:t> </w:t>
      </w:r>
      <w:r>
        <w:rPr>
          <w:sz w:val="24"/>
        </w:rPr>
        <w:t>and</w:t>
      </w:r>
      <w:r>
        <w:rPr>
          <w:spacing w:val="-14"/>
          <w:sz w:val="24"/>
        </w:rPr>
        <w:t> </w:t>
      </w:r>
      <w:r>
        <w:rPr>
          <w:spacing w:val="3"/>
          <w:sz w:val="24"/>
        </w:rPr>
        <w:t>output,</w:t>
      </w:r>
      <w:r>
        <w:rPr>
          <w:spacing w:val="-10"/>
          <w:sz w:val="24"/>
        </w:rPr>
        <w:t> </w:t>
      </w:r>
      <w:r>
        <w:rPr>
          <w:sz w:val="24"/>
        </w:rPr>
        <w:t>the</w:t>
      </w:r>
      <w:r>
        <w:rPr>
          <w:spacing w:val="-14"/>
          <w:sz w:val="24"/>
        </w:rPr>
        <w:t> </w:t>
      </w:r>
      <w:r>
        <w:rPr>
          <w:sz w:val="24"/>
        </w:rPr>
        <w:t>labour</w:t>
      </w:r>
      <w:r>
        <w:rPr>
          <w:spacing w:val="-13"/>
          <w:sz w:val="24"/>
        </w:rPr>
        <w:t> </w:t>
      </w:r>
      <w:r>
        <w:rPr>
          <w:sz w:val="24"/>
        </w:rPr>
        <w:t>market, and prices in the context of finalising its latest projections for inflation and </w:t>
      </w:r>
      <w:r>
        <w:rPr>
          <w:spacing w:val="3"/>
          <w:sz w:val="24"/>
        </w:rPr>
        <w:t>output </w:t>
      </w:r>
      <w:r>
        <w:rPr>
          <w:sz w:val="24"/>
        </w:rPr>
        <w:t>growth; and discussed the appropriate policy response </w:t>
      </w:r>
      <w:r>
        <w:rPr>
          <w:spacing w:val="2"/>
          <w:sz w:val="24"/>
        </w:rPr>
        <w:t>to </w:t>
      </w:r>
      <w:r>
        <w:rPr>
          <w:sz w:val="24"/>
        </w:rPr>
        <w:t>the further rise in </w:t>
      </w:r>
      <w:r>
        <w:rPr>
          <w:spacing w:val="-3"/>
          <w:sz w:val="24"/>
        </w:rPr>
        <w:t>sterling’s </w:t>
      </w:r>
      <w:r>
        <w:rPr>
          <w:sz w:val="24"/>
        </w:rPr>
        <w:t>exchange</w:t>
      </w:r>
      <w:r>
        <w:rPr>
          <w:spacing w:val="-26"/>
          <w:sz w:val="24"/>
        </w:rPr>
        <w:t> </w:t>
      </w:r>
      <w:r>
        <w:rPr>
          <w:sz w:val="24"/>
        </w:rPr>
        <w:t>rate.</w:t>
      </w:r>
    </w:p>
    <w:p>
      <w:pPr>
        <w:pStyle w:val="BodyText"/>
        <w:spacing w:before="4"/>
        <w:rPr>
          <w:sz w:val="37"/>
        </w:rPr>
      </w:pPr>
    </w:p>
    <w:p>
      <w:pPr>
        <w:pStyle w:val="Heading1"/>
        <w:spacing w:before="1"/>
        <w:ind w:left="334"/>
      </w:pPr>
      <w:r>
        <w:rPr/>
        <w:t>The world economy</w:t>
      </w:r>
    </w:p>
    <w:p>
      <w:pPr>
        <w:pStyle w:val="BodyText"/>
        <w:rPr>
          <w:b/>
          <w:sz w:val="26"/>
        </w:rPr>
      </w:pPr>
    </w:p>
    <w:p>
      <w:pPr>
        <w:pStyle w:val="BodyText"/>
        <w:spacing w:before="10"/>
        <w:rPr>
          <w:b/>
          <w:sz w:val="23"/>
        </w:rPr>
      </w:pPr>
    </w:p>
    <w:p>
      <w:pPr>
        <w:pStyle w:val="ListParagraph"/>
        <w:numPr>
          <w:ilvl w:val="0"/>
          <w:numId w:val="1"/>
        </w:numPr>
        <w:tabs>
          <w:tab w:pos="761" w:val="left" w:leader="none"/>
          <w:tab w:pos="762" w:val="left" w:leader="none"/>
        </w:tabs>
        <w:spacing w:line="372" w:lineRule="auto" w:before="0" w:after="0"/>
        <w:ind w:left="401" w:right="364" w:firstLine="0"/>
        <w:jc w:val="left"/>
        <w:rPr>
          <w:sz w:val="24"/>
        </w:rPr>
      </w:pPr>
      <w:r>
        <w:rPr>
          <w:sz w:val="24"/>
        </w:rPr>
        <w:t>The Committee discussed whether there had been a material change in the world economic </w:t>
      </w:r>
      <w:r>
        <w:rPr>
          <w:spacing w:val="3"/>
          <w:sz w:val="24"/>
        </w:rPr>
        <w:t>outlook, </w:t>
      </w:r>
      <w:r>
        <w:rPr>
          <w:sz w:val="24"/>
        </w:rPr>
        <w:t>or in the balance of risks, since its February </w:t>
      </w:r>
      <w:r>
        <w:rPr>
          <w:i/>
          <w:sz w:val="24"/>
        </w:rPr>
        <w:t>Inflation Report</w:t>
      </w:r>
      <w:r>
        <w:rPr>
          <w:sz w:val="24"/>
        </w:rPr>
        <w:t>. Overall, prospects had slightly improved. In particular, US economic growth had again been strong, and was unaccompanied by manifest signs of rising inflation. It now seemed likely that growth in 1999 would be higher than previously expected. The longer the strength of demand persisted, the greater would be the risk of the economy hitting capacity constraints and inflationary pressures emerging.</w:t>
      </w:r>
      <w:r>
        <w:rPr>
          <w:spacing w:val="18"/>
          <w:sz w:val="24"/>
        </w:rPr>
        <w:t> </w:t>
      </w:r>
      <w:r>
        <w:rPr>
          <w:sz w:val="24"/>
        </w:rPr>
        <w:t>Unemployment</w:t>
      </w:r>
      <w:r>
        <w:rPr>
          <w:spacing w:val="-18"/>
          <w:sz w:val="24"/>
        </w:rPr>
        <w:t> </w:t>
      </w:r>
      <w:r>
        <w:rPr>
          <w:sz w:val="24"/>
        </w:rPr>
        <w:t>was</w:t>
      </w:r>
      <w:r>
        <w:rPr>
          <w:spacing w:val="-21"/>
          <w:sz w:val="24"/>
        </w:rPr>
        <w:t> </w:t>
      </w:r>
      <w:r>
        <w:rPr>
          <w:sz w:val="24"/>
        </w:rPr>
        <w:t>already</w:t>
      </w:r>
      <w:r>
        <w:rPr>
          <w:spacing w:val="-21"/>
          <w:sz w:val="24"/>
        </w:rPr>
        <w:t> </w:t>
      </w:r>
      <w:r>
        <w:rPr>
          <w:sz w:val="24"/>
        </w:rPr>
        <w:t>significantly</w:t>
      </w:r>
      <w:r>
        <w:rPr>
          <w:spacing w:val="-20"/>
          <w:sz w:val="24"/>
        </w:rPr>
        <w:t> </w:t>
      </w:r>
      <w:r>
        <w:rPr>
          <w:sz w:val="24"/>
        </w:rPr>
        <w:t>below</w:t>
      </w:r>
      <w:r>
        <w:rPr>
          <w:spacing w:val="-21"/>
          <w:sz w:val="24"/>
        </w:rPr>
        <w:t> </w:t>
      </w:r>
      <w:r>
        <w:rPr>
          <w:sz w:val="24"/>
        </w:rPr>
        <w:t>the</w:t>
      </w:r>
      <w:r>
        <w:rPr>
          <w:spacing w:val="-21"/>
          <w:sz w:val="24"/>
        </w:rPr>
        <w:t> </w:t>
      </w:r>
      <w:r>
        <w:rPr>
          <w:sz w:val="24"/>
        </w:rPr>
        <w:t>level</w:t>
      </w:r>
      <w:r>
        <w:rPr>
          <w:spacing w:val="-21"/>
          <w:sz w:val="24"/>
        </w:rPr>
        <w:t> </w:t>
      </w:r>
      <w:r>
        <w:rPr>
          <w:sz w:val="24"/>
        </w:rPr>
        <w:t>previously</w:t>
      </w:r>
      <w:r>
        <w:rPr>
          <w:spacing w:val="-21"/>
          <w:sz w:val="24"/>
        </w:rPr>
        <w:t> </w:t>
      </w:r>
      <w:r>
        <w:rPr>
          <w:sz w:val="24"/>
        </w:rPr>
        <w:t>generally</w:t>
      </w:r>
      <w:r>
        <w:rPr>
          <w:spacing w:val="-21"/>
          <w:sz w:val="24"/>
        </w:rPr>
        <w:t> </w:t>
      </w:r>
      <w:r>
        <w:rPr>
          <w:sz w:val="24"/>
        </w:rPr>
        <w:t>thought</w:t>
      </w:r>
      <w:r>
        <w:rPr>
          <w:spacing w:val="-17"/>
          <w:sz w:val="24"/>
        </w:rPr>
        <w:t> </w:t>
      </w:r>
      <w:r>
        <w:rPr>
          <w:sz w:val="24"/>
        </w:rPr>
        <w:t>to be consistent with stable inflation. Productivity growth had also risen above most previous estimates of its trend, despite the length of the current expansion. The resulting uncertainty about the path of capacity </w:t>
      </w:r>
      <w:r>
        <w:rPr>
          <w:spacing w:val="3"/>
          <w:sz w:val="24"/>
        </w:rPr>
        <w:t>output </w:t>
      </w:r>
      <w:r>
        <w:rPr>
          <w:sz w:val="24"/>
        </w:rPr>
        <w:t>complicated US monetary policy. If any eventual tightening therefore came as a surprise, there might be a larger reaction in financial markets, particularly given the continuing strength of the equity market. The US </w:t>
      </w:r>
      <w:r>
        <w:rPr>
          <w:spacing w:val="3"/>
          <w:sz w:val="24"/>
        </w:rPr>
        <w:t>outlook </w:t>
      </w:r>
      <w:r>
        <w:rPr>
          <w:sz w:val="24"/>
        </w:rPr>
        <w:t>was a major area of uncertainty in the world</w:t>
      </w:r>
      <w:r>
        <w:rPr>
          <w:spacing w:val="1"/>
          <w:sz w:val="24"/>
        </w:rPr>
        <w:t> </w:t>
      </w:r>
      <w:r>
        <w:rPr>
          <w:sz w:val="24"/>
        </w:rPr>
        <w:t>economy.</w:t>
      </w:r>
    </w:p>
    <w:p>
      <w:pPr>
        <w:pStyle w:val="BodyText"/>
        <w:spacing w:before="5"/>
        <w:rPr>
          <w:sz w:val="36"/>
        </w:rPr>
      </w:pPr>
    </w:p>
    <w:p>
      <w:pPr>
        <w:pStyle w:val="ListParagraph"/>
        <w:numPr>
          <w:ilvl w:val="0"/>
          <w:numId w:val="1"/>
        </w:numPr>
        <w:tabs>
          <w:tab w:pos="761" w:val="left" w:leader="none"/>
          <w:tab w:pos="762" w:val="left" w:leader="none"/>
        </w:tabs>
        <w:spacing w:line="372" w:lineRule="auto" w:before="1" w:after="0"/>
        <w:ind w:left="401" w:right="401" w:firstLine="0"/>
        <w:jc w:val="left"/>
        <w:rPr>
          <w:sz w:val="24"/>
        </w:rPr>
      </w:pPr>
      <w:r>
        <w:rPr>
          <w:sz w:val="24"/>
        </w:rPr>
        <w:t>Economic</w:t>
      </w:r>
      <w:r>
        <w:rPr>
          <w:spacing w:val="-6"/>
          <w:sz w:val="24"/>
        </w:rPr>
        <w:t> </w:t>
      </w:r>
      <w:r>
        <w:rPr>
          <w:sz w:val="24"/>
        </w:rPr>
        <w:t>prospects</w:t>
      </w:r>
      <w:r>
        <w:rPr>
          <w:spacing w:val="-7"/>
          <w:sz w:val="24"/>
        </w:rPr>
        <w:t> </w:t>
      </w:r>
      <w:r>
        <w:rPr>
          <w:sz w:val="24"/>
        </w:rPr>
        <w:t>in</w:t>
      </w:r>
      <w:r>
        <w:rPr>
          <w:spacing w:val="-7"/>
          <w:sz w:val="24"/>
        </w:rPr>
        <w:t> </w:t>
      </w:r>
      <w:r>
        <w:rPr>
          <w:sz w:val="24"/>
        </w:rPr>
        <w:t>the</w:t>
      </w:r>
      <w:r>
        <w:rPr>
          <w:spacing w:val="-7"/>
          <w:sz w:val="24"/>
        </w:rPr>
        <w:t> </w:t>
      </w:r>
      <w:r>
        <w:rPr>
          <w:sz w:val="24"/>
        </w:rPr>
        <w:t>euro</w:t>
      </w:r>
      <w:r>
        <w:rPr>
          <w:spacing w:val="-7"/>
          <w:sz w:val="24"/>
        </w:rPr>
        <w:t> </w:t>
      </w:r>
      <w:r>
        <w:rPr>
          <w:sz w:val="24"/>
        </w:rPr>
        <w:t>area</w:t>
      </w:r>
      <w:r>
        <w:rPr>
          <w:spacing w:val="-7"/>
          <w:sz w:val="24"/>
        </w:rPr>
        <w:t> </w:t>
      </w:r>
      <w:r>
        <w:rPr>
          <w:sz w:val="24"/>
        </w:rPr>
        <w:t>remained</w:t>
      </w:r>
      <w:r>
        <w:rPr>
          <w:spacing w:val="-6"/>
          <w:sz w:val="24"/>
        </w:rPr>
        <w:t> </w:t>
      </w:r>
      <w:r>
        <w:rPr>
          <w:sz w:val="24"/>
        </w:rPr>
        <w:t>subdued,</w:t>
      </w:r>
      <w:r>
        <w:rPr>
          <w:spacing w:val="-7"/>
          <w:sz w:val="24"/>
        </w:rPr>
        <w:t> </w:t>
      </w:r>
      <w:r>
        <w:rPr>
          <w:sz w:val="24"/>
        </w:rPr>
        <w:t>and</w:t>
      </w:r>
      <w:r>
        <w:rPr>
          <w:spacing w:val="-7"/>
          <w:sz w:val="24"/>
        </w:rPr>
        <w:t> </w:t>
      </w:r>
      <w:r>
        <w:rPr>
          <w:sz w:val="24"/>
        </w:rPr>
        <w:t>were</w:t>
      </w:r>
      <w:r>
        <w:rPr>
          <w:spacing w:val="-7"/>
          <w:sz w:val="24"/>
        </w:rPr>
        <w:t> </w:t>
      </w:r>
      <w:r>
        <w:rPr>
          <w:sz w:val="24"/>
        </w:rPr>
        <w:t>judged</w:t>
      </w:r>
      <w:r>
        <w:rPr>
          <w:spacing w:val="-7"/>
          <w:sz w:val="24"/>
        </w:rPr>
        <w:t> </w:t>
      </w:r>
      <w:r>
        <w:rPr>
          <w:spacing w:val="2"/>
          <w:sz w:val="24"/>
        </w:rPr>
        <w:t>to</w:t>
      </w:r>
      <w:r>
        <w:rPr>
          <w:spacing w:val="-3"/>
          <w:sz w:val="24"/>
        </w:rPr>
        <w:t> </w:t>
      </w:r>
      <w:r>
        <w:rPr>
          <w:sz w:val="24"/>
        </w:rPr>
        <w:t>be</w:t>
      </w:r>
      <w:r>
        <w:rPr>
          <w:spacing w:val="-7"/>
          <w:sz w:val="24"/>
        </w:rPr>
        <w:t> </w:t>
      </w:r>
      <w:r>
        <w:rPr>
          <w:sz w:val="24"/>
        </w:rPr>
        <w:t>slightly</w:t>
      </w:r>
      <w:r>
        <w:rPr>
          <w:spacing w:val="-7"/>
          <w:sz w:val="24"/>
        </w:rPr>
        <w:t> </w:t>
      </w:r>
      <w:r>
        <w:rPr>
          <w:sz w:val="24"/>
        </w:rPr>
        <w:t>weaker than</w:t>
      </w:r>
      <w:r>
        <w:rPr>
          <w:spacing w:val="-12"/>
          <w:sz w:val="24"/>
        </w:rPr>
        <w:t> </w:t>
      </w:r>
      <w:r>
        <w:rPr>
          <w:sz w:val="24"/>
        </w:rPr>
        <w:t>in</w:t>
      </w:r>
      <w:r>
        <w:rPr>
          <w:spacing w:val="-12"/>
          <w:sz w:val="24"/>
        </w:rPr>
        <w:t> </w:t>
      </w:r>
      <w:r>
        <w:rPr>
          <w:sz w:val="24"/>
        </w:rPr>
        <w:t>February.</w:t>
      </w:r>
      <w:r>
        <w:rPr>
          <w:spacing w:val="36"/>
          <w:sz w:val="24"/>
        </w:rPr>
        <w:t> </w:t>
      </w:r>
      <w:r>
        <w:rPr>
          <w:sz w:val="24"/>
        </w:rPr>
        <w:t>While</w:t>
      </w:r>
      <w:r>
        <w:rPr>
          <w:spacing w:val="-12"/>
          <w:sz w:val="24"/>
        </w:rPr>
        <w:t> </w:t>
      </w:r>
      <w:r>
        <w:rPr>
          <w:sz w:val="24"/>
        </w:rPr>
        <w:t>the</w:t>
      </w:r>
      <w:r>
        <w:rPr>
          <w:spacing w:val="-12"/>
          <w:sz w:val="24"/>
        </w:rPr>
        <w:t> </w:t>
      </w:r>
      <w:r>
        <w:rPr>
          <w:sz w:val="24"/>
        </w:rPr>
        <w:t>50</w:t>
      </w:r>
      <w:r>
        <w:rPr>
          <w:spacing w:val="-12"/>
          <w:sz w:val="24"/>
        </w:rPr>
        <w:t> </w:t>
      </w:r>
      <w:r>
        <w:rPr>
          <w:sz w:val="24"/>
        </w:rPr>
        <w:t>basis</w:t>
      </w:r>
      <w:r>
        <w:rPr>
          <w:spacing w:val="-12"/>
          <w:sz w:val="24"/>
        </w:rPr>
        <w:t> </w:t>
      </w:r>
      <w:r>
        <w:rPr>
          <w:sz w:val="24"/>
        </w:rPr>
        <w:t>point</w:t>
      </w:r>
      <w:r>
        <w:rPr>
          <w:spacing w:val="-8"/>
          <w:sz w:val="24"/>
        </w:rPr>
        <w:t> </w:t>
      </w:r>
      <w:r>
        <w:rPr>
          <w:sz w:val="24"/>
        </w:rPr>
        <w:t>reduction</w:t>
      </w:r>
      <w:r>
        <w:rPr>
          <w:spacing w:val="-11"/>
          <w:sz w:val="24"/>
        </w:rPr>
        <w:t> </w:t>
      </w:r>
      <w:r>
        <w:rPr>
          <w:sz w:val="24"/>
        </w:rPr>
        <w:t>in</w:t>
      </w:r>
      <w:r>
        <w:rPr>
          <w:spacing w:val="-11"/>
          <w:sz w:val="24"/>
        </w:rPr>
        <w:t> </w:t>
      </w:r>
      <w:r>
        <w:rPr>
          <w:spacing w:val="3"/>
          <w:sz w:val="24"/>
        </w:rPr>
        <w:t>official</w:t>
      </w:r>
      <w:r>
        <w:rPr>
          <w:spacing w:val="-9"/>
          <w:sz w:val="24"/>
        </w:rPr>
        <w:t> </w:t>
      </w:r>
      <w:r>
        <w:rPr>
          <w:sz w:val="24"/>
        </w:rPr>
        <w:t>interest</w:t>
      </w:r>
      <w:r>
        <w:rPr>
          <w:spacing w:val="-8"/>
          <w:sz w:val="24"/>
        </w:rPr>
        <w:t> </w:t>
      </w:r>
      <w:r>
        <w:rPr>
          <w:sz w:val="24"/>
        </w:rPr>
        <w:t>rates</w:t>
      </w:r>
      <w:r>
        <w:rPr>
          <w:spacing w:val="-10"/>
          <w:sz w:val="24"/>
        </w:rPr>
        <w:t> </w:t>
      </w:r>
      <w:r>
        <w:rPr>
          <w:sz w:val="24"/>
        </w:rPr>
        <w:t>should</w:t>
      </w:r>
      <w:r>
        <w:rPr>
          <w:spacing w:val="-12"/>
          <w:sz w:val="24"/>
        </w:rPr>
        <w:t> </w:t>
      </w:r>
      <w:r>
        <w:rPr>
          <w:sz w:val="24"/>
        </w:rPr>
        <w:t>help,</w:t>
      </w:r>
      <w:r>
        <w:rPr>
          <w:spacing w:val="-12"/>
          <w:sz w:val="24"/>
        </w:rPr>
        <w:t> </w:t>
      </w:r>
      <w:r>
        <w:rPr>
          <w:sz w:val="24"/>
        </w:rPr>
        <w:t>business confidence indicators were still weak. Despite some improvement in sentiment, the economic </w:t>
      </w:r>
      <w:r>
        <w:rPr>
          <w:spacing w:val="3"/>
          <w:sz w:val="24"/>
        </w:rPr>
        <w:t>outlook </w:t>
      </w:r>
      <w:r>
        <w:rPr>
          <w:sz w:val="24"/>
        </w:rPr>
        <w:t>in Japan continued </w:t>
      </w:r>
      <w:r>
        <w:rPr>
          <w:spacing w:val="2"/>
          <w:sz w:val="24"/>
        </w:rPr>
        <w:t>to </w:t>
      </w:r>
      <w:r>
        <w:rPr>
          <w:sz w:val="24"/>
        </w:rPr>
        <w:t>be</w:t>
      </w:r>
      <w:r>
        <w:rPr>
          <w:spacing w:val="12"/>
          <w:sz w:val="24"/>
        </w:rPr>
        <w:t> </w:t>
      </w:r>
      <w:r>
        <w:rPr>
          <w:sz w:val="24"/>
        </w:rPr>
        <w:t>uncertain.</w:t>
      </w:r>
    </w:p>
    <w:p>
      <w:pPr>
        <w:pStyle w:val="BodyText"/>
        <w:spacing w:before="10"/>
        <w:rPr>
          <w:sz w:val="36"/>
        </w:rPr>
      </w:pPr>
    </w:p>
    <w:p>
      <w:pPr>
        <w:pStyle w:val="ListParagraph"/>
        <w:numPr>
          <w:ilvl w:val="0"/>
          <w:numId w:val="1"/>
        </w:numPr>
        <w:tabs>
          <w:tab w:pos="761" w:val="left" w:leader="none"/>
          <w:tab w:pos="762" w:val="left" w:leader="none"/>
        </w:tabs>
        <w:spacing w:line="372" w:lineRule="auto" w:before="1" w:after="0"/>
        <w:ind w:left="401" w:right="383" w:firstLine="0"/>
        <w:jc w:val="left"/>
        <w:rPr>
          <w:sz w:val="24"/>
        </w:rPr>
      </w:pPr>
      <w:r>
        <w:rPr>
          <w:sz w:val="24"/>
        </w:rPr>
        <w:t>Conditions</w:t>
      </w:r>
      <w:r>
        <w:rPr>
          <w:spacing w:val="-13"/>
          <w:sz w:val="24"/>
        </w:rPr>
        <w:t> </w:t>
      </w:r>
      <w:r>
        <w:rPr>
          <w:sz w:val="24"/>
        </w:rPr>
        <w:t>in</w:t>
      </w:r>
      <w:r>
        <w:rPr>
          <w:spacing w:val="-13"/>
          <w:sz w:val="24"/>
        </w:rPr>
        <w:t> </w:t>
      </w:r>
      <w:r>
        <w:rPr>
          <w:sz w:val="24"/>
        </w:rPr>
        <w:t>emerging</w:t>
      </w:r>
      <w:r>
        <w:rPr>
          <w:spacing w:val="-13"/>
          <w:sz w:val="24"/>
        </w:rPr>
        <w:t> </w:t>
      </w:r>
      <w:r>
        <w:rPr>
          <w:sz w:val="24"/>
        </w:rPr>
        <w:t>market</w:t>
      </w:r>
      <w:r>
        <w:rPr>
          <w:spacing w:val="-9"/>
          <w:sz w:val="24"/>
        </w:rPr>
        <w:t> </w:t>
      </w:r>
      <w:r>
        <w:rPr>
          <w:sz w:val="24"/>
        </w:rPr>
        <w:t>economies,</w:t>
      </w:r>
      <w:r>
        <w:rPr>
          <w:spacing w:val="-13"/>
          <w:sz w:val="24"/>
        </w:rPr>
        <w:t> </w:t>
      </w:r>
      <w:r>
        <w:rPr>
          <w:sz w:val="24"/>
        </w:rPr>
        <w:t>taken</w:t>
      </w:r>
      <w:r>
        <w:rPr>
          <w:spacing w:val="-13"/>
          <w:sz w:val="24"/>
        </w:rPr>
        <w:t> </w:t>
      </w:r>
      <w:r>
        <w:rPr>
          <w:sz w:val="24"/>
        </w:rPr>
        <w:t>as</w:t>
      </w:r>
      <w:r>
        <w:rPr>
          <w:spacing w:val="-13"/>
          <w:sz w:val="24"/>
        </w:rPr>
        <w:t> </w:t>
      </w:r>
      <w:r>
        <w:rPr>
          <w:sz w:val="24"/>
        </w:rPr>
        <w:t>a</w:t>
      </w:r>
      <w:r>
        <w:rPr>
          <w:spacing w:val="-13"/>
          <w:sz w:val="24"/>
        </w:rPr>
        <w:t> </w:t>
      </w:r>
      <w:r>
        <w:rPr>
          <w:sz w:val="24"/>
        </w:rPr>
        <w:t>whole,</w:t>
      </w:r>
      <w:r>
        <w:rPr>
          <w:spacing w:val="-13"/>
          <w:sz w:val="24"/>
        </w:rPr>
        <w:t> </w:t>
      </w:r>
      <w:r>
        <w:rPr>
          <w:sz w:val="24"/>
        </w:rPr>
        <w:t>had</w:t>
      </w:r>
      <w:r>
        <w:rPr>
          <w:spacing w:val="-13"/>
          <w:sz w:val="24"/>
        </w:rPr>
        <w:t> </w:t>
      </w:r>
      <w:r>
        <w:rPr>
          <w:sz w:val="24"/>
        </w:rPr>
        <w:t>improved</w:t>
      </w:r>
      <w:r>
        <w:rPr>
          <w:spacing w:val="-13"/>
          <w:sz w:val="24"/>
        </w:rPr>
        <w:t> </w:t>
      </w:r>
      <w:r>
        <w:rPr>
          <w:sz w:val="24"/>
        </w:rPr>
        <w:t>somewhat</w:t>
      </w:r>
      <w:r>
        <w:rPr>
          <w:spacing w:val="-9"/>
          <w:sz w:val="24"/>
        </w:rPr>
        <w:t> </w:t>
      </w:r>
      <w:r>
        <w:rPr>
          <w:sz w:val="24"/>
        </w:rPr>
        <w:t>in</w:t>
      </w:r>
      <w:r>
        <w:rPr>
          <w:spacing w:val="-13"/>
          <w:sz w:val="24"/>
        </w:rPr>
        <w:t> </w:t>
      </w:r>
      <w:r>
        <w:rPr>
          <w:sz w:val="24"/>
        </w:rPr>
        <w:t>recent months. This was evident in the yields on US$-denominated bonds issued by emerging market economy</w:t>
      </w:r>
      <w:r>
        <w:rPr>
          <w:spacing w:val="-8"/>
          <w:sz w:val="24"/>
        </w:rPr>
        <w:t> </w:t>
      </w:r>
      <w:r>
        <w:rPr>
          <w:sz w:val="24"/>
        </w:rPr>
        <w:t>governments,</w:t>
      </w:r>
      <w:r>
        <w:rPr>
          <w:spacing w:val="-7"/>
          <w:sz w:val="24"/>
        </w:rPr>
        <w:t> </w:t>
      </w:r>
      <w:r>
        <w:rPr>
          <w:sz w:val="24"/>
        </w:rPr>
        <w:t>which</w:t>
      </w:r>
      <w:r>
        <w:rPr>
          <w:spacing w:val="-8"/>
          <w:sz w:val="24"/>
        </w:rPr>
        <w:t> </w:t>
      </w:r>
      <w:r>
        <w:rPr>
          <w:sz w:val="24"/>
        </w:rPr>
        <w:t>were</w:t>
      </w:r>
      <w:r>
        <w:rPr>
          <w:spacing w:val="-7"/>
          <w:sz w:val="24"/>
        </w:rPr>
        <w:t> </w:t>
      </w:r>
      <w:r>
        <w:rPr>
          <w:sz w:val="24"/>
        </w:rPr>
        <w:t>on</w:t>
      </w:r>
      <w:r>
        <w:rPr>
          <w:spacing w:val="-3"/>
          <w:sz w:val="24"/>
        </w:rPr>
        <w:t> </w:t>
      </w:r>
      <w:r>
        <w:rPr>
          <w:sz w:val="24"/>
        </w:rPr>
        <w:t>average</w:t>
      </w:r>
      <w:r>
        <w:rPr>
          <w:spacing w:val="-8"/>
          <w:sz w:val="24"/>
        </w:rPr>
        <w:t> </w:t>
      </w:r>
      <w:r>
        <w:rPr>
          <w:sz w:val="24"/>
        </w:rPr>
        <w:t>down</w:t>
      </w:r>
      <w:r>
        <w:rPr>
          <w:spacing w:val="-7"/>
          <w:sz w:val="24"/>
        </w:rPr>
        <w:t> </w:t>
      </w:r>
      <w:r>
        <w:rPr>
          <w:sz w:val="24"/>
        </w:rPr>
        <w:t>about</w:t>
      </w:r>
      <w:r>
        <w:rPr>
          <w:spacing w:val="-4"/>
          <w:sz w:val="24"/>
        </w:rPr>
        <w:t> </w:t>
      </w:r>
      <w:r>
        <w:rPr>
          <w:sz w:val="24"/>
        </w:rPr>
        <w:t>three</w:t>
      </w:r>
      <w:r>
        <w:rPr>
          <w:spacing w:val="-7"/>
          <w:sz w:val="24"/>
        </w:rPr>
        <w:t> </w:t>
      </w:r>
      <w:r>
        <w:rPr>
          <w:sz w:val="24"/>
        </w:rPr>
        <w:t>percentage</w:t>
      </w:r>
      <w:r>
        <w:rPr>
          <w:spacing w:val="-7"/>
          <w:sz w:val="24"/>
        </w:rPr>
        <w:t> </w:t>
      </w:r>
      <w:r>
        <w:rPr>
          <w:sz w:val="24"/>
        </w:rPr>
        <w:t>points</w:t>
      </w:r>
      <w:r>
        <w:rPr>
          <w:spacing w:val="-8"/>
          <w:sz w:val="24"/>
        </w:rPr>
        <w:t> </w:t>
      </w:r>
      <w:r>
        <w:rPr>
          <w:sz w:val="24"/>
        </w:rPr>
        <w:t>relative</w:t>
      </w:r>
      <w:r>
        <w:rPr>
          <w:spacing w:val="-6"/>
          <w:sz w:val="24"/>
        </w:rPr>
        <w:t> </w:t>
      </w:r>
      <w:r>
        <w:rPr>
          <w:spacing w:val="2"/>
          <w:sz w:val="24"/>
        </w:rPr>
        <w:t>to</w:t>
      </w:r>
      <w:r>
        <w:rPr>
          <w:spacing w:val="-3"/>
          <w:sz w:val="24"/>
        </w:rPr>
        <w:t> </w:t>
      </w:r>
      <w:r>
        <w:rPr>
          <w:sz w:val="24"/>
        </w:rPr>
        <w:t>US</w:t>
      </w:r>
    </w:p>
    <w:p>
      <w:pPr>
        <w:spacing w:after="0" w:line="372" w:lineRule="auto"/>
        <w:jc w:val="left"/>
        <w:rPr>
          <w:sz w:val="24"/>
        </w:rPr>
        <w:sectPr>
          <w:pgSz w:w="11900" w:h="16840"/>
          <w:pgMar w:top="1600" w:bottom="280" w:left="880" w:right="860"/>
        </w:sectPr>
      </w:pPr>
    </w:p>
    <w:p>
      <w:pPr>
        <w:pStyle w:val="BodyText"/>
        <w:rPr>
          <w:sz w:val="12"/>
        </w:rPr>
      </w:pPr>
    </w:p>
    <w:p>
      <w:pPr>
        <w:pStyle w:val="BodyText"/>
        <w:spacing w:line="372" w:lineRule="auto" w:before="90"/>
        <w:ind w:left="401" w:right="478"/>
      </w:pPr>
      <w:r>
        <w:rPr/>
        <w:t>Treasury</w:t>
      </w:r>
      <w:r>
        <w:rPr>
          <w:spacing w:val="-10"/>
        </w:rPr>
        <w:t> </w:t>
      </w:r>
      <w:r>
        <w:rPr/>
        <w:t>bond</w:t>
      </w:r>
      <w:r>
        <w:rPr>
          <w:spacing w:val="-10"/>
        </w:rPr>
        <w:t> </w:t>
      </w:r>
      <w:r>
        <w:rPr/>
        <w:t>yields</w:t>
      </w:r>
      <w:r>
        <w:rPr>
          <w:spacing w:val="-11"/>
        </w:rPr>
        <w:t> </w:t>
      </w:r>
      <w:r>
        <w:rPr/>
        <w:t>since</w:t>
      </w:r>
      <w:r>
        <w:rPr>
          <w:spacing w:val="-11"/>
        </w:rPr>
        <w:t> </w:t>
      </w:r>
      <w:r>
        <w:rPr/>
        <w:t>February.</w:t>
      </w:r>
      <w:r>
        <w:rPr>
          <w:spacing w:val="39"/>
        </w:rPr>
        <w:t> </w:t>
      </w:r>
      <w:r>
        <w:rPr/>
        <w:t>The</w:t>
      </w:r>
      <w:r>
        <w:rPr>
          <w:spacing w:val="-9"/>
        </w:rPr>
        <w:t> </w:t>
      </w:r>
      <w:r>
        <w:rPr/>
        <w:t>balance</w:t>
      </w:r>
      <w:r>
        <w:rPr>
          <w:spacing w:val="-11"/>
        </w:rPr>
        <w:t> </w:t>
      </w:r>
      <w:r>
        <w:rPr/>
        <w:t>of</w:t>
      </w:r>
      <w:r>
        <w:rPr>
          <w:spacing w:val="-6"/>
        </w:rPr>
        <w:t> </w:t>
      </w:r>
      <w:r>
        <w:rPr/>
        <w:t>forecasts</w:t>
      </w:r>
      <w:r>
        <w:rPr>
          <w:spacing w:val="-11"/>
        </w:rPr>
        <w:t> </w:t>
      </w:r>
      <w:r>
        <w:rPr/>
        <w:t>for</w:t>
      </w:r>
      <w:r>
        <w:rPr>
          <w:spacing w:val="-11"/>
        </w:rPr>
        <w:t> </w:t>
      </w:r>
      <w:r>
        <w:rPr/>
        <w:t>growth</w:t>
      </w:r>
      <w:r>
        <w:rPr>
          <w:spacing w:val="-10"/>
        </w:rPr>
        <w:t> </w:t>
      </w:r>
      <w:r>
        <w:rPr/>
        <w:t>in</w:t>
      </w:r>
      <w:r>
        <w:rPr>
          <w:spacing w:val="-11"/>
        </w:rPr>
        <w:t> </w:t>
      </w:r>
      <w:r>
        <w:rPr/>
        <w:t>Asia</w:t>
      </w:r>
      <w:r>
        <w:rPr>
          <w:spacing w:val="-10"/>
        </w:rPr>
        <w:t> </w:t>
      </w:r>
      <w:r>
        <w:rPr/>
        <w:t>was</w:t>
      </w:r>
      <w:r>
        <w:rPr>
          <w:spacing w:val="-11"/>
        </w:rPr>
        <w:t> </w:t>
      </w:r>
      <w:r>
        <w:rPr/>
        <w:t>up</w:t>
      </w:r>
      <w:r>
        <w:rPr>
          <w:spacing w:val="-11"/>
        </w:rPr>
        <w:t> </w:t>
      </w:r>
      <w:r>
        <w:rPr/>
        <w:t>slightly, and conditions in Brazil seemed more stable than a month</w:t>
      </w:r>
      <w:r>
        <w:rPr>
          <w:spacing w:val="-2"/>
        </w:rPr>
        <w:t> </w:t>
      </w:r>
      <w:r>
        <w:rPr/>
        <w:t>ago.</w:t>
      </w:r>
    </w:p>
    <w:p>
      <w:pPr>
        <w:pStyle w:val="BodyText"/>
        <w:rPr>
          <w:sz w:val="37"/>
        </w:rPr>
      </w:pPr>
    </w:p>
    <w:p>
      <w:pPr>
        <w:pStyle w:val="ListParagraph"/>
        <w:numPr>
          <w:ilvl w:val="0"/>
          <w:numId w:val="1"/>
        </w:numPr>
        <w:tabs>
          <w:tab w:pos="761" w:val="left" w:leader="none"/>
          <w:tab w:pos="762" w:val="left" w:leader="none"/>
        </w:tabs>
        <w:spacing w:line="372" w:lineRule="auto" w:before="0" w:after="0"/>
        <w:ind w:left="401" w:right="280" w:firstLine="0"/>
        <w:jc w:val="left"/>
        <w:rPr>
          <w:sz w:val="24"/>
        </w:rPr>
      </w:pPr>
      <w:r>
        <w:rPr>
          <w:sz w:val="24"/>
        </w:rPr>
        <w:t>The</w:t>
      </w:r>
      <w:r>
        <w:rPr>
          <w:spacing w:val="-12"/>
          <w:sz w:val="24"/>
        </w:rPr>
        <w:t> </w:t>
      </w:r>
      <w:r>
        <w:rPr>
          <w:sz w:val="24"/>
        </w:rPr>
        <w:t>Balkan</w:t>
      </w:r>
      <w:r>
        <w:rPr>
          <w:spacing w:val="-13"/>
          <w:sz w:val="24"/>
        </w:rPr>
        <w:t> </w:t>
      </w:r>
      <w:r>
        <w:rPr>
          <w:sz w:val="24"/>
        </w:rPr>
        <w:t>conflict</w:t>
      </w:r>
      <w:r>
        <w:rPr>
          <w:spacing w:val="-9"/>
          <w:sz w:val="24"/>
        </w:rPr>
        <w:t> </w:t>
      </w:r>
      <w:r>
        <w:rPr>
          <w:sz w:val="24"/>
        </w:rPr>
        <w:t>had</w:t>
      </w:r>
      <w:r>
        <w:rPr>
          <w:spacing w:val="-13"/>
          <w:sz w:val="24"/>
        </w:rPr>
        <w:t> </w:t>
      </w:r>
      <w:r>
        <w:rPr>
          <w:sz w:val="24"/>
        </w:rPr>
        <w:t>already</w:t>
      </w:r>
      <w:r>
        <w:rPr>
          <w:spacing w:val="-12"/>
          <w:sz w:val="24"/>
        </w:rPr>
        <w:t> </w:t>
      </w:r>
      <w:r>
        <w:rPr>
          <w:sz w:val="24"/>
        </w:rPr>
        <w:t>had</w:t>
      </w:r>
      <w:r>
        <w:rPr>
          <w:spacing w:val="-13"/>
          <w:sz w:val="24"/>
        </w:rPr>
        <w:t> </w:t>
      </w:r>
      <w:r>
        <w:rPr>
          <w:sz w:val="24"/>
        </w:rPr>
        <w:t>economic</w:t>
      </w:r>
      <w:r>
        <w:rPr>
          <w:spacing w:val="-13"/>
          <w:sz w:val="24"/>
        </w:rPr>
        <w:t> </w:t>
      </w:r>
      <w:r>
        <w:rPr>
          <w:sz w:val="24"/>
        </w:rPr>
        <w:t>repercussions</w:t>
      </w:r>
      <w:r>
        <w:rPr>
          <w:spacing w:val="-11"/>
          <w:sz w:val="24"/>
        </w:rPr>
        <w:t> </w:t>
      </w:r>
      <w:r>
        <w:rPr>
          <w:sz w:val="24"/>
        </w:rPr>
        <w:t>in</w:t>
      </w:r>
      <w:r>
        <w:rPr>
          <w:spacing w:val="-13"/>
          <w:sz w:val="24"/>
        </w:rPr>
        <w:t> </w:t>
      </w:r>
      <w:r>
        <w:rPr>
          <w:sz w:val="24"/>
        </w:rPr>
        <w:t>some</w:t>
      </w:r>
      <w:r>
        <w:rPr>
          <w:spacing w:val="-13"/>
          <w:sz w:val="24"/>
        </w:rPr>
        <w:t> </w:t>
      </w:r>
      <w:r>
        <w:rPr>
          <w:sz w:val="24"/>
        </w:rPr>
        <w:t>neighbouring</w:t>
      </w:r>
      <w:r>
        <w:rPr>
          <w:spacing w:val="-13"/>
          <w:sz w:val="24"/>
        </w:rPr>
        <w:t> </w:t>
      </w:r>
      <w:r>
        <w:rPr>
          <w:sz w:val="24"/>
        </w:rPr>
        <w:t>countries.</w:t>
      </w:r>
      <w:r>
        <w:rPr>
          <w:spacing w:val="34"/>
          <w:sz w:val="24"/>
        </w:rPr>
        <w:t> </w:t>
      </w:r>
      <w:r>
        <w:rPr>
          <w:sz w:val="24"/>
        </w:rPr>
        <w:t>It added </w:t>
      </w:r>
      <w:r>
        <w:rPr>
          <w:spacing w:val="2"/>
          <w:sz w:val="24"/>
        </w:rPr>
        <w:t>to </w:t>
      </w:r>
      <w:r>
        <w:rPr>
          <w:sz w:val="24"/>
        </w:rPr>
        <w:t>uncertainties more widely, and on </w:t>
      </w:r>
      <w:r>
        <w:rPr>
          <w:spacing w:val="2"/>
          <w:sz w:val="24"/>
        </w:rPr>
        <w:t>one </w:t>
      </w:r>
      <w:r>
        <w:rPr>
          <w:sz w:val="24"/>
        </w:rPr>
        <w:t>view created a downside risk </w:t>
      </w:r>
      <w:r>
        <w:rPr>
          <w:spacing w:val="2"/>
          <w:sz w:val="24"/>
        </w:rPr>
        <w:t>to </w:t>
      </w:r>
      <w:r>
        <w:rPr>
          <w:sz w:val="24"/>
        </w:rPr>
        <w:t>world activity and prices, through negative effects on confidence if the situation remained unresolved or the conflict spread. This was the kind of risk </w:t>
      </w:r>
      <w:r>
        <w:rPr>
          <w:spacing w:val="2"/>
          <w:sz w:val="24"/>
        </w:rPr>
        <w:t>to </w:t>
      </w:r>
      <w:r>
        <w:rPr>
          <w:sz w:val="24"/>
        </w:rPr>
        <w:t>which the Committee could if necessary react as developments occurred.</w:t>
      </w:r>
    </w:p>
    <w:p>
      <w:pPr>
        <w:pStyle w:val="BodyText"/>
        <w:spacing w:before="4"/>
        <w:rPr>
          <w:sz w:val="37"/>
        </w:rPr>
      </w:pPr>
    </w:p>
    <w:p>
      <w:pPr>
        <w:pStyle w:val="Heading1"/>
      </w:pPr>
      <w:r>
        <w:rPr/>
        <w:t>Monetary and financial conditions</w:t>
      </w:r>
    </w:p>
    <w:p>
      <w:pPr>
        <w:pStyle w:val="BodyText"/>
        <w:rPr>
          <w:b/>
          <w:sz w:val="26"/>
        </w:rPr>
      </w:pPr>
    </w:p>
    <w:p>
      <w:pPr>
        <w:pStyle w:val="BodyText"/>
        <w:spacing w:before="10"/>
        <w:rPr>
          <w:b/>
          <w:sz w:val="23"/>
        </w:rPr>
      </w:pPr>
    </w:p>
    <w:p>
      <w:pPr>
        <w:pStyle w:val="ListParagraph"/>
        <w:numPr>
          <w:ilvl w:val="0"/>
          <w:numId w:val="1"/>
        </w:numPr>
        <w:tabs>
          <w:tab w:pos="761" w:val="left" w:leader="none"/>
          <w:tab w:pos="762" w:val="left" w:leader="none"/>
        </w:tabs>
        <w:spacing w:line="372" w:lineRule="auto" w:before="0" w:after="0"/>
        <w:ind w:left="401" w:right="353" w:firstLine="0"/>
        <w:jc w:val="left"/>
        <w:rPr>
          <w:sz w:val="24"/>
        </w:rPr>
      </w:pPr>
      <w:r>
        <w:rPr>
          <w:sz w:val="24"/>
        </w:rPr>
        <w:t>The</w:t>
      </w:r>
      <w:r>
        <w:rPr>
          <w:spacing w:val="-9"/>
          <w:sz w:val="24"/>
        </w:rPr>
        <w:t> </w:t>
      </w:r>
      <w:r>
        <w:rPr>
          <w:sz w:val="24"/>
        </w:rPr>
        <w:t>Committee</w:t>
      </w:r>
      <w:r>
        <w:rPr>
          <w:spacing w:val="-10"/>
          <w:sz w:val="24"/>
        </w:rPr>
        <w:t> </w:t>
      </w:r>
      <w:r>
        <w:rPr>
          <w:sz w:val="24"/>
        </w:rPr>
        <w:t>noted</w:t>
      </w:r>
      <w:r>
        <w:rPr>
          <w:spacing w:val="-9"/>
          <w:sz w:val="24"/>
        </w:rPr>
        <w:t> </w:t>
      </w:r>
      <w:r>
        <w:rPr>
          <w:sz w:val="24"/>
        </w:rPr>
        <w:t>that</w:t>
      </w:r>
      <w:r>
        <w:rPr>
          <w:spacing w:val="-6"/>
          <w:sz w:val="24"/>
        </w:rPr>
        <w:t> </w:t>
      </w:r>
      <w:r>
        <w:rPr>
          <w:sz w:val="24"/>
        </w:rPr>
        <w:t>its</w:t>
      </w:r>
      <w:r>
        <w:rPr>
          <w:spacing w:val="-10"/>
          <w:sz w:val="24"/>
        </w:rPr>
        <w:t> </w:t>
      </w:r>
      <w:r>
        <w:rPr>
          <w:sz w:val="24"/>
        </w:rPr>
        <w:t>April</w:t>
      </w:r>
      <w:r>
        <w:rPr>
          <w:spacing w:val="-10"/>
          <w:sz w:val="24"/>
        </w:rPr>
        <w:t> </w:t>
      </w:r>
      <w:r>
        <w:rPr>
          <w:sz w:val="24"/>
        </w:rPr>
        <w:t>reduction</w:t>
      </w:r>
      <w:r>
        <w:rPr>
          <w:spacing w:val="-8"/>
          <w:sz w:val="24"/>
        </w:rPr>
        <w:t> </w:t>
      </w:r>
      <w:r>
        <w:rPr>
          <w:sz w:val="24"/>
        </w:rPr>
        <w:t>in</w:t>
      </w:r>
      <w:r>
        <w:rPr>
          <w:spacing w:val="-10"/>
          <w:sz w:val="24"/>
        </w:rPr>
        <w:t> </w:t>
      </w:r>
      <w:r>
        <w:rPr>
          <w:sz w:val="24"/>
        </w:rPr>
        <w:t>interest</w:t>
      </w:r>
      <w:r>
        <w:rPr>
          <w:spacing w:val="-6"/>
          <w:sz w:val="24"/>
        </w:rPr>
        <w:t> </w:t>
      </w:r>
      <w:r>
        <w:rPr>
          <w:sz w:val="24"/>
        </w:rPr>
        <w:t>rates</w:t>
      </w:r>
      <w:r>
        <w:rPr>
          <w:spacing w:val="-8"/>
          <w:sz w:val="24"/>
        </w:rPr>
        <w:t> </w:t>
      </w:r>
      <w:r>
        <w:rPr>
          <w:sz w:val="24"/>
        </w:rPr>
        <w:t>had</w:t>
      </w:r>
      <w:r>
        <w:rPr>
          <w:spacing w:val="-10"/>
          <w:sz w:val="24"/>
        </w:rPr>
        <w:t> </w:t>
      </w:r>
      <w:r>
        <w:rPr>
          <w:sz w:val="24"/>
        </w:rPr>
        <w:t>not</w:t>
      </w:r>
      <w:r>
        <w:rPr>
          <w:spacing w:val="-6"/>
          <w:sz w:val="24"/>
        </w:rPr>
        <w:t> </w:t>
      </w:r>
      <w:r>
        <w:rPr>
          <w:sz w:val="24"/>
        </w:rPr>
        <w:t>yet</w:t>
      </w:r>
      <w:r>
        <w:rPr>
          <w:spacing w:val="-6"/>
          <w:sz w:val="24"/>
        </w:rPr>
        <w:t> </w:t>
      </w:r>
      <w:r>
        <w:rPr>
          <w:sz w:val="24"/>
        </w:rPr>
        <w:t>been</w:t>
      </w:r>
      <w:r>
        <w:rPr>
          <w:spacing w:val="-10"/>
          <w:sz w:val="24"/>
        </w:rPr>
        <w:t> </w:t>
      </w:r>
      <w:r>
        <w:rPr>
          <w:sz w:val="24"/>
        </w:rPr>
        <w:t>reflected</w:t>
      </w:r>
      <w:r>
        <w:rPr>
          <w:spacing w:val="-8"/>
          <w:sz w:val="24"/>
        </w:rPr>
        <w:t> </w:t>
      </w:r>
      <w:r>
        <w:rPr>
          <w:sz w:val="24"/>
        </w:rPr>
        <w:t>fully</w:t>
      </w:r>
      <w:r>
        <w:rPr>
          <w:spacing w:val="-10"/>
          <w:sz w:val="24"/>
        </w:rPr>
        <w:t> </w:t>
      </w:r>
      <w:r>
        <w:rPr>
          <w:sz w:val="24"/>
        </w:rPr>
        <w:t>in bank and building society rates. However, pass through of </w:t>
      </w:r>
      <w:r>
        <w:rPr>
          <w:spacing w:val="3"/>
          <w:sz w:val="24"/>
        </w:rPr>
        <w:t>official </w:t>
      </w:r>
      <w:r>
        <w:rPr>
          <w:sz w:val="24"/>
        </w:rPr>
        <w:t>rate changes had not always been</w:t>
      </w:r>
      <w:r>
        <w:rPr>
          <w:spacing w:val="-9"/>
          <w:sz w:val="24"/>
        </w:rPr>
        <w:t> </w:t>
      </w:r>
      <w:r>
        <w:rPr>
          <w:sz w:val="24"/>
        </w:rPr>
        <w:t>immediate</w:t>
      </w:r>
      <w:r>
        <w:rPr>
          <w:spacing w:val="-9"/>
          <w:sz w:val="24"/>
        </w:rPr>
        <w:t> </w:t>
      </w:r>
      <w:r>
        <w:rPr>
          <w:sz w:val="24"/>
        </w:rPr>
        <w:t>in</w:t>
      </w:r>
      <w:r>
        <w:rPr>
          <w:spacing w:val="-10"/>
          <w:sz w:val="24"/>
        </w:rPr>
        <w:t> </w:t>
      </w:r>
      <w:r>
        <w:rPr>
          <w:sz w:val="24"/>
        </w:rPr>
        <w:t>the</w:t>
      </w:r>
      <w:r>
        <w:rPr>
          <w:spacing w:val="-9"/>
          <w:sz w:val="24"/>
        </w:rPr>
        <w:t> </w:t>
      </w:r>
      <w:r>
        <w:rPr>
          <w:sz w:val="24"/>
        </w:rPr>
        <w:t>past,</w:t>
      </w:r>
      <w:r>
        <w:rPr>
          <w:spacing w:val="-4"/>
          <w:sz w:val="24"/>
        </w:rPr>
        <w:t> </w:t>
      </w:r>
      <w:r>
        <w:rPr>
          <w:sz w:val="24"/>
        </w:rPr>
        <w:t>and</w:t>
      </w:r>
      <w:r>
        <w:rPr>
          <w:spacing w:val="-9"/>
          <w:sz w:val="24"/>
        </w:rPr>
        <w:t> </w:t>
      </w:r>
      <w:r>
        <w:rPr>
          <w:sz w:val="24"/>
        </w:rPr>
        <w:t>it</w:t>
      </w:r>
      <w:r>
        <w:rPr>
          <w:spacing w:val="-5"/>
          <w:sz w:val="24"/>
        </w:rPr>
        <w:t> </w:t>
      </w:r>
      <w:r>
        <w:rPr>
          <w:sz w:val="24"/>
        </w:rPr>
        <w:t>seemed</w:t>
      </w:r>
      <w:r>
        <w:rPr>
          <w:spacing w:val="-9"/>
          <w:sz w:val="24"/>
        </w:rPr>
        <w:t> </w:t>
      </w:r>
      <w:r>
        <w:rPr>
          <w:sz w:val="24"/>
        </w:rPr>
        <w:t>unlikely</w:t>
      </w:r>
      <w:r>
        <w:rPr>
          <w:spacing w:val="-9"/>
          <w:sz w:val="24"/>
        </w:rPr>
        <w:t> </w:t>
      </w:r>
      <w:r>
        <w:rPr>
          <w:sz w:val="24"/>
        </w:rPr>
        <w:t>that</w:t>
      </w:r>
      <w:r>
        <w:rPr>
          <w:spacing w:val="-5"/>
          <w:sz w:val="24"/>
        </w:rPr>
        <w:t> </w:t>
      </w:r>
      <w:r>
        <w:rPr>
          <w:sz w:val="24"/>
        </w:rPr>
        <w:t>a</w:t>
      </w:r>
      <w:r>
        <w:rPr>
          <w:spacing w:val="-9"/>
          <w:sz w:val="24"/>
        </w:rPr>
        <w:t> </w:t>
      </w:r>
      <w:r>
        <w:rPr>
          <w:sz w:val="24"/>
        </w:rPr>
        <w:t>greater</w:t>
      </w:r>
      <w:r>
        <w:rPr>
          <w:spacing w:val="-9"/>
          <w:sz w:val="24"/>
        </w:rPr>
        <w:t> </w:t>
      </w:r>
      <w:r>
        <w:rPr>
          <w:sz w:val="24"/>
        </w:rPr>
        <w:t>than</w:t>
      </w:r>
      <w:r>
        <w:rPr>
          <w:spacing w:val="-9"/>
          <w:sz w:val="24"/>
        </w:rPr>
        <w:t> </w:t>
      </w:r>
      <w:r>
        <w:rPr>
          <w:sz w:val="24"/>
        </w:rPr>
        <w:t>usual</w:t>
      </w:r>
      <w:r>
        <w:rPr>
          <w:spacing w:val="-9"/>
          <w:sz w:val="24"/>
        </w:rPr>
        <w:t> </w:t>
      </w:r>
      <w:r>
        <w:rPr>
          <w:sz w:val="24"/>
        </w:rPr>
        <w:t>spread</w:t>
      </w:r>
      <w:r>
        <w:rPr>
          <w:spacing w:val="-9"/>
          <w:sz w:val="24"/>
        </w:rPr>
        <w:t> </w:t>
      </w:r>
      <w:r>
        <w:rPr>
          <w:sz w:val="24"/>
        </w:rPr>
        <w:t>between</w:t>
      </w:r>
      <w:r>
        <w:rPr>
          <w:spacing w:val="-9"/>
          <w:sz w:val="24"/>
        </w:rPr>
        <w:t> </w:t>
      </w:r>
      <w:r>
        <w:rPr>
          <w:sz w:val="24"/>
        </w:rPr>
        <w:t>private sector and </w:t>
      </w:r>
      <w:r>
        <w:rPr>
          <w:spacing w:val="3"/>
          <w:sz w:val="24"/>
        </w:rPr>
        <w:t>official </w:t>
      </w:r>
      <w:r>
        <w:rPr>
          <w:sz w:val="24"/>
        </w:rPr>
        <w:t>rates could be sustained for</w:t>
      </w:r>
      <w:r>
        <w:rPr>
          <w:spacing w:val="15"/>
          <w:sz w:val="24"/>
        </w:rPr>
        <w:t> </w:t>
      </w:r>
      <w:r>
        <w:rPr>
          <w:sz w:val="24"/>
        </w:rPr>
        <w:t>long.</w:t>
      </w:r>
    </w:p>
    <w:p>
      <w:pPr>
        <w:pStyle w:val="BodyText"/>
        <w:spacing w:before="11"/>
        <w:rPr>
          <w:sz w:val="36"/>
        </w:rPr>
      </w:pPr>
    </w:p>
    <w:p>
      <w:pPr>
        <w:pStyle w:val="ListParagraph"/>
        <w:numPr>
          <w:ilvl w:val="0"/>
          <w:numId w:val="1"/>
        </w:numPr>
        <w:tabs>
          <w:tab w:pos="761" w:val="left" w:leader="none"/>
          <w:tab w:pos="762" w:val="left" w:leader="none"/>
        </w:tabs>
        <w:spacing w:line="372" w:lineRule="auto" w:before="0" w:after="0"/>
        <w:ind w:left="401" w:right="622" w:firstLine="0"/>
        <w:jc w:val="left"/>
        <w:rPr>
          <w:sz w:val="24"/>
        </w:rPr>
      </w:pPr>
      <w:r>
        <w:rPr>
          <w:sz w:val="24"/>
        </w:rPr>
        <w:t>Annual</w:t>
      </w:r>
      <w:r>
        <w:rPr>
          <w:spacing w:val="-10"/>
          <w:sz w:val="24"/>
        </w:rPr>
        <w:t> </w:t>
      </w:r>
      <w:r>
        <w:rPr>
          <w:sz w:val="24"/>
        </w:rPr>
        <w:t>broad</w:t>
      </w:r>
      <w:r>
        <w:rPr>
          <w:spacing w:val="-10"/>
          <w:sz w:val="24"/>
        </w:rPr>
        <w:t> </w:t>
      </w:r>
      <w:r>
        <w:rPr>
          <w:sz w:val="24"/>
        </w:rPr>
        <w:t>money</w:t>
      </w:r>
      <w:r>
        <w:rPr>
          <w:spacing w:val="-9"/>
          <w:sz w:val="24"/>
        </w:rPr>
        <w:t> </w:t>
      </w:r>
      <w:r>
        <w:rPr>
          <w:sz w:val="24"/>
        </w:rPr>
        <w:t>growth</w:t>
      </w:r>
      <w:r>
        <w:rPr>
          <w:spacing w:val="-10"/>
          <w:sz w:val="24"/>
        </w:rPr>
        <w:t> </w:t>
      </w:r>
      <w:r>
        <w:rPr>
          <w:sz w:val="24"/>
        </w:rPr>
        <w:t>had</w:t>
      </w:r>
      <w:r>
        <w:rPr>
          <w:spacing w:val="-9"/>
          <w:sz w:val="24"/>
        </w:rPr>
        <w:t> </w:t>
      </w:r>
      <w:r>
        <w:rPr>
          <w:sz w:val="24"/>
        </w:rPr>
        <w:t>fallen</w:t>
      </w:r>
      <w:r>
        <w:rPr>
          <w:spacing w:val="-10"/>
          <w:sz w:val="24"/>
        </w:rPr>
        <w:t> </w:t>
      </w:r>
      <w:r>
        <w:rPr>
          <w:spacing w:val="2"/>
          <w:sz w:val="24"/>
        </w:rPr>
        <w:t>to</w:t>
      </w:r>
      <w:r>
        <w:rPr>
          <w:spacing w:val="-5"/>
          <w:sz w:val="24"/>
        </w:rPr>
        <w:t> </w:t>
      </w:r>
      <w:r>
        <w:rPr>
          <w:sz w:val="24"/>
        </w:rPr>
        <w:t>around</w:t>
      </w:r>
      <w:r>
        <w:rPr>
          <w:spacing w:val="-10"/>
          <w:sz w:val="24"/>
        </w:rPr>
        <w:t> </w:t>
      </w:r>
      <w:r>
        <w:rPr>
          <w:sz w:val="24"/>
        </w:rPr>
        <w:t>7%,</w:t>
      </w:r>
      <w:r>
        <w:rPr>
          <w:spacing w:val="-10"/>
          <w:sz w:val="24"/>
        </w:rPr>
        <w:t> </w:t>
      </w:r>
      <w:r>
        <w:rPr>
          <w:sz w:val="24"/>
        </w:rPr>
        <w:t>almost</w:t>
      </w:r>
      <w:r>
        <w:rPr>
          <w:spacing w:val="-5"/>
          <w:sz w:val="24"/>
        </w:rPr>
        <w:t> </w:t>
      </w:r>
      <w:r>
        <w:rPr>
          <w:sz w:val="24"/>
        </w:rPr>
        <w:t>entirely</w:t>
      </w:r>
      <w:r>
        <w:rPr>
          <w:spacing w:val="-10"/>
          <w:sz w:val="24"/>
        </w:rPr>
        <w:t> </w:t>
      </w:r>
      <w:r>
        <w:rPr>
          <w:sz w:val="24"/>
        </w:rPr>
        <w:t>on</w:t>
      </w:r>
      <w:r>
        <w:rPr>
          <w:spacing w:val="-5"/>
          <w:sz w:val="24"/>
        </w:rPr>
        <w:t> </w:t>
      </w:r>
      <w:r>
        <w:rPr>
          <w:sz w:val="24"/>
        </w:rPr>
        <w:t>account</w:t>
      </w:r>
      <w:r>
        <w:rPr>
          <w:spacing w:val="-6"/>
          <w:sz w:val="24"/>
        </w:rPr>
        <w:t> </w:t>
      </w:r>
      <w:r>
        <w:rPr>
          <w:sz w:val="24"/>
        </w:rPr>
        <w:t>of</w:t>
      </w:r>
      <w:r>
        <w:rPr>
          <w:spacing w:val="-5"/>
          <w:sz w:val="24"/>
        </w:rPr>
        <w:t> </w:t>
      </w:r>
      <w:r>
        <w:rPr>
          <w:sz w:val="24"/>
        </w:rPr>
        <w:t>reduced money</w:t>
      </w:r>
      <w:r>
        <w:rPr>
          <w:spacing w:val="-11"/>
          <w:sz w:val="24"/>
        </w:rPr>
        <w:t> </w:t>
      </w:r>
      <w:r>
        <w:rPr>
          <w:sz w:val="24"/>
        </w:rPr>
        <w:t>holdings</w:t>
      </w:r>
      <w:r>
        <w:rPr>
          <w:spacing w:val="-11"/>
          <w:sz w:val="24"/>
        </w:rPr>
        <w:t> </w:t>
      </w:r>
      <w:r>
        <w:rPr>
          <w:sz w:val="24"/>
        </w:rPr>
        <w:t>by</w:t>
      </w:r>
      <w:r>
        <w:rPr>
          <w:spacing w:val="-11"/>
          <w:sz w:val="24"/>
        </w:rPr>
        <w:t> </w:t>
      </w:r>
      <w:r>
        <w:rPr>
          <w:sz w:val="24"/>
        </w:rPr>
        <w:t>the</w:t>
      </w:r>
      <w:r>
        <w:rPr>
          <w:spacing w:val="-10"/>
          <w:sz w:val="24"/>
        </w:rPr>
        <w:t> </w:t>
      </w:r>
      <w:r>
        <w:rPr>
          <w:sz w:val="24"/>
        </w:rPr>
        <w:t>non-bank</w:t>
      </w:r>
      <w:r>
        <w:rPr>
          <w:spacing w:val="-11"/>
          <w:sz w:val="24"/>
        </w:rPr>
        <w:t> </w:t>
      </w:r>
      <w:r>
        <w:rPr>
          <w:sz w:val="24"/>
        </w:rPr>
        <w:t>financial</w:t>
      </w:r>
      <w:r>
        <w:rPr>
          <w:spacing w:val="-11"/>
          <w:sz w:val="24"/>
        </w:rPr>
        <w:t> </w:t>
      </w:r>
      <w:r>
        <w:rPr>
          <w:spacing w:val="2"/>
          <w:sz w:val="24"/>
        </w:rPr>
        <w:t>sector.</w:t>
      </w:r>
      <w:r>
        <w:rPr>
          <w:spacing w:val="43"/>
          <w:sz w:val="24"/>
        </w:rPr>
        <w:t> </w:t>
      </w:r>
      <w:r>
        <w:rPr>
          <w:sz w:val="24"/>
        </w:rPr>
        <w:t>Assuming</w:t>
      </w:r>
      <w:r>
        <w:rPr>
          <w:spacing w:val="-10"/>
          <w:sz w:val="24"/>
        </w:rPr>
        <w:t> </w:t>
      </w:r>
      <w:r>
        <w:rPr>
          <w:sz w:val="24"/>
        </w:rPr>
        <w:t>a</w:t>
      </w:r>
      <w:r>
        <w:rPr>
          <w:spacing w:val="-11"/>
          <w:sz w:val="24"/>
        </w:rPr>
        <w:t> </w:t>
      </w:r>
      <w:r>
        <w:rPr>
          <w:sz w:val="24"/>
        </w:rPr>
        <w:t>trend</w:t>
      </w:r>
      <w:r>
        <w:rPr>
          <w:spacing w:val="-11"/>
          <w:sz w:val="24"/>
        </w:rPr>
        <w:t> </w:t>
      </w:r>
      <w:r>
        <w:rPr>
          <w:sz w:val="24"/>
        </w:rPr>
        <w:t>fall</w:t>
      </w:r>
      <w:r>
        <w:rPr>
          <w:spacing w:val="-11"/>
          <w:sz w:val="24"/>
        </w:rPr>
        <w:t> </w:t>
      </w:r>
      <w:r>
        <w:rPr>
          <w:sz w:val="24"/>
        </w:rPr>
        <w:t>in</w:t>
      </w:r>
      <w:r>
        <w:rPr>
          <w:spacing w:val="-10"/>
          <w:sz w:val="24"/>
        </w:rPr>
        <w:t> </w:t>
      </w:r>
      <w:r>
        <w:rPr>
          <w:sz w:val="24"/>
        </w:rPr>
        <w:t>velocity</w:t>
      </w:r>
      <w:r>
        <w:rPr>
          <w:spacing w:val="-11"/>
          <w:sz w:val="24"/>
        </w:rPr>
        <w:t> </w:t>
      </w:r>
      <w:r>
        <w:rPr>
          <w:sz w:val="24"/>
        </w:rPr>
        <w:t>of</w:t>
      </w:r>
      <w:r>
        <w:rPr>
          <w:spacing w:val="-7"/>
          <w:sz w:val="24"/>
        </w:rPr>
        <w:t> </w:t>
      </w:r>
      <w:r>
        <w:rPr>
          <w:sz w:val="24"/>
        </w:rPr>
        <w:t>around</w:t>
      </w:r>
    </w:p>
    <w:p>
      <w:pPr>
        <w:pStyle w:val="BodyText"/>
        <w:spacing w:line="372" w:lineRule="auto"/>
        <w:ind w:left="401" w:right="411"/>
      </w:pPr>
      <w:r>
        <w:rPr/>
        <w:t>2%</w:t>
      </w:r>
      <w:r>
        <w:rPr>
          <w:spacing w:val="-8"/>
        </w:rPr>
        <w:t> </w:t>
      </w:r>
      <w:r>
        <w:rPr/>
        <w:t>per</w:t>
      </w:r>
      <w:r>
        <w:rPr>
          <w:spacing w:val="-9"/>
        </w:rPr>
        <w:t> </w:t>
      </w:r>
      <w:r>
        <w:rPr/>
        <w:t>year,</w:t>
      </w:r>
      <w:r>
        <w:rPr>
          <w:spacing w:val="-9"/>
        </w:rPr>
        <w:t> </w:t>
      </w:r>
      <w:r>
        <w:rPr/>
        <w:t>aggregate</w:t>
      </w:r>
      <w:r>
        <w:rPr>
          <w:spacing w:val="-9"/>
        </w:rPr>
        <w:t> </w:t>
      </w:r>
      <w:r>
        <w:rPr/>
        <w:t>monetary</w:t>
      </w:r>
      <w:r>
        <w:rPr>
          <w:spacing w:val="-9"/>
        </w:rPr>
        <w:t> </w:t>
      </w:r>
      <w:r>
        <w:rPr/>
        <w:t>growth</w:t>
      </w:r>
      <w:r>
        <w:rPr>
          <w:spacing w:val="-9"/>
        </w:rPr>
        <w:t> </w:t>
      </w:r>
      <w:r>
        <w:rPr/>
        <w:t>was</w:t>
      </w:r>
      <w:r>
        <w:rPr>
          <w:spacing w:val="-9"/>
        </w:rPr>
        <w:t> </w:t>
      </w:r>
      <w:r>
        <w:rPr/>
        <w:t>broadly</w:t>
      </w:r>
      <w:r>
        <w:rPr>
          <w:spacing w:val="-9"/>
        </w:rPr>
        <w:t> </w:t>
      </w:r>
      <w:r>
        <w:rPr/>
        <w:t>consistent</w:t>
      </w:r>
      <w:r>
        <w:rPr>
          <w:spacing w:val="-4"/>
        </w:rPr>
        <w:t> </w:t>
      </w:r>
      <w:r>
        <w:rPr/>
        <w:t>with</w:t>
      </w:r>
      <w:r>
        <w:rPr>
          <w:spacing w:val="-9"/>
        </w:rPr>
        <w:t> </w:t>
      </w:r>
      <w:r>
        <w:rPr/>
        <w:t>the</w:t>
      </w:r>
      <w:r>
        <w:rPr>
          <w:spacing w:val="-9"/>
        </w:rPr>
        <w:t> </w:t>
      </w:r>
      <w:r>
        <w:rPr/>
        <w:t>inflation</w:t>
      </w:r>
      <w:r>
        <w:rPr>
          <w:spacing w:val="-9"/>
        </w:rPr>
        <w:t> </w:t>
      </w:r>
      <w:r>
        <w:rPr/>
        <w:t>target</w:t>
      </w:r>
      <w:r>
        <w:rPr>
          <w:spacing w:val="-5"/>
        </w:rPr>
        <w:t> </w:t>
      </w:r>
      <w:r>
        <w:rPr/>
        <w:t>and</w:t>
      </w:r>
      <w:r>
        <w:rPr>
          <w:spacing w:val="-9"/>
        </w:rPr>
        <w:t> </w:t>
      </w:r>
      <w:r>
        <w:rPr/>
        <w:t>trend </w:t>
      </w:r>
      <w:r>
        <w:rPr>
          <w:spacing w:val="3"/>
        </w:rPr>
        <w:t>output</w:t>
      </w:r>
      <w:r>
        <w:rPr>
          <w:spacing w:val="6"/>
        </w:rPr>
        <w:t> </w:t>
      </w:r>
      <w:r>
        <w:rPr/>
        <w:t>growth.</w:t>
      </w:r>
    </w:p>
    <w:p>
      <w:pPr>
        <w:pStyle w:val="BodyText"/>
        <w:spacing w:before="11"/>
        <w:rPr>
          <w:sz w:val="36"/>
        </w:rPr>
      </w:pPr>
    </w:p>
    <w:p>
      <w:pPr>
        <w:pStyle w:val="ListParagraph"/>
        <w:numPr>
          <w:ilvl w:val="0"/>
          <w:numId w:val="1"/>
        </w:numPr>
        <w:tabs>
          <w:tab w:pos="761" w:val="left" w:leader="none"/>
          <w:tab w:pos="762" w:val="left" w:leader="none"/>
        </w:tabs>
        <w:spacing w:line="372" w:lineRule="auto" w:before="0" w:after="0"/>
        <w:ind w:left="401" w:right="530" w:firstLine="0"/>
        <w:jc w:val="left"/>
        <w:rPr>
          <w:sz w:val="24"/>
        </w:rPr>
      </w:pPr>
      <w:r>
        <w:rPr>
          <w:sz w:val="24"/>
        </w:rPr>
        <w:t>Developments</w:t>
      </w:r>
      <w:r>
        <w:rPr>
          <w:spacing w:val="-12"/>
          <w:sz w:val="24"/>
        </w:rPr>
        <w:t> </w:t>
      </w:r>
      <w:r>
        <w:rPr>
          <w:sz w:val="24"/>
        </w:rPr>
        <w:t>in</w:t>
      </w:r>
      <w:r>
        <w:rPr>
          <w:spacing w:val="-11"/>
          <w:sz w:val="24"/>
        </w:rPr>
        <w:t> </w:t>
      </w:r>
      <w:r>
        <w:rPr>
          <w:sz w:val="24"/>
        </w:rPr>
        <w:t>bank</w:t>
      </w:r>
      <w:r>
        <w:rPr>
          <w:spacing w:val="-11"/>
          <w:sz w:val="24"/>
        </w:rPr>
        <w:t> </w:t>
      </w:r>
      <w:r>
        <w:rPr>
          <w:sz w:val="24"/>
        </w:rPr>
        <w:t>lending</w:t>
      </w:r>
      <w:r>
        <w:rPr>
          <w:spacing w:val="-11"/>
          <w:sz w:val="24"/>
        </w:rPr>
        <w:t> </w:t>
      </w:r>
      <w:r>
        <w:rPr>
          <w:spacing w:val="2"/>
          <w:sz w:val="24"/>
        </w:rPr>
        <w:t>to</w:t>
      </w:r>
      <w:r>
        <w:rPr>
          <w:spacing w:val="-7"/>
          <w:sz w:val="24"/>
        </w:rPr>
        <w:t> </w:t>
      </w:r>
      <w:r>
        <w:rPr>
          <w:sz w:val="24"/>
        </w:rPr>
        <w:t>different</w:t>
      </w:r>
      <w:r>
        <w:rPr>
          <w:spacing w:val="-7"/>
          <w:sz w:val="24"/>
        </w:rPr>
        <w:t> </w:t>
      </w:r>
      <w:r>
        <w:rPr>
          <w:sz w:val="24"/>
        </w:rPr>
        <w:t>sectors</w:t>
      </w:r>
      <w:r>
        <w:rPr>
          <w:spacing w:val="-11"/>
          <w:sz w:val="24"/>
        </w:rPr>
        <w:t> </w:t>
      </w:r>
      <w:r>
        <w:rPr>
          <w:sz w:val="24"/>
        </w:rPr>
        <w:t>were</w:t>
      </w:r>
      <w:r>
        <w:rPr>
          <w:spacing w:val="-11"/>
          <w:sz w:val="24"/>
        </w:rPr>
        <w:t> </w:t>
      </w:r>
      <w:r>
        <w:rPr>
          <w:sz w:val="24"/>
        </w:rPr>
        <w:t>quite</w:t>
      </w:r>
      <w:r>
        <w:rPr>
          <w:spacing w:val="-11"/>
          <w:sz w:val="24"/>
        </w:rPr>
        <w:t> </w:t>
      </w:r>
      <w:r>
        <w:rPr>
          <w:sz w:val="24"/>
        </w:rPr>
        <w:t>varied.</w:t>
      </w:r>
      <w:r>
        <w:rPr>
          <w:spacing w:val="38"/>
          <w:sz w:val="24"/>
        </w:rPr>
        <w:t> </w:t>
      </w:r>
      <w:r>
        <w:rPr>
          <w:sz w:val="24"/>
        </w:rPr>
        <w:t>In</w:t>
      </w:r>
      <w:r>
        <w:rPr>
          <w:spacing w:val="-9"/>
          <w:sz w:val="24"/>
        </w:rPr>
        <w:t> </w:t>
      </w:r>
      <w:r>
        <w:rPr>
          <w:sz w:val="24"/>
        </w:rPr>
        <w:t>particular,</w:t>
      </w:r>
      <w:r>
        <w:rPr>
          <w:spacing w:val="-11"/>
          <w:sz w:val="24"/>
        </w:rPr>
        <w:t> </w:t>
      </w:r>
      <w:r>
        <w:rPr>
          <w:sz w:val="24"/>
        </w:rPr>
        <w:t>the</w:t>
      </w:r>
      <w:r>
        <w:rPr>
          <w:spacing w:val="-11"/>
          <w:sz w:val="24"/>
        </w:rPr>
        <w:t> </w:t>
      </w:r>
      <w:r>
        <w:rPr>
          <w:sz w:val="24"/>
        </w:rPr>
        <w:t>annual rate of growth in household credit had risen </w:t>
      </w:r>
      <w:r>
        <w:rPr>
          <w:spacing w:val="2"/>
          <w:sz w:val="24"/>
        </w:rPr>
        <w:t>to </w:t>
      </w:r>
      <w:r>
        <w:rPr>
          <w:sz w:val="24"/>
        </w:rPr>
        <w:t>about 8%, with secured lending up sharply. Mortgage loan approvals were also strong. Taken together with </w:t>
      </w:r>
      <w:r>
        <w:rPr>
          <w:spacing w:val="3"/>
          <w:sz w:val="24"/>
        </w:rPr>
        <w:t>other </w:t>
      </w:r>
      <w:r>
        <w:rPr>
          <w:sz w:val="24"/>
        </w:rPr>
        <w:t>signs of housing market momentum, this would need </w:t>
      </w:r>
      <w:r>
        <w:rPr>
          <w:spacing w:val="2"/>
          <w:sz w:val="24"/>
        </w:rPr>
        <w:t>to </w:t>
      </w:r>
      <w:r>
        <w:rPr>
          <w:sz w:val="24"/>
        </w:rPr>
        <w:t>be</w:t>
      </w:r>
      <w:r>
        <w:rPr>
          <w:spacing w:val="10"/>
          <w:sz w:val="24"/>
        </w:rPr>
        <w:t> </w:t>
      </w:r>
      <w:r>
        <w:rPr>
          <w:sz w:val="24"/>
        </w:rPr>
        <w:t>watched.</w:t>
      </w:r>
    </w:p>
    <w:p>
      <w:pPr>
        <w:pStyle w:val="BodyText"/>
        <w:spacing w:before="11"/>
        <w:rPr>
          <w:sz w:val="36"/>
        </w:rPr>
      </w:pPr>
    </w:p>
    <w:p>
      <w:pPr>
        <w:pStyle w:val="ListParagraph"/>
        <w:numPr>
          <w:ilvl w:val="0"/>
          <w:numId w:val="1"/>
        </w:numPr>
        <w:tabs>
          <w:tab w:pos="823" w:val="left" w:leader="none"/>
          <w:tab w:pos="824" w:val="left" w:leader="none"/>
        </w:tabs>
        <w:spacing w:line="372" w:lineRule="auto" w:before="0" w:after="0"/>
        <w:ind w:left="401" w:right="475" w:firstLine="0"/>
        <w:jc w:val="left"/>
        <w:rPr>
          <w:sz w:val="24"/>
        </w:rPr>
      </w:pPr>
      <w:r>
        <w:rPr>
          <w:sz w:val="24"/>
        </w:rPr>
        <w:t>Equity prices had continued </w:t>
      </w:r>
      <w:r>
        <w:rPr>
          <w:spacing w:val="2"/>
          <w:sz w:val="24"/>
        </w:rPr>
        <w:t>to </w:t>
      </w:r>
      <w:r>
        <w:rPr>
          <w:sz w:val="24"/>
        </w:rPr>
        <w:t>rise, with the F</w:t>
      </w:r>
      <w:r>
        <w:rPr>
          <w:sz w:val="22"/>
        </w:rPr>
        <w:t>T-SE </w:t>
      </w:r>
      <w:r>
        <w:rPr>
          <w:sz w:val="24"/>
        </w:rPr>
        <w:t>All-Share Index up by </w:t>
      </w:r>
      <w:r>
        <w:rPr>
          <w:spacing w:val="3"/>
          <w:sz w:val="24"/>
        </w:rPr>
        <w:t>over </w:t>
      </w:r>
      <w:r>
        <w:rPr>
          <w:sz w:val="24"/>
        </w:rPr>
        <w:t>10% since February. The consequent boost </w:t>
      </w:r>
      <w:r>
        <w:rPr>
          <w:spacing w:val="2"/>
          <w:sz w:val="24"/>
        </w:rPr>
        <w:t>to </w:t>
      </w:r>
      <w:r>
        <w:rPr>
          <w:sz w:val="24"/>
        </w:rPr>
        <w:t>household wealth would tend </w:t>
      </w:r>
      <w:r>
        <w:rPr>
          <w:spacing w:val="2"/>
          <w:sz w:val="24"/>
        </w:rPr>
        <w:t>to </w:t>
      </w:r>
      <w:r>
        <w:rPr>
          <w:sz w:val="24"/>
        </w:rPr>
        <w:t>support consumption</w:t>
      </w:r>
      <w:r>
        <w:rPr>
          <w:spacing w:val="-14"/>
          <w:sz w:val="24"/>
        </w:rPr>
        <w:t> </w:t>
      </w:r>
      <w:r>
        <w:rPr>
          <w:sz w:val="24"/>
        </w:rPr>
        <w:t>growth in the period ahead. Private sector investment might also be more buoyant as a</w:t>
      </w:r>
      <w:r>
        <w:rPr>
          <w:spacing w:val="-25"/>
          <w:sz w:val="24"/>
        </w:rPr>
        <w:t> </w:t>
      </w:r>
      <w:r>
        <w:rPr>
          <w:sz w:val="24"/>
        </w:rPr>
        <w:t>result.</w:t>
      </w:r>
    </w:p>
    <w:p>
      <w:pPr>
        <w:pStyle w:val="BodyText"/>
        <w:rPr>
          <w:sz w:val="37"/>
        </w:rPr>
      </w:pPr>
    </w:p>
    <w:p>
      <w:pPr>
        <w:pStyle w:val="ListParagraph"/>
        <w:numPr>
          <w:ilvl w:val="0"/>
          <w:numId w:val="1"/>
        </w:numPr>
        <w:tabs>
          <w:tab w:pos="824" w:val="left" w:leader="none"/>
        </w:tabs>
        <w:spacing w:line="372" w:lineRule="auto" w:before="0" w:after="0"/>
        <w:ind w:left="401" w:right="355" w:firstLine="0"/>
        <w:jc w:val="left"/>
        <w:rPr>
          <w:sz w:val="24"/>
        </w:rPr>
      </w:pPr>
      <w:r>
        <w:rPr>
          <w:sz w:val="24"/>
        </w:rPr>
        <w:t>A</w:t>
      </w:r>
      <w:r>
        <w:rPr>
          <w:spacing w:val="-19"/>
          <w:sz w:val="24"/>
        </w:rPr>
        <w:t> </w:t>
      </w:r>
      <w:r>
        <w:rPr>
          <w:sz w:val="24"/>
        </w:rPr>
        <w:t>significant</w:t>
      </w:r>
      <w:r>
        <w:rPr>
          <w:spacing w:val="-15"/>
          <w:sz w:val="24"/>
        </w:rPr>
        <w:t> </w:t>
      </w:r>
      <w:r>
        <w:rPr>
          <w:sz w:val="24"/>
        </w:rPr>
        <w:t>development</w:t>
      </w:r>
      <w:r>
        <w:rPr>
          <w:spacing w:val="-15"/>
          <w:sz w:val="24"/>
        </w:rPr>
        <w:t> </w:t>
      </w:r>
      <w:r>
        <w:rPr>
          <w:sz w:val="24"/>
        </w:rPr>
        <w:t>in</w:t>
      </w:r>
      <w:r>
        <w:rPr>
          <w:spacing w:val="-18"/>
          <w:sz w:val="24"/>
        </w:rPr>
        <w:t> </w:t>
      </w:r>
      <w:r>
        <w:rPr>
          <w:sz w:val="24"/>
        </w:rPr>
        <w:t>monetary</w:t>
      </w:r>
      <w:r>
        <w:rPr>
          <w:spacing w:val="-18"/>
          <w:sz w:val="24"/>
        </w:rPr>
        <w:t> </w:t>
      </w:r>
      <w:r>
        <w:rPr>
          <w:sz w:val="24"/>
        </w:rPr>
        <w:t>and</w:t>
      </w:r>
      <w:r>
        <w:rPr>
          <w:spacing w:val="-19"/>
          <w:sz w:val="24"/>
        </w:rPr>
        <w:t> </w:t>
      </w:r>
      <w:r>
        <w:rPr>
          <w:sz w:val="24"/>
        </w:rPr>
        <w:t>financial</w:t>
      </w:r>
      <w:r>
        <w:rPr>
          <w:spacing w:val="-18"/>
          <w:sz w:val="24"/>
        </w:rPr>
        <w:t> </w:t>
      </w:r>
      <w:r>
        <w:rPr>
          <w:sz w:val="24"/>
        </w:rPr>
        <w:t>conditions</w:t>
      </w:r>
      <w:r>
        <w:rPr>
          <w:spacing w:val="-18"/>
          <w:sz w:val="24"/>
        </w:rPr>
        <w:t> </w:t>
      </w:r>
      <w:r>
        <w:rPr>
          <w:sz w:val="24"/>
        </w:rPr>
        <w:t>was</w:t>
      </w:r>
      <w:r>
        <w:rPr>
          <w:spacing w:val="-19"/>
          <w:sz w:val="24"/>
        </w:rPr>
        <w:t> </w:t>
      </w:r>
      <w:r>
        <w:rPr>
          <w:sz w:val="24"/>
        </w:rPr>
        <w:t>the</w:t>
      </w:r>
      <w:r>
        <w:rPr>
          <w:spacing w:val="-18"/>
          <w:sz w:val="24"/>
        </w:rPr>
        <w:t> </w:t>
      </w:r>
      <w:r>
        <w:rPr>
          <w:sz w:val="24"/>
        </w:rPr>
        <w:t>further</w:t>
      </w:r>
      <w:r>
        <w:rPr>
          <w:spacing w:val="-18"/>
          <w:sz w:val="24"/>
        </w:rPr>
        <w:t> </w:t>
      </w:r>
      <w:r>
        <w:rPr>
          <w:sz w:val="24"/>
        </w:rPr>
        <w:t>rise</w:t>
      </w:r>
      <w:r>
        <w:rPr>
          <w:spacing w:val="-17"/>
          <w:sz w:val="24"/>
        </w:rPr>
        <w:t> </w:t>
      </w:r>
      <w:r>
        <w:rPr>
          <w:sz w:val="24"/>
        </w:rPr>
        <w:t>in</w:t>
      </w:r>
      <w:r>
        <w:rPr>
          <w:spacing w:val="-19"/>
          <w:sz w:val="24"/>
        </w:rPr>
        <w:t> </w:t>
      </w:r>
      <w:r>
        <w:rPr>
          <w:spacing w:val="-3"/>
          <w:sz w:val="24"/>
        </w:rPr>
        <w:t>sterling’s </w:t>
      </w:r>
      <w:r>
        <w:rPr>
          <w:sz w:val="24"/>
        </w:rPr>
        <w:t>effective exchange rate. The ERI was up around 3% since the April meeting, and was around 5% higher</w:t>
      </w:r>
      <w:r>
        <w:rPr>
          <w:spacing w:val="-8"/>
          <w:sz w:val="24"/>
        </w:rPr>
        <w:t> </w:t>
      </w:r>
      <w:r>
        <w:rPr>
          <w:sz w:val="24"/>
        </w:rPr>
        <w:t>than</w:t>
      </w:r>
      <w:r>
        <w:rPr>
          <w:spacing w:val="-8"/>
          <w:sz w:val="24"/>
        </w:rPr>
        <w:t> </w:t>
      </w:r>
      <w:r>
        <w:rPr>
          <w:sz w:val="24"/>
        </w:rPr>
        <w:t>the</w:t>
      </w:r>
      <w:r>
        <w:rPr>
          <w:spacing w:val="-8"/>
          <w:sz w:val="24"/>
        </w:rPr>
        <w:t> </w:t>
      </w:r>
      <w:r>
        <w:rPr>
          <w:sz w:val="24"/>
        </w:rPr>
        <w:t>level</w:t>
      </w:r>
      <w:r>
        <w:rPr>
          <w:spacing w:val="-7"/>
          <w:sz w:val="24"/>
        </w:rPr>
        <w:t> </w:t>
      </w:r>
      <w:r>
        <w:rPr>
          <w:sz w:val="24"/>
        </w:rPr>
        <w:t>implied</w:t>
      </w:r>
      <w:r>
        <w:rPr>
          <w:spacing w:val="-8"/>
          <w:sz w:val="24"/>
        </w:rPr>
        <w:t> </w:t>
      </w:r>
      <w:r>
        <w:rPr>
          <w:sz w:val="24"/>
        </w:rPr>
        <w:t>by</w:t>
      </w:r>
      <w:r>
        <w:rPr>
          <w:spacing w:val="-8"/>
          <w:sz w:val="24"/>
        </w:rPr>
        <w:t> </w:t>
      </w:r>
      <w:r>
        <w:rPr>
          <w:spacing w:val="-4"/>
          <w:sz w:val="24"/>
        </w:rPr>
        <w:t>February’s</w:t>
      </w:r>
      <w:r>
        <w:rPr>
          <w:spacing w:val="-7"/>
          <w:sz w:val="24"/>
        </w:rPr>
        <w:t> </w:t>
      </w:r>
      <w:r>
        <w:rPr>
          <w:sz w:val="24"/>
        </w:rPr>
        <w:t>central</w:t>
      </w:r>
      <w:r>
        <w:rPr>
          <w:spacing w:val="-8"/>
          <w:sz w:val="24"/>
        </w:rPr>
        <w:t> </w:t>
      </w:r>
      <w:r>
        <w:rPr>
          <w:sz w:val="24"/>
        </w:rPr>
        <w:t>projection.</w:t>
      </w:r>
      <w:r>
        <w:rPr>
          <w:spacing w:val="45"/>
          <w:sz w:val="24"/>
        </w:rPr>
        <w:t> </w:t>
      </w:r>
      <w:r>
        <w:rPr>
          <w:sz w:val="24"/>
        </w:rPr>
        <w:t>It</w:t>
      </w:r>
      <w:r>
        <w:rPr>
          <w:spacing w:val="-6"/>
          <w:sz w:val="24"/>
        </w:rPr>
        <w:t> </w:t>
      </w:r>
      <w:r>
        <w:rPr>
          <w:sz w:val="24"/>
        </w:rPr>
        <w:t>seemed</w:t>
      </w:r>
      <w:r>
        <w:rPr>
          <w:spacing w:val="-8"/>
          <w:sz w:val="24"/>
        </w:rPr>
        <w:t> </w:t>
      </w:r>
      <w:r>
        <w:rPr>
          <w:sz w:val="24"/>
        </w:rPr>
        <w:t>that</w:t>
      </w:r>
      <w:r>
        <w:rPr>
          <w:spacing w:val="-3"/>
          <w:sz w:val="24"/>
        </w:rPr>
        <w:t> </w:t>
      </w:r>
      <w:r>
        <w:rPr>
          <w:sz w:val="24"/>
        </w:rPr>
        <w:t>a</w:t>
      </w:r>
      <w:r>
        <w:rPr>
          <w:spacing w:val="-8"/>
          <w:sz w:val="24"/>
        </w:rPr>
        <w:t> </w:t>
      </w:r>
      <w:r>
        <w:rPr>
          <w:sz w:val="24"/>
        </w:rPr>
        <w:t>material</w:t>
      </w:r>
      <w:r>
        <w:rPr>
          <w:spacing w:val="-8"/>
          <w:sz w:val="24"/>
        </w:rPr>
        <w:t> </w:t>
      </w:r>
      <w:r>
        <w:rPr>
          <w:sz w:val="24"/>
        </w:rPr>
        <w:t>part,</w:t>
      </w:r>
      <w:r>
        <w:rPr>
          <w:spacing w:val="-3"/>
          <w:sz w:val="24"/>
        </w:rPr>
        <w:t> </w:t>
      </w:r>
      <w:r>
        <w:rPr>
          <w:sz w:val="24"/>
        </w:rPr>
        <w:t>but</w:t>
      </w:r>
    </w:p>
    <w:p>
      <w:pPr>
        <w:spacing w:after="0" w:line="372" w:lineRule="auto"/>
        <w:jc w:val="left"/>
        <w:rPr>
          <w:sz w:val="24"/>
        </w:rPr>
        <w:sectPr>
          <w:headerReference w:type="default" r:id="rId7"/>
          <w:pgSz w:w="11900" w:h="16840"/>
          <w:pgMar w:header="729" w:footer="0" w:top="1340" w:bottom="280" w:left="880" w:right="860"/>
          <w:pgNumType w:start="2"/>
        </w:sectPr>
      </w:pPr>
    </w:p>
    <w:p>
      <w:pPr>
        <w:pStyle w:val="BodyText"/>
        <w:rPr>
          <w:sz w:val="12"/>
        </w:rPr>
      </w:pPr>
    </w:p>
    <w:p>
      <w:pPr>
        <w:pStyle w:val="BodyText"/>
        <w:spacing w:line="372" w:lineRule="auto" w:before="90"/>
        <w:ind w:left="401" w:right="333"/>
      </w:pPr>
      <w:r>
        <w:rPr/>
        <w:t>not</w:t>
      </w:r>
      <w:r>
        <w:rPr>
          <w:spacing w:val="-12"/>
        </w:rPr>
        <w:t> </w:t>
      </w:r>
      <w:r>
        <w:rPr/>
        <w:t>all,</w:t>
      </w:r>
      <w:r>
        <w:rPr>
          <w:spacing w:val="-15"/>
        </w:rPr>
        <w:t> </w:t>
      </w:r>
      <w:r>
        <w:rPr/>
        <w:t>of</w:t>
      </w:r>
      <w:r>
        <w:rPr>
          <w:spacing w:val="-11"/>
        </w:rPr>
        <w:t> </w:t>
      </w:r>
      <w:r>
        <w:rPr/>
        <w:t>this</w:t>
      </w:r>
      <w:r>
        <w:rPr>
          <w:spacing w:val="-16"/>
        </w:rPr>
        <w:t> </w:t>
      </w:r>
      <w:r>
        <w:rPr/>
        <w:t>appreciation</w:t>
      </w:r>
      <w:r>
        <w:rPr>
          <w:spacing w:val="-15"/>
        </w:rPr>
        <w:t> </w:t>
      </w:r>
      <w:r>
        <w:rPr/>
        <w:t>could</w:t>
      </w:r>
      <w:r>
        <w:rPr>
          <w:spacing w:val="-15"/>
        </w:rPr>
        <w:t> </w:t>
      </w:r>
      <w:r>
        <w:rPr/>
        <w:t>be</w:t>
      </w:r>
      <w:r>
        <w:rPr>
          <w:spacing w:val="-15"/>
        </w:rPr>
        <w:t> </w:t>
      </w:r>
      <w:r>
        <w:rPr/>
        <w:t>explained</w:t>
      </w:r>
      <w:r>
        <w:rPr>
          <w:spacing w:val="-15"/>
        </w:rPr>
        <w:t> </w:t>
      </w:r>
      <w:r>
        <w:rPr/>
        <w:t>by</w:t>
      </w:r>
      <w:r>
        <w:rPr>
          <w:spacing w:val="-15"/>
        </w:rPr>
        <w:t> </w:t>
      </w:r>
      <w:r>
        <w:rPr/>
        <w:t>relative</w:t>
      </w:r>
      <w:r>
        <w:rPr>
          <w:spacing w:val="-13"/>
        </w:rPr>
        <w:t> </w:t>
      </w:r>
      <w:r>
        <w:rPr/>
        <w:t>yield</w:t>
      </w:r>
      <w:r>
        <w:rPr>
          <w:spacing w:val="-16"/>
        </w:rPr>
        <w:t> </w:t>
      </w:r>
      <w:r>
        <w:rPr/>
        <w:t>curve</w:t>
      </w:r>
      <w:r>
        <w:rPr>
          <w:spacing w:val="-15"/>
        </w:rPr>
        <w:t> </w:t>
      </w:r>
      <w:r>
        <w:rPr/>
        <w:t>movements,</w:t>
      </w:r>
      <w:r>
        <w:rPr>
          <w:spacing w:val="-15"/>
        </w:rPr>
        <w:t> </w:t>
      </w:r>
      <w:r>
        <w:rPr/>
        <w:t>the</w:t>
      </w:r>
      <w:r>
        <w:rPr>
          <w:spacing w:val="-15"/>
        </w:rPr>
        <w:t> </w:t>
      </w:r>
      <w:r>
        <w:rPr/>
        <w:t>sterling</w:t>
      </w:r>
      <w:r>
        <w:rPr>
          <w:spacing w:val="-15"/>
        </w:rPr>
        <w:t> </w:t>
      </w:r>
      <w:r>
        <w:rPr/>
        <w:t>yield curve having risen and the euro area yield curve having fallen, reflecting changing market assessments of the </w:t>
      </w:r>
      <w:r>
        <w:rPr>
          <w:spacing w:val="3"/>
        </w:rPr>
        <w:t>outlook </w:t>
      </w:r>
      <w:r>
        <w:rPr/>
        <w:t>for growth and, thus, monetary policy settings. Other market explanations included a change in the sterling/euro risk premium in </w:t>
      </w:r>
      <w:r>
        <w:rPr>
          <w:spacing w:val="-3"/>
        </w:rPr>
        <w:t>sterling’s </w:t>
      </w:r>
      <w:r>
        <w:rPr/>
        <w:t>favour, possibly related</w:t>
      </w:r>
      <w:r>
        <w:rPr>
          <w:spacing w:val="-8"/>
        </w:rPr>
        <w:t> </w:t>
      </w:r>
      <w:r>
        <w:rPr/>
        <w:t>in</w:t>
      </w:r>
      <w:r>
        <w:rPr>
          <w:spacing w:val="-8"/>
        </w:rPr>
        <w:t> </w:t>
      </w:r>
      <w:r>
        <w:rPr/>
        <w:t>part</w:t>
      </w:r>
      <w:r>
        <w:rPr>
          <w:spacing w:val="-5"/>
        </w:rPr>
        <w:t> </w:t>
      </w:r>
      <w:r>
        <w:rPr>
          <w:spacing w:val="2"/>
        </w:rPr>
        <w:t>to</w:t>
      </w:r>
      <w:r>
        <w:rPr>
          <w:spacing w:val="-5"/>
        </w:rPr>
        <w:t> </w:t>
      </w:r>
      <w:r>
        <w:rPr/>
        <w:t>the</w:t>
      </w:r>
      <w:r>
        <w:rPr>
          <w:spacing w:val="-8"/>
        </w:rPr>
        <w:t> </w:t>
      </w:r>
      <w:r>
        <w:rPr/>
        <w:t>Kosovo</w:t>
      </w:r>
      <w:r>
        <w:rPr>
          <w:spacing w:val="-9"/>
        </w:rPr>
        <w:t> </w:t>
      </w:r>
      <w:r>
        <w:rPr/>
        <w:t>conflict,</w:t>
      </w:r>
      <w:r>
        <w:rPr>
          <w:spacing w:val="-5"/>
        </w:rPr>
        <w:t> </w:t>
      </w:r>
      <w:r>
        <w:rPr/>
        <w:t>which</w:t>
      </w:r>
      <w:r>
        <w:rPr>
          <w:spacing w:val="-8"/>
        </w:rPr>
        <w:t> </w:t>
      </w:r>
      <w:r>
        <w:rPr/>
        <w:t>appeared</w:t>
      </w:r>
      <w:r>
        <w:rPr>
          <w:spacing w:val="-9"/>
        </w:rPr>
        <w:t> </w:t>
      </w:r>
      <w:r>
        <w:rPr>
          <w:spacing w:val="2"/>
        </w:rPr>
        <w:t>to</w:t>
      </w:r>
      <w:r>
        <w:rPr>
          <w:spacing w:val="-5"/>
        </w:rPr>
        <w:t> </w:t>
      </w:r>
      <w:r>
        <w:rPr/>
        <w:t>be</w:t>
      </w:r>
      <w:r>
        <w:rPr>
          <w:spacing w:val="-8"/>
        </w:rPr>
        <w:t> </w:t>
      </w:r>
      <w:r>
        <w:rPr/>
        <w:t>consistent</w:t>
      </w:r>
      <w:r>
        <w:rPr>
          <w:spacing w:val="-5"/>
        </w:rPr>
        <w:t> </w:t>
      </w:r>
      <w:r>
        <w:rPr/>
        <w:t>with</w:t>
      </w:r>
      <w:r>
        <w:rPr>
          <w:spacing w:val="-9"/>
        </w:rPr>
        <w:t> </w:t>
      </w:r>
      <w:r>
        <w:rPr/>
        <w:t>the</w:t>
      </w:r>
      <w:r>
        <w:rPr>
          <w:spacing w:val="-9"/>
        </w:rPr>
        <w:t> </w:t>
      </w:r>
      <w:r>
        <w:rPr/>
        <w:t>slight</w:t>
      </w:r>
      <w:r>
        <w:rPr>
          <w:spacing w:val="-4"/>
        </w:rPr>
        <w:t> </w:t>
      </w:r>
      <w:r>
        <w:rPr/>
        <w:t>appreciation in the euro when there had been news of intensified diplomatic efforts; a possible longer-term rerating</w:t>
      </w:r>
      <w:r>
        <w:rPr>
          <w:spacing w:val="-9"/>
        </w:rPr>
        <w:t> </w:t>
      </w:r>
      <w:r>
        <w:rPr/>
        <w:t>of</w:t>
      </w:r>
      <w:r>
        <w:rPr>
          <w:spacing w:val="-6"/>
        </w:rPr>
        <w:t> </w:t>
      </w:r>
      <w:r>
        <w:rPr/>
        <w:t>relative</w:t>
      </w:r>
      <w:r>
        <w:rPr>
          <w:spacing w:val="-9"/>
        </w:rPr>
        <w:t> </w:t>
      </w:r>
      <w:r>
        <w:rPr/>
        <w:t>UK</w:t>
      </w:r>
      <w:r>
        <w:rPr>
          <w:spacing w:val="-10"/>
        </w:rPr>
        <w:t> </w:t>
      </w:r>
      <w:r>
        <w:rPr/>
        <w:t>economic</w:t>
      </w:r>
      <w:r>
        <w:rPr>
          <w:spacing w:val="-11"/>
        </w:rPr>
        <w:t> </w:t>
      </w:r>
      <w:r>
        <w:rPr/>
        <w:t>prospects;</w:t>
      </w:r>
      <w:r>
        <w:rPr>
          <w:spacing w:val="40"/>
        </w:rPr>
        <w:t> </w:t>
      </w:r>
      <w:r>
        <w:rPr/>
        <w:t>and</w:t>
      </w:r>
      <w:r>
        <w:rPr>
          <w:spacing w:val="-10"/>
        </w:rPr>
        <w:t> </w:t>
      </w:r>
      <w:r>
        <w:rPr/>
        <w:t>increased</w:t>
      </w:r>
      <w:r>
        <w:rPr>
          <w:spacing w:val="-11"/>
        </w:rPr>
        <w:t> </w:t>
      </w:r>
      <w:r>
        <w:rPr/>
        <w:t>merger</w:t>
      </w:r>
      <w:r>
        <w:rPr>
          <w:spacing w:val="-10"/>
        </w:rPr>
        <w:t> </w:t>
      </w:r>
      <w:r>
        <w:rPr/>
        <w:t>and</w:t>
      </w:r>
      <w:r>
        <w:rPr>
          <w:spacing w:val="-10"/>
        </w:rPr>
        <w:t> </w:t>
      </w:r>
      <w:r>
        <w:rPr/>
        <w:t>acquisition-related</w:t>
      </w:r>
      <w:r>
        <w:rPr>
          <w:spacing w:val="-9"/>
        </w:rPr>
        <w:t> </w:t>
      </w:r>
      <w:r>
        <w:rPr/>
        <w:t>demand for sterling, although given the liquidity and depth of the foreign exchange market, it seemed unlikely that such transaction-related factors could have had anything more than a brief effect, whereas </w:t>
      </w:r>
      <w:r>
        <w:rPr>
          <w:spacing w:val="-3"/>
        </w:rPr>
        <w:t>sterling’s </w:t>
      </w:r>
      <w:r>
        <w:rPr/>
        <w:t>rise had been sustained </w:t>
      </w:r>
      <w:r>
        <w:rPr>
          <w:spacing w:val="3"/>
        </w:rPr>
        <w:t>over </w:t>
      </w:r>
      <w:r>
        <w:rPr/>
        <w:t>three</w:t>
      </w:r>
      <w:r>
        <w:rPr>
          <w:spacing w:val="9"/>
        </w:rPr>
        <w:t> </w:t>
      </w:r>
      <w:r>
        <w:rPr/>
        <w:t>months.</w:t>
      </w:r>
    </w:p>
    <w:p>
      <w:pPr>
        <w:pStyle w:val="BodyText"/>
        <w:rPr>
          <w:sz w:val="37"/>
        </w:rPr>
      </w:pPr>
    </w:p>
    <w:p>
      <w:pPr>
        <w:pStyle w:val="Heading1"/>
        <w:spacing w:before="1"/>
      </w:pPr>
      <w:r>
        <w:rPr/>
        <w:t>Demand and output</w:t>
      </w:r>
    </w:p>
    <w:p>
      <w:pPr>
        <w:pStyle w:val="BodyText"/>
        <w:rPr>
          <w:b/>
          <w:sz w:val="26"/>
        </w:rPr>
      </w:pPr>
    </w:p>
    <w:p>
      <w:pPr>
        <w:pStyle w:val="BodyText"/>
        <w:spacing w:before="10"/>
        <w:rPr>
          <w:b/>
          <w:sz w:val="23"/>
        </w:rPr>
      </w:pPr>
    </w:p>
    <w:p>
      <w:pPr>
        <w:pStyle w:val="ListParagraph"/>
        <w:numPr>
          <w:ilvl w:val="0"/>
          <w:numId w:val="1"/>
        </w:numPr>
        <w:tabs>
          <w:tab w:pos="824" w:val="left" w:leader="none"/>
        </w:tabs>
        <w:spacing w:line="372" w:lineRule="auto" w:before="0" w:after="0"/>
        <w:ind w:left="401" w:right="490" w:firstLine="0"/>
        <w:jc w:val="left"/>
        <w:rPr>
          <w:sz w:val="24"/>
        </w:rPr>
      </w:pPr>
      <w:r>
        <w:rPr>
          <w:sz w:val="24"/>
        </w:rPr>
        <w:t>GDP growth in Q1 was now estimated </w:t>
      </w:r>
      <w:r>
        <w:rPr>
          <w:spacing w:val="2"/>
          <w:sz w:val="24"/>
        </w:rPr>
        <w:t>to </w:t>
      </w:r>
      <w:r>
        <w:rPr>
          <w:sz w:val="24"/>
        </w:rPr>
        <w:t>have been 0.1%; it was probably slightly higher excluding energy industries. Since the beginning of 1998 there had now been five consecutive quarters of below-trend growth. That should have done a lot </w:t>
      </w:r>
      <w:r>
        <w:rPr>
          <w:spacing w:val="2"/>
          <w:sz w:val="24"/>
        </w:rPr>
        <w:t>to </w:t>
      </w:r>
      <w:r>
        <w:rPr>
          <w:sz w:val="24"/>
        </w:rPr>
        <w:t>relieve capacity pressures, although</w:t>
      </w:r>
      <w:r>
        <w:rPr>
          <w:spacing w:val="-14"/>
          <w:sz w:val="24"/>
        </w:rPr>
        <w:t> </w:t>
      </w:r>
      <w:r>
        <w:rPr>
          <w:sz w:val="24"/>
        </w:rPr>
        <w:t>judgments</w:t>
      </w:r>
      <w:r>
        <w:rPr>
          <w:spacing w:val="-13"/>
          <w:sz w:val="24"/>
        </w:rPr>
        <w:t> </w:t>
      </w:r>
      <w:r>
        <w:rPr>
          <w:sz w:val="24"/>
        </w:rPr>
        <w:t>could</w:t>
      </w:r>
      <w:r>
        <w:rPr>
          <w:spacing w:val="-13"/>
          <w:sz w:val="24"/>
        </w:rPr>
        <w:t> </w:t>
      </w:r>
      <w:r>
        <w:rPr>
          <w:sz w:val="24"/>
        </w:rPr>
        <w:t>easily</w:t>
      </w:r>
      <w:r>
        <w:rPr>
          <w:spacing w:val="-13"/>
          <w:sz w:val="24"/>
        </w:rPr>
        <w:t> </w:t>
      </w:r>
      <w:r>
        <w:rPr>
          <w:sz w:val="24"/>
        </w:rPr>
        <w:t>differ</w:t>
      </w:r>
      <w:r>
        <w:rPr>
          <w:spacing w:val="-13"/>
          <w:sz w:val="24"/>
        </w:rPr>
        <w:t> </w:t>
      </w:r>
      <w:r>
        <w:rPr>
          <w:sz w:val="24"/>
        </w:rPr>
        <w:t>about</w:t>
      </w:r>
      <w:r>
        <w:rPr>
          <w:spacing w:val="-10"/>
          <w:sz w:val="24"/>
        </w:rPr>
        <w:t> </w:t>
      </w:r>
      <w:r>
        <w:rPr>
          <w:sz w:val="24"/>
        </w:rPr>
        <w:t>the</w:t>
      </w:r>
      <w:r>
        <w:rPr>
          <w:spacing w:val="-13"/>
          <w:sz w:val="24"/>
        </w:rPr>
        <w:t> </w:t>
      </w:r>
      <w:r>
        <w:rPr>
          <w:sz w:val="24"/>
        </w:rPr>
        <w:t>precise</w:t>
      </w:r>
      <w:r>
        <w:rPr>
          <w:spacing w:val="-13"/>
          <w:sz w:val="24"/>
        </w:rPr>
        <w:t> </w:t>
      </w:r>
      <w:r>
        <w:rPr>
          <w:sz w:val="24"/>
        </w:rPr>
        <w:t>balance</w:t>
      </w:r>
      <w:r>
        <w:rPr>
          <w:spacing w:val="-14"/>
          <w:sz w:val="24"/>
        </w:rPr>
        <w:t> </w:t>
      </w:r>
      <w:r>
        <w:rPr>
          <w:sz w:val="24"/>
        </w:rPr>
        <w:t>of</w:t>
      </w:r>
      <w:r>
        <w:rPr>
          <w:spacing w:val="-9"/>
          <w:sz w:val="24"/>
        </w:rPr>
        <w:t> </w:t>
      </w:r>
      <w:r>
        <w:rPr>
          <w:sz w:val="24"/>
        </w:rPr>
        <w:t>aggregate</w:t>
      </w:r>
      <w:r>
        <w:rPr>
          <w:spacing w:val="-13"/>
          <w:sz w:val="24"/>
        </w:rPr>
        <w:t> </w:t>
      </w:r>
      <w:r>
        <w:rPr>
          <w:sz w:val="24"/>
        </w:rPr>
        <w:t>demand</w:t>
      </w:r>
      <w:r>
        <w:rPr>
          <w:spacing w:val="-13"/>
          <w:sz w:val="24"/>
        </w:rPr>
        <w:t> </w:t>
      </w:r>
      <w:r>
        <w:rPr>
          <w:sz w:val="24"/>
        </w:rPr>
        <w:t>and</w:t>
      </w:r>
      <w:r>
        <w:rPr>
          <w:spacing w:val="-14"/>
          <w:sz w:val="24"/>
        </w:rPr>
        <w:t> </w:t>
      </w:r>
      <w:r>
        <w:rPr>
          <w:sz w:val="24"/>
        </w:rPr>
        <w:t>supply. The economy was probably at or slightly past the trough in growth, which was set </w:t>
      </w:r>
      <w:r>
        <w:rPr>
          <w:spacing w:val="2"/>
          <w:sz w:val="24"/>
        </w:rPr>
        <w:t>to </w:t>
      </w:r>
      <w:r>
        <w:rPr>
          <w:sz w:val="24"/>
        </w:rPr>
        <w:t>recover towards</w:t>
      </w:r>
      <w:r>
        <w:rPr>
          <w:spacing w:val="1"/>
          <w:sz w:val="24"/>
        </w:rPr>
        <w:t> </w:t>
      </w:r>
      <w:r>
        <w:rPr>
          <w:sz w:val="24"/>
        </w:rPr>
        <w:t>trend.</w:t>
      </w:r>
    </w:p>
    <w:p>
      <w:pPr>
        <w:pStyle w:val="BodyText"/>
        <w:spacing w:before="9"/>
        <w:rPr>
          <w:sz w:val="36"/>
        </w:rPr>
      </w:pPr>
    </w:p>
    <w:p>
      <w:pPr>
        <w:pStyle w:val="ListParagraph"/>
        <w:numPr>
          <w:ilvl w:val="0"/>
          <w:numId w:val="1"/>
        </w:numPr>
        <w:tabs>
          <w:tab w:pos="824" w:val="left" w:leader="none"/>
        </w:tabs>
        <w:spacing w:line="372" w:lineRule="auto" w:before="1" w:after="0"/>
        <w:ind w:left="401" w:right="377" w:firstLine="0"/>
        <w:jc w:val="left"/>
        <w:rPr>
          <w:sz w:val="24"/>
        </w:rPr>
      </w:pPr>
      <w:r>
        <w:rPr>
          <w:sz w:val="24"/>
        </w:rPr>
        <w:t>On</w:t>
      </w:r>
      <w:r>
        <w:rPr>
          <w:spacing w:val="-7"/>
          <w:sz w:val="24"/>
        </w:rPr>
        <w:t> </w:t>
      </w:r>
      <w:r>
        <w:rPr>
          <w:sz w:val="24"/>
        </w:rPr>
        <w:t>the</w:t>
      </w:r>
      <w:r>
        <w:rPr>
          <w:spacing w:val="-6"/>
          <w:sz w:val="24"/>
        </w:rPr>
        <w:t> </w:t>
      </w:r>
      <w:r>
        <w:rPr>
          <w:sz w:val="24"/>
        </w:rPr>
        <w:t>demand</w:t>
      </w:r>
      <w:r>
        <w:rPr>
          <w:spacing w:val="-7"/>
          <w:sz w:val="24"/>
        </w:rPr>
        <w:t> </w:t>
      </w:r>
      <w:r>
        <w:rPr>
          <w:sz w:val="24"/>
        </w:rPr>
        <w:t>side,</w:t>
      </w:r>
      <w:r>
        <w:rPr>
          <w:spacing w:val="-6"/>
          <w:sz w:val="24"/>
        </w:rPr>
        <w:t> </w:t>
      </w:r>
      <w:r>
        <w:rPr>
          <w:sz w:val="24"/>
        </w:rPr>
        <w:t>consumption</w:t>
      </w:r>
      <w:r>
        <w:rPr>
          <w:spacing w:val="-7"/>
          <w:sz w:val="24"/>
        </w:rPr>
        <w:t> </w:t>
      </w:r>
      <w:r>
        <w:rPr>
          <w:sz w:val="24"/>
        </w:rPr>
        <w:t>growth</w:t>
      </w:r>
      <w:r>
        <w:rPr>
          <w:spacing w:val="-6"/>
          <w:sz w:val="24"/>
        </w:rPr>
        <w:t> </w:t>
      </w:r>
      <w:r>
        <w:rPr>
          <w:sz w:val="24"/>
        </w:rPr>
        <w:t>now</w:t>
      </w:r>
      <w:r>
        <w:rPr>
          <w:spacing w:val="-7"/>
          <w:sz w:val="24"/>
        </w:rPr>
        <w:t> </w:t>
      </w:r>
      <w:r>
        <w:rPr>
          <w:sz w:val="24"/>
        </w:rPr>
        <w:t>seemed</w:t>
      </w:r>
      <w:r>
        <w:rPr>
          <w:spacing w:val="-6"/>
          <w:sz w:val="24"/>
        </w:rPr>
        <w:t> </w:t>
      </w:r>
      <w:r>
        <w:rPr>
          <w:spacing w:val="2"/>
          <w:sz w:val="24"/>
        </w:rPr>
        <w:t>to</w:t>
      </w:r>
      <w:r>
        <w:rPr>
          <w:spacing w:val="-2"/>
          <w:sz w:val="24"/>
        </w:rPr>
        <w:t> </w:t>
      </w:r>
      <w:r>
        <w:rPr>
          <w:sz w:val="24"/>
        </w:rPr>
        <w:t>have</w:t>
      </w:r>
      <w:r>
        <w:rPr>
          <w:spacing w:val="-7"/>
          <w:sz w:val="24"/>
        </w:rPr>
        <w:t> </w:t>
      </w:r>
      <w:r>
        <w:rPr>
          <w:sz w:val="24"/>
        </w:rPr>
        <w:t>been</w:t>
      </w:r>
      <w:r>
        <w:rPr>
          <w:spacing w:val="-6"/>
          <w:sz w:val="24"/>
        </w:rPr>
        <w:t> </w:t>
      </w:r>
      <w:r>
        <w:rPr>
          <w:sz w:val="24"/>
        </w:rPr>
        <w:t>stronger</w:t>
      </w:r>
      <w:r>
        <w:rPr>
          <w:spacing w:val="-7"/>
          <w:sz w:val="24"/>
        </w:rPr>
        <w:t> </w:t>
      </w:r>
      <w:r>
        <w:rPr>
          <w:sz w:val="24"/>
        </w:rPr>
        <w:t>in</w:t>
      </w:r>
      <w:r>
        <w:rPr>
          <w:spacing w:val="-6"/>
          <w:sz w:val="24"/>
        </w:rPr>
        <w:t> </w:t>
      </w:r>
      <w:r>
        <w:rPr>
          <w:sz w:val="24"/>
        </w:rPr>
        <w:t>1998</w:t>
      </w:r>
      <w:r>
        <w:rPr>
          <w:spacing w:val="24"/>
          <w:sz w:val="24"/>
        </w:rPr>
        <w:t> </w:t>
      </w:r>
      <w:r>
        <w:rPr>
          <w:sz w:val="24"/>
        </w:rPr>
        <w:t>Q4</w:t>
      </w:r>
      <w:r>
        <w:rPr>
          <w:spacing w:val="-7"/>
          <w:sz w:val="24"/>
        </w:rPr>
        <w:t> </w:t>
      </w:r>
      <w:r>
        <w:rPr>
          <w:sz w:val="24"/>
        </w:rPr>
        <w:t>than had been thought in February. The evidence available so far suggested this had been maintained into</w:t>
      </w:r>
      <w:r>
        <w:rPr>
          <w:spacing w:val="-7"/>
          <w:sz w:val="24"/>
        </w:rPr>
        <w:t> </w:t>
      </w:r>
      <w:r>
        <w:rPr>
          <w:sz w:val="24"/>
        </w:rPr>
        <w:t>1999</w:t>
      </w:r>
      <w:r>
        <w:rPr>
          <w:spacing w:val="-11"/>
          <w:sz w:val="24"/>
        </w:rPr>
        <w:t> </w:t>
      </w:r>
      <w:r>
        <w:rPr>
          <w:sz w:val="24"/>
        </w:rPr>
        <w:t>Q1.</w:t>
      </w:r>
      <w:r>
        <w:rPr>
          <w:spacing w:val="40"/>
          <w:sz w:val="24"/>
        </w:rPr>
        <w:t> </w:t>
      </w:r>
      <w:r>
        <w:rPr>
          <w:sz w:val="24"/>
        </w:rPr>
        <w:t>Consumer</w:t>
      </w:r>
      <w:r>
        <w:rPr>
          <w:spacing w:val="-10"/>
          <w:sz w:val="24"/>
        </w:rPr>
        <w:t> </w:t>
      </w:r>
      <w:r>
        <w:rPr>
          <w:sz w:val="24"/>
        </w:rPr>
        <w:t>confidence</w:t>
      </w:r>
      <w:r>
        <w:rPr>
          <w:spacing w:val="-11"/>
          <w:sz w:val="24"/>
        </w:rPr>
        <w:t> </w:t>
      </w:r>
      <w:r>
        <w:rPr>
          <w:sz w:val="24"/>
        </w:rPr>
        <w:t>had</w:t>
      </w:r>
      <w:r>
        <w:rPr>
          <w:spacing w:val="-10"/>
          <w:sz w:val="24"/>
        </w:rPr>
        <w:t> </w:t>
      </w:r>
      <w:r>
        <w:rPr>
          <w:sz w:val="24"/>
        </w:rPr>
        <w:t>risen</w:t>
      </w:r>
      <w:r>
        <w:rPr>
          <w:spacing w:val="-8"/>
          <w:sz w:val="24"/>
        </w:rPr>
        <w:t> </w:t>
      </w:r>
      <w:r>
        <w:rPr>
          <w:sz w:val="24"/>
        </w:rPr>
        <w:t>since</w:t>
      </w:r>
      <w:r>
        <w:rPr>
          <w:spacing w:val="-11"/>
          <w:sz w:val="24"/>
        </w:rPr>
        <w:t> </w:t>
      </w:r>
      <w:r>
        <w:rPr>
          <w:sz w:val="24"/>
        </w:rPr>
        <w:t>February,</w:t>
      </w:r>
      <w:r>
        <w:rPr>
          <w:spacing w:val="-10"/>
          <w:sz w:val="24"/>
        </w:rPr>
        <w:t> </w:t>
      </w:r>
      <w:r>
        <w:rPr>
          <w:sz w:val="24"/>
        </w:rPr>
        <w:t>and</w:t>
      </w:r>
      <w:r>
        <w:rPr>
          <w:spacing w:val="-10"/>
          <w:sz w:val="24"/>
        </w:rPr>
        <w:t> </w:t>
      </w:r>
      <w:r>
        <w:rPr>
          <w:sz w:val="24"/>
        </w:rPr>
        <w:t>housing</w:t>
      </w:r>
      <w:r>
        <w:rPr>
          <w:spacing w:val="-10"/>
          <w:sz w:val="24"/>
        </w:rPr>
        <w:t> </w:t>
      </w:r>
      <w:r>
        <w:rPr>
          <w:sz w:val="24"/>
        </w:rPr>
        <w:t>market</w:t>
      </w:r>
      <w:r>
        <w:rPr>
          <w:spacing w:val="-6"/>
          <w:sz w:val="24"/>
        </w:rPr>
        <w:t> </w:t>
      </w:r>
      <w:r>
        <w:rPr>
          <w:sz w:val="24"/>
        </w:rPr>
        <w:t>indicators</w:t>
      </w:r>
      <w:r>
        <w:rPr>
          <w:spacing w:val="-11"/>
          <w:sz w:val="24"/>
        </w:rPr>
        <w:t> </w:t>
      </w:r>
      <w:r>
        <w:rPr>
          <w:sz w:val="24"/>
        </w:rPr>
        <w:t>were showing signs of renewed</w:t>
      </w:r>
      <w:r>
        <w:rPr>
          <w:spacing w:val="12"/>
          <w:sz w:val="24"/>
        </w:rPr>
        <w:t> </w:t>
      </w:r>
      <w:r>
        <w:rPr>
          <w:sz w:val="24"/>
        </w:rPr>
        <w:t>strength.</w:t>
      </w:r>
    </w:p>
    <w:p>
      <w:pPr>
        <w:pStyle w:val="BodyText"/>
        <w:spacing w:before="10"/>
        <w:rPr>
          <w:sz w:val="36"/>
        </w:rPr>
      </w:pPr>
    </w:p>
    <w:p>
      <w:pPr>
        <w:pStyle w:val="ListParagraph"/>
        <w:numPr>
          <w:ilvl w:val="0"/>
          <w:numId w:val="1"/>
        </w:numPr>
        <w:tabs>
          <w:tab w:pos="824" w:val="left" w:leader="none"/>
        </w:tabs>
        <w:spacing w:line="372" w:lineRule="auto" w:before="1" w:after="0"/>
        <w:ind w:left="401" w:right="320" w:firstLine="0"/>
        <w:jc w:val="left"/>
        <w:rPr>
          <w:sz w:val="24"/>
        </w:rPr>
      </w:pPr>
      <w:r>
        <w:rPr>
          <w:sz w:val="24"/>
        </w:rPr>
        <w:t>The </w:t>
      </w:r>
      <w:r>
        <w:rPr>
          <w:spacing w:val="3"/>
          <w:sz w:val="24"/>
        </w:rPr>
        <w:t>outlook </w:t>
      </w:r>
      <w:r>
        <w:rPr>
          <w:sz w:val="24"/>
        </w:rPr>
        <w:t>for investment was stronger than a quarter ago, partly reflecting the marked recovery in measures of business confidence and partly the stronger than expected </w:t>
      </w:r>
      <w:r>
        <w:rPr>
          <w:spacing w:val="3"/>
          <w:sz w:val="24"/>
        </w:rPr>
        <w:t>outturns </w:t>
      </w:r>
      <w:r>
        <w:rPr>
          <w:sz w:val="24"/>
        </w:rPr>
        <w:t>in the second half of 1998. At this early stage of the new monetary framework, it was difficult </w:t>
      </w:r>
      <w:r>
        <w:rPr>
          <w:spacing w:val="2"/>
          <w:sz w:val="24"/>
        </w:rPr>
        <w:t>to </w:t>
      </w:r>
      <w:r>
        <w:rPr>
          <w:sz w:val="24"/>
        </w:rPr>
        <w:t>know whether</w:t>
      </w:r>
      <w:r>
        <w:rPr>
          <w:spacing w:val="-9"/>
          <w:sz w:val="24"/>
        </w:rPr>
        <w:t> </w:t>
      </w:r>
      <w:r>
        <w:rPr>
          <w:sz w:val="24"/>
        </w:rPr>
        <w:t>the</w:t>
      </w:r>
      <w:r>
        <w:rPr>
          <w:spacing w:val="-8"/>
          <w:sz w:val="24"/>
        </w:rPr>
        <w:t> </w:t>
      </w:r>
      <w:r>
        <w:rPr>
          <w:sz w:val="24"/>
        </w:rPr>
        <w:t>recovery</w:t>
      </w:r>
      <w:r>
        <w:rPr>
          <w:spacing w:val="-7"/>
          <w:sz w:val="24"/>
        </w:rPr>
        <w:t> </w:t>
      </w:r>
      <w:r>
        <w:rPr>
          <w:sz w:val="24"/>
        </w:rPr>
        <w:t>in</w:t>
      </w:r>
      <w:r>
        <w:rPr>
          <w:spacing w:val="-8"/>
          <w:sz w:val="24"/>
        </w:rPr>
        <w:t> </w:t>
      </w:r>
      <w:r>
        <w:rPr>
          <w:sz w:val="24"/>
        </w:rPr>
        <w:t>confidence</w:t>
      </w:r>
      <w:r>
        <w:rPr>
          <w:spacing w:val="-8"/>
          <w:sz w:val="24"/>
        </w:rPr>
        <w:t> </w:t>
      </w:r>
      <w:r>
        <w:rPr>
          <w:sz w:val="24"/>
        </w:rPr>
        <w:t>was</w:t>
      </w:r>
      <w:r>
        <w:rPr>
          <w:spacing w:val="-9"/>
          <w:sz w:val="24"/>
        </w:rPr>
        <w:t> </w:t>
      </w:r>
      <w:r>
        <w:rPr>
          <w:sz w:val="24"/>
        </w:rPr>
        <w:t>the</w:t>
      </w:r>
      <w:r>
        <w:rPr>
          <w:spacing w:val="-8"/>
          <w:sz w:val="24"/>
        </w:rPr>
        <w:t> </w:t>
      </w:r>
      <w:r>
        <w:rPr>
          <w:sz w:val="24"/>
        </w:rPr>
        <w:t>result</w:t>
      </w:r>
      <w:r>
        <w:rPr>
          <w:spacing w:val="-7"/>
          <w:sz w:val="24"/>
        </w:rPr>
        <w:t> </w:t>
      </w:r>
      <w:r>
        <w:rPr>
          <w:sz w:val="24"/>
        </w:rPr>
        <w:t>of</w:t>
      </w:r>
      <w:r>
        <w:rPr>
          <w:spacing w:val="-4"/>
          <w:sz w:val="24"/>
        </w:rPr>
        <w:t> </w:t>
      </w:r>
      <w:r>
        <w:rPr>
          <w:sz w:val="24"/>
        </w:rPr>
        <w:t>the</w:t>
      </w:r>
      <w:r>
        <w:rPr>
          <w:spacing w:val="-8"/>
          <w:sz w:val="24"/>
        </w:rPr>
        <w:t> </w:t>
      </w:r>
      <w:r>
        <w:rPr>
          <w:sz w:val="24"/>
        </w:rPr>
        <w:t>apparently</w:t>
      </w:r>
      <w:r>
        <w:rPr>
          <w:spacing w:val="-8"/>
          <w:sz w:val="24"/>
        </w:rPr>
        <w:t> </w:t>
      </w:r>
      <w:r>
        <w:rPr>
          <w:sz w:val="24"/>
        </w:rPr>
        <w:t>sharper</w:t>
      </w:r>
      <w:r>
        <w:rPr>
          <w:spacing w:val="-9"/>
          <w:sz w:val="24"/>
        </w:rPr>
        <w:t> </w:t>
      </w:r>
      <w:r>
        <w:rPr>
          <w:sz w:val="24"/>
        </w:rPr>
        <w:t>than</w:t>
      </w:r>
      <w:r>
        <w:rPr>
          <w:spacing w:val="-8"/>
          <w:sz w:val="24"/>
        </w:rPr>
        <w:t> </w:t>
      </w:r>
      <w:r>
        <w:rPr>
          <w:sz w:val="24"/>
        </w:rPr>
        <w:t>expected</w:t>
      </w:r>
      <w:r>
        <w:rPr>
          <w:spacing w:val="-8"/>
          <w:sz w:val="24"/>
        </w:rPr>
        <w:t> </w:t>
      </w:r>
      <w:r>
        <w:rPr>
          <w:sz w:val="24"/>
        </w:rPr>
        <w:t>easing</w:t>
      </w:r>
      <w:r>
        <w:rPr>
          <w:spacing w:val="-9"/>
          <w:sz w:val="24"/>
        </w:rPr>
        <w:t> </w:t>
      </w:r>
      <w:r>
        <w:rPr>
          <w:sz w:val="24"/>
        </w:rPr>
        <w:t>of monetary policy, or whether the available measures of business confidence were simply volatile, and perhaps at times misleading,</w:t>
      </w:r>
      <w:r>
        <w:rPr>
          <w:spacing w:val="9"/>
          <w:sz w:val="24"/>
        </w:rPr>
        <w:t> </w:t>
      </w:r>
      <w:r>
        <w:rPr>
          <w:sz w:val="24"/>
        </w:rPr>
        <w:t>indicators.</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ListParagraph"/>
        <w:numPr>
          <w:ilvl w:val="0"/>
          <w:numId w:val="1"/>
        </w:numPr>
        <w:tabs>
          <w:tab w:pos="824" w:val="left" w:leader="none"/>
        </w:tabs>
        <w:spacing w:line="372" w:lineRule="auto" w:before="90" w:after="0"/>
        <w:ind w:left="401" w:right="421" w:firstLine="0"/>
        <w:jc w:val="left"/>
        <w:rPr>
          <w:sz w:val="24"/>
        </w:rPr>
      </w:pPr>
      <w:r>
        <w:rPr>
          <w:sz w:val="24"/>
        </w:rPr>
        <w:t>There were suggestions from the </w:t>
      </w:r>
      <w:r>
        <w:rPr>
          <w:spacing w:val="-6"/>
          <w:sz w:val="24"/>
        </w:rPr>
        <w:t>Bank’s </w:t>
      </w:r>
      <w:r>
        <w:rPr>
          <w:sz w:val="24"/>
        </w:rPr>
        <w:t>regional Agents that the recovery in confidence was fragile. It was not possible </w:t>
      </w:r>
      <w:r>
        <w:rPr>
          <w:spacing w:val="2"/>
          <w:sz w:val="24"/>
        </w:rPr>
        <w:t>to </w:t>
      </w:r>
      <w:r>
        <w:rPr>
          <w:sz w:val="24"/>
        </w:rPr>
        <w:t>substantiate this, but it seemed likely that any recovery in manufacturing</w:t>
      </w:r>
      <w:r>
        <w:rPr>
          <w:spacing w:val="-12"/>
          <w:sz w:val="24"/>
        </w:rPr>
        <w:t> </w:t>
      </w:r>
      <w:r>
        <w:rPr>
          <w:sz w:val="24"/>
        </w:rPr>
        <w:t>sector</w:t>
      </w:r>
      <w:r>
        <w:rPr>
          <w:spacing w:val="-8"/>
          <w:sz w:val="24"/>
        </w:rPr>
        <w:t> </w:t>
      </w:r>
      <w:r>
        <w:rPr>
          <w:sz w:val="24"/>
        </w:rPr>
        <w:t>sentiment</w:t>
      </w:r>
      <w:r>
        <w:rPr>
          <w:spacing w:val="-8"/>
          <w:sz w:val="24"/>
        </w:rPr>
        <w:t> </w:t>
      </w:r>
      <w:r>
        <w:rPr>
          <w:sz w:val="24"/>
        </w:rPr>
        <w:t>would</w:t>
      </w:r>
      <w:r>
        <w:rPr>
          <w:spacing w:val="-12"/>
          <w:sz w:val="24"/>
        </w:rPr>
        <w:t> </w:t>
      </w:r>
      <w:r>
        <w:rPr>
          <w:sz w:val="24"/>
        </w:rPr>
        <w:t>remain</w:t>
      </w:r>
      <w:r>
        <w:rPr>
          <w:spacing w:val="-10"/>
          <w:sz w:val="24"/>
        </w:rPr>
        <w:t> </w:t>
      </w:r>
      <w:r>
        <w:rPr>
          <w:sz w:val="24"/>
        </w:rPr>
        <w:t>weak</w:t>
      </w:r>
      <w:r>
        <w:rPr>
          <w:spacing w:val="-11"/>
          <w:sz w:val="24"/>
        </w:rPr>
        <w:t> </w:t>
      </w:r>
      <w:r>
        <w:rPr>
          <w:sz w:val="24"/>
        </w:rPr>
        <w:t>while</w:t>
      </w:r>
      <w:r>
        <w:rPr>
          <w:spacing w:val="-12"/>
          <w:sz w:val="24"/>
        </w:rPr>
        <w:t> </w:t>
      </w:r>
      <w:r>
        <w:rPr>
          <w:spacing w:val="-3"/>
          <w:sz w:val="24"/>
        </w:rPr>
        <w:t>sterling’s</w:t>
      </w:r>
      <w:r>
        <w:rPr>
          <w:spacing w:val="-12"/>
          <w:sz w:val="24"/>
        </w:rPr>
        <w:t> </w:t>
      </w:r>
      <w:r>
        <w:rPr>
          <w:sz w:val="24"/>
        </w:rPr>
        <w:t>strength</w:t>
      </w:r>
      <w:r>
        <w:rPr>
          <w:spacing w:val="-12"/>
          <w:sz w:val="24"/>
        </w:rPr>
        <w:t> </w:t>
      </w:r>
      <w:r>
        <w:rPr>
          <w:sz w:val="24"/>
        </w:rPr>
        <w:t>persisted.</w:t>
      </w:r>
      <w:r>
        <w:rPr>
          <w:spacing w:val="37"/>
          <w:sz w:val="24"/>
        </w:rPr>
        <w:t> </w:t>
      </w:r>
      <w:r>
        <w:rPr>
          <w:sz w:val="24"/>
        </w:rPr>
        <w:t>And</w:t>
      </w:r>
      <w:r>
        <w:rPr>
          <w:spacing w:val="-12"/>
          <w:sz w:val="24"/>
        </w:rPr>
        <w:t> </w:t>
      </w:r>
      <w:r>
        <w:rPr>
          <w:sz w:val="24"/>
        </w:rPr>
        <w:t>it</w:t>
      </w:r>
      <w:r>
        <w:rPr>
          <w:spacing w:val="-8"/>
          <w:sz w:val="24"/>
        </w:rPr>
        <w:t> </w:t>
      </w:r>
      <w:r>
        <w:rPr>
          <w:sz w:val="24"/>
        </w:rPr>
        <w:t>was possible that household sector confidence would be vulnerable </w:t>
      </w:r>
      <w:r>
        <w:rPr>
          <w:spacing w:val="2"/>
          <w:sz w:val="24"/>
        </w:rPr>
        <w:t>to </w:t>
      </w:r>
      <w:r>
        <w:rPr>
          <w:sz w:val="24"/>
        </w:rPr>
        <w:t>any significant increase in unemployment.</w:t>
      </w:r>
    </w:p>
    <w:p>
      <w:pPr>
        <w:pStyle w:val="BodyText"/>
        <w:spacing w:before="10"/>
        <w:rPr>
          <w:sz w:val="36"/>
        </w:rPr>
      </w:pPr>
    </w:p>
    <w:p>
      <w:pPr>
        <w:pStyle w:val="ListParagraph"/>
        <w:numPr>
          <w:ilvl w:val="0"/>
          <w:numId w:val="1"/>
        </w:numPr>
        <w:tabs>
          <w:tab w:pos="824" w:val="left" w:leader="none"/>
        </w:tabs>
        <w:spacing w:line="372" w:lineRule="auto" w:before="0" w:after="0"/>
        <w:ind w:left="401" w:right="498" w:firstLine="0"/>
        <w:jc w:val="both"/>
        <w:rPr>
          <w:sz w:val="24"/>
        </w:rPr>
      </w:pPr>
      <w:r>
        <w:rPr>
          <w:sz w:val="24"/>
        </w:rPr>
        <w:t>As</w:t>
      </w:r>
      <w:r>
        <w:rPr>
          <w:spacing w:val="-7"/>
          <w:sz w:val="24"/>
        </w:rPr>
        <w:t> </w:t>
      </w:r>
      <w:r>
        <w:rPr>
          <w:sz w:val="24"/>
        </w:rPr>
        <w:t>discussed</w:t>
      </w:r>
      <w:r>
        <w:rPr>
          <w:spacing w:val="-7"/>
          <w:sz w:val="24"/>
        </w:rPr>
        <w:t> </w:t>
      </w:r>
      <w:r>
        <w:rPr>
          <w:sz w:val="24"/>
        </w:rPr>
        <w:t>at</w:t>
      </w:r>
      <w:r>
        <w:rPr>
          <w:spacing w:val="-3"/>
          <w:sz w:val="24"/>
        </w:rPr>
        <w:t> </w:t>
      </w:r>
      <w:r>
        <w:rPr>
          <w:sz w:val="24"/>
        </w:rPr>
        <w:t>the</w:t>
      </w:r>
      <w:r>
        <w:rPr>
          <w:spacing w:val="-7"/>
          <w:sz w:val="24"/>
        </w:rPr>
        <w:t> </w:t>
      </w:r>
      <w:r>
        <w:rPr>
          <w:spacing w:val="-3"/>
          <w:sz w:val="24"/>
        </w:rPr>
        <w:t>Committee’s</w:t>
      </w:r>
      <w:r>
        <w:rPr>
          <w:spacing w:val="-7"/>
          <w:sz w:val="24"/>
        </w:rPr>
        <w:t> </w:t>
      </w:r>
      <w:r>
        <w:rPr>
          <w:sz w:val="24"/>
        </w:rPr>
        <w:t>previous</w:t>
      </w:r>
      <w:r>
        <w:rPr>
          <w:spacing w:val="-7"/>
          <w:sz w:val="24"/>
        </w:rPr>
        <w:t> </w:t>
      </w:r>
      <w:r>
        <w:rPr>
          <w:sz w:val="24"/>
        </w:rPr>
        <w:t>meeting,</w:t>
      </w:r>
      <w:r>
        <w:rPr>
          <w:spacing w:val="-7"/>
          <w:sz w:val="24"/>
        </w:rPr>
        <w:t> </w:t>
      </w:r>
      <w:r>
        <w:rPr>
          <w:sz w:val="24"/>
        </w:rPr>
        <w:t>the</w:t>
      </w:r>
      <w:r>
        <w:rPr>
          <w:spacing w:val="-7"/>
          <w:sz w:val="24"/>
        </w:rPr>
        <w:t> </w:t>
      </w:r>
      <w:r>
        <w:rPr>
          <w:sz w:val="24"/>
        </w:rPr>
        <w:t>counterpart</w:t>
      </w:r>
      <w:r>
        <w:rPr>
          <w:spacing w:val="-3"/>
          <w:sz w:val="24"/>
        </w:rPr>
        <w:t> </w:t>
      </w:r>
      <w:r>
        <w:rPr>
          <w:spacing w:val="2"/>
          <w:sz w:val="24"/>
        </w:rPr>
        <w:t>to</w:t>
      </w:r>
      <w:r>
        <w:rPr>
          <w:spacing w:val="-2"/>
          <w:sz w:val="24"/>
        </w:rPr>
        <w:t> </w:t>
      </w:r>
      <w:r>
        <w:rPr>
          <w:sz w:val="24"/>
        </w:rPr>
        <w:t>the</w:t>
      </w:r>
      <w:r>
        <w:rPr>
          <w:spacing w:val="-7"/>
          <w:sz w:val="24"/>
        </w:rPr>
        <w:t> </w:t>
      </w:r>
      <w:r>
        <w:rPr>
          <w:sz w:val="24"/>
        </w:rPr>
        <w:t>upward</w:t>
      </w:r>
      <w:r>
        <w:rPr>
          <w:spacing w:val="-7"/>
          <w:sz w:val="24"/>
        </w:rPr>
        <w:t> </w:t>
      </w:r>
      <w:r>
        <w:rPr>
          <w:sz w:val="24"/>
        </w:rPr>
        <w:t>revision</w:t>
      </w:r>
      <w:r>
        <w:rPr>
          <w:spacing w:val="-5"/>
          <w:sz w:val="24"/>
        </w:rPr>
        <w:t> </w:t>
      </w:r>
      <w:r>
        <w:rPr>
          <w:sz w:val="24"/>
        </w:rPr>
        <w:t>to domestic demand growth in 1998 Q4 had been a larger trade deficit. Although this was likely to increase,</w:t>
      </w:r>
      <w:r>
        <w:rPr>
          <w:spacing w:val="-10"/>
          <w:sz w:val="24"/>
        </w:rPr>
        <w:t> </w:t>
      </w:r>
      <w:r>
        <w:rPr>
          <w:sz w:val="24"/>
        </w:rPr>
        <w:t>the</w:t>
      </w:r>
      <w:r>
        <w:rPr>
          <w:spacing w:val="-10"/>
          <w:sz w:val="24"/>
        </w:rPr>
        <w:t> </w:t>
      </w:r>
      <w:r>
        <w:rPr>
          <w:sz w:val="24"/>
        </w:rPr>
        <w:t>current</w:t>
      </w:r>
      <w:r>
        <w:rPr>
          <w:spacing w:val="-6"/>
          <w:sz w:val="24"/>
        </w:rPr>
        <w:t> </w:t>
      </w:r>
      <w:r>
        <w:rPr>
          <w:sz w:val="24"/>
        </w:rPr>
        <w:t>account</w:t>
      </w:r>
      <w:r>
        <w:rPr>
          <w:spacing w:val="-6"/>
          <w:sz w:val="24"/>
        </w:rPr>
        <w:t> </w:t>
      </w:r>
      <w:r>
        <w:rPr>
          <w:sz w:val="24"/>
        </w:rPr>
        <w:t>deficit</w:t>
      </w:r>
      <w:r>
        <w:rPr>
          <w:spacing w:val="-6"/>
          <w:sz w:val="24"/>
        </w:rPr>
        <w:t> </w:t>
      </w:r>
      <w:r>
        <w:rPr>
          <w:sz w:val="24"/>
        </w:rPr>
        <w:t>was</w:t>
      </w:r>
      <w:r>
        <w:rPr>
          <w:spacing w:val="-10"/>
          <w:sz w:val="24"/>
        </w:rPr>
        <w:t> </w:t>
      </w:r>
      <w:r>
        <w:rPr>
          <w:sz w:val="24"/>
        </w:rPr>
        <w:t>likely</w:t>
      </w:r>
      <w:r>
        <w:rPr>
          <w:spacing w:val="-10"/>
          <w:sz w:val="24"/>
        </w:rPr>
        <w:t> </w:t>
      </w:r>
      <w:r>
        <w:rPr>
          <w:spacing w:val="2"/>
          <w:sz w:val="24"/>
        </w:rPr>
        <w:t>to</w:t>
      </w:r>
      <w:r>
        <w:rPr>
          <w:spacing w:val="-6"/>
          <w:sz w:val="24"/>
        </w:rPr>
        <w:t> </w:t>
      </w:r>
      <w:r>
        <w:rPr>
          <w:sz w:val="24"/>
        </w:rPr>
        <w:t>be</w:t>
      </w:r>
      <w:r>
        <w:rPr>
          <w:spacing w:val="-10"/>
          <w:sz w:val="24"/>
        </w:rPr>
        <w:t> </w:t>
      </w:r>
      <w:r>
        <w:rPr>
          <w:sz w:val="24"/>
        </w:rPr>
        <w:t>smaller</w:t>
      </w:r>
      <w:r>
        <w:rPr>
          <w:spacing w:val="-10"/>
          <w:sz w:val="24"/>
        </w:rPr>
        <w:t> </w:t>
      </w:r>
      <w:r>
        <w:rPr>
          <w:sz w:val="24"/>
        </w:rPr>
        <w:t>in</w:t>
      </w:r>
      <w:r>
        <w:rPr>
          <w:spacing w:val="-10"/>
          <w:sz w:val="24"/>
        </w:rPr>
        <w:t> </w:t>
      </w:r>
      <w:r>
        <w:rPr>
          <w:sz w:val="24"/>
        </w:rPr>
        <w:t>relation</w:t>
      </w:r>
      <w:r>
        <w:rPr>
          <w:spacing w:val="-8"/>
          <w:sz w:val="24"/>
        </w:rPr>
        <w:t> </w:t>
      </w:r>
      <w:r>
        <w:rPr>
          <w:spacing w:val="2"/>
          <w:sz w:val="24"/>
        </w:rPr>
        <w:t>to</w:t>
      </w:r>
      <w:r>
        <w:rPr>
          <w:spacing w:val="-6"/>
          <w:sz w:val="24"/>
        </w:rPr>
        <w:t> </w:t>
      </w:r>
      <w:r>
        <w:rPr>
          <w:sz w:val="24"/>
        </w:rPr>
        <w:t>GDP,</w:t>
      </w:r>
      <w:r>
        <w:rPr>
          <w:spacing w:val="-10"/>
          <w:sz w:val="24"/>
        </w:rPr>
        <w:t> </w:t>
      </w:r>
      <w:r>
        <w:rPr>
          <w:sz w:val="24"/>
        </w:rPr>
        <w:t>partly</w:t>
      </w:r>
      <w:r>
        <w:rPr>
          <w:spacing w:val="-10"/>
          <w:sz w:val="24"/>
        </w:rPr>
        <w:t> </w:t>
      </w:r>
      <w:r>
        <w:rPr>
          <w:sz w:val="24"/>
        </w:rPr>
        <w:t>on</w:t>
      </w:r>
      <w:r>
        <w:rPr>
          <w:spacing w:val="-5"/>
          <w:sz w:val="24"/>
        </w:rPr>
        <w:t> </w:t>
      </w:r>
      <w:r>
        <w:rPr>
          <w:sz w:val="24"/>
        </w:rPr>
        <w:t>account of strong net income on </w:t>
      </w:r>
      <w:r>
        <w:rPr>
          <w:spacing w:val="3"/>
          <w:sz w:val="24"/>
        </w:rPr>
        <w:t>overseas</w:t>
      </w:r>
      <w:r>
        <w:rPr>
          <w:spacing w:val="26"/>
          <w:sz w:val="24"/>
        </w:rPr>
        <w:t> </w:t>
      </w:r>
      <w:r>
        <w:rPr>
          <w:sz w:val="24"/>
        </w:rPr>
        <w:t>investments.</w:t>
      </w:r>
    </w:p>
    <w:p>
      <w:pPr>
        <w:pStyle w:val="BodyText"/>
        <w:spacing w:before="4"/>
        <w:rPr>
          <w:sz w:val="37"/>
        </w:rPr>
      </w:pPr>
    </w:p>
    <w:p>
      <w:pPr>
        <w:pStyle w:val="Heading1"/>
      </w:pPr>
      <w:r>
        <w:rPr/>
        <w:t>Labour market conditions</w:t>
      </w:r>
    </w:p>
    <w:p>
      <w:pPr>
        <w:pStyle w:val="BodyText"/>
        <w:rPr>
          <w:b/>
          <w:sz w:val="26"/>
        </w:rPr>
      </w:pPr>
    </w:p>
    <w:p>
      <w:pPr>
        <w:pStyle w:val="BodyText"/>
        <w:spacing w:before="10"/>
        <w:rPr>
          <w:b/>
          <w:sz w:val="23"/>
        </w:rPr>
      </w:pPr>
    </w:p>
    <w:p>
      <w:pPr>
        <w:pStyle w:val="ListParagraph"/>
        <w:numPr>
          <w:ilvl w:val="0"/>
          <w:numId w:val="1"/>
        </w:numPr>
        <w:tabs>
          <w:tab w:pos="824" w:val="left" w:leader="none"/>
        </w:tabs>
        <w:spacing w:line="372" w:lineRule="auto" w:before="1" w:after="0"/>
        <w:ind w:left="401" w:right="260" w:firstLine="0"/>
        <w:jc w:val="left"/>
        <w:rPr>
          <w:sz w:val="24"/>
        </w:rPr>
      </w:pPr>
      <w:r>
        <w:rPr>
          <w:sz w:val="24"/>
        </w:rPr>
        <w:t>As had been the case for some time, labour market indicators painted a mixed picture. On the </w:t>
      </w:r>
      <w:r>
        <w:rPr>
          <w:spacing w:val="2"/>
          <w:sz w:val="24"/>
        </w:rPr>
        <w:t>one </w:t>
      </w:r>
      <w:r>
        <w:rPr>
          <w:sz w:val="24"/>
        </w:rPr>
        <w:t>hand, nominal settlements were lower, and the Reward index of nominal earnings growth was still slowing. On the </w:t>
      </w:r>
      <w:r>
        <w:rPr>
          <w:spacing w:val="3"/>
          <w:sz w:val="24"/>
        </w:rPr>
        <w:t>other </w:t>
      </w:r>
      <w:r>
        <w:rPr>
          <w:sz w:val="24"/>
        </w:rPr>
        <w:t>hand, the Federation of Recruitment and Employment Services had reported a slight increase in pay rates in April; and according </w:t>
      </w:r>
      <w:r>
        <w:rPr>
          <w:spacing w:val="2"/>
          <w:sz w:val="24"/>
        </w:rPr>
        <w:t>to </w:t>
      </w:r>
      <w:r>
        <w:rPr>
          <w:sz w:val="24"/>
        </w:rPr>
        <w:t>the revised January Average Earnings Index and the first February estimate, nominal earnings growth had stopped falling. Nominal earnings growth had in fact fallen by less than most measures of expected inflation, suggesting that expected real earnings growth might have risen. There were two reasons why wage drift - the gap between nominal earnings growth and settlements - might have increased. First, firms might be awarding any pay increases needed </w:t>
      </w:r>
      <w:r>
        <w:rPr>
          <w:spacing w:val="2"/>
          <w:sz w:val="24"/>
        </w:rPr>
        <w:t>to </w:t>
      </w:r>
      <w:r>
        <w:rPr>
          <w:sz w:val="24"/>
        </w:rPr>
        <w:t>comply with the National Minimum Wage rules </w:t>
      </w:r>
      <w:r>
        <w:rPr>
          <w:spacing w:val="3"/>
          <w:sz w:val="24"/>
        </w:rPr>
        <w:t>outside </w:t>
      </w:r>
      <w:r>
        <w:rPr>
          <w:sz w:val="24"/>
        </w:rPr>
        <w:t>the normal pay round. Second, there might have been an increase in bonuses, but this was difficult </w:t>
      </w:r>
      <w:r>
        <w:rPr>
          <w:spacing w:val="2"/>
          <w:sz w:val="24"/>
        </w:rPr>
        <w:t>to </w:t>
      </w:r>
      <w:r>
        <w:rPr>
          <w:sz w:val="24"/>
        </w:rPr>
        <w:t>judge as the </w:t>
      </w:r>
      <w:r>
        <w:rPr>
          <w:spacing w:val="-7"/>
          <w:sz w:val="24"/>
        </w:rPr>
        <w:t>ONS’s </w:t>
      </w:r>
      <w:r>
        <w:rPr>
          <w:sz w:val="24"/>
        </w:rPr>
        <w:t>question about bonuses had recently changed, so that there was a break in the</w:t>
      </w:r>
      <w:r>
        <w:rPr>
          <w:spacing w:val="6"/>
          <w:sz w:val="24"/>
        </w:rPr>
        <w:t> </w:t>
      </w:r>
      <w:r>
        <w:rPr>
          <w:sz w:val="24"/>
        </w:rPr>
        <w:t>series.</w:t>
      </w:r>
    </w:p>
    <w:p>
      <w:pPr>
        <w:pStyle w:val="BodyText"/>
        <w:spacing w:before="6"/>
        <w:rPr>
          <w:sz w:val="36"/>
        </w:rPr>
      </w:pPr>
    </w:p>
    <w:p>
      <w:pPr>
        <w:pStyle w:val="ListParagraph"/>
        <w:numPr>
          <w:ilvl w:val="0"/>
          <w:numId w:val="1"/>
        </w:numPr>
        <w:tabs>
          <w:tab w:pos="824" w:val="left" w:leader="none"/>
        </w:tabs>
        <w:spacing w:line="372" w:lineRule="auto" w:before="0" w:after="0"/>
        <w:ind w:left="401" w:right="326" w:firstLine="0"/>
        <w:jc w:val="left"/>
        <w:rPr>
          <w:sz w:val="24"/>
        </w:rPr>
      </w:pPr>
      <w:r>
        <w:rPr>
          <w:sz w:val="24"/>
        </w:rPr>
        <w:t>The labour market remained tight. Employment had been increasing even though </w:t>
      </w:r>
      <w:r>
        <w:rPr>
          <w:spacing w:val="2"/>
          <w:sz w:val="24"/>
        </w:rPr>
        <w:t>output </w:t>
      </w:r>
      <w:r>
        <w:rPr>
          <w:sz w:val="24"/>
        </w:rPr>
        <w:t>growth had been below trend for the past 15 months or so. Measured by headcount, employment had continued </w:t>
      </w:r>
      <w:r>
        <w:rPr>
          <w:spacing w:val="2"/>
          <w:sz w:val="24"/>
        </w:rPr>
        <w:t>to </w:t>
      </w:r>
      <w:r>
        <w:rPr>
          <w:sz w:val="24"/>
        </w:rPr>
        <w:t>rise recently, although by less in 1999 Q1 than in 1998 Q4. Taken at face value, this might suggest that the labour market was still tightening. However, part of the increase was accounted for by a rise in the number of part-time workers. Overtime hours had fallen. Overall, hours</w:t>
      </w:r>
      <w:r>
        <w:rPr>
          <w:spacing w:val="-11"/>
          <w:sz w:val="24"/>
        </w:rPr>
        <w:t> </w:t>
      </w:r>
      <w:r>
        <w:rPr>
          <w:sz w:val="24"/>
        </w:rPr>
        <w:t>worked</w:t>
      </w:r>
      <w:r>
        <w:rPr>
          <w:spacing w:val="-10"/>
          <w:sz w:val="24"/>
        </w:rPr>
        <w:t> </w:t>
      </w:r>
      <w:r>
        <w:rPr>
          <w:sz w:val="24"/>
        </w:rPr>
        <w:t>per</w:t>
      </w:r>
      <w:r>
        <w:rPr>
          <w:spacing w:val="-10"/>
          <w:sz w:val="24"/>
        </w:rPr>
        <w:t> </w:t>
      </w:r>
      <w:r>
        <w:rPr>
          <w:sz w:val="24"/>
        </w:rPr>
        <w:t>head</w:t>
      </w:r>
      <w:r>
        <w:rPr>
          <w:spacing w:val="-10"/>
          <w:sz w:val="24"/>
        </w:rPr>
        <w:t> </w:t>
      </w:r>
      <w:r>
        <w:rPr>
          <w:sz w:val="24"/>
        </w:rPr>
        <w:t>had</w:t>
      </w:r>
      <w:r>
        <w:rPr>
          <w:spacing w:val="-10"/>
          <w:sz w:val="24"/>
        </w:rPr>
        <w:t> </w:t>
      </w:r>
      <w:r>
        <w:rPr>
          <w:sz w:val="24"/>
        </w:rPr>
        <w:t>also</w:t>
      </w:r>
      <w:r>
        <w:rPr>
          <w:spacing w:val="-10"/>
          <w:sz w:val="24"/>
        </w:rPr>
        <w:t> </w:t>
      </w:r>
      <w:r>
        <w:rPr>
          <w:sz w:val="24"/>
        </w:rPr>
        <w:t>fallen.</w:t>
      </w:r>
      <w:r>
        <w:rPr>
          <w:spacing w:val="39"/>
          <w:sz w:val="24"/>
        </w:rPr>
        <w:t> </w:t>
      </w:r>
      <w:r>
        <w:rPr>
          <w:sz w:val="24"/>
        </w:rPr>
        <w:t>Unemployment</w:t>
      </w:r>
      <w:r>
        <w:rPr>
          <w:spacing w:val="-6"/>
          <w:sz w:val="24"/>
        </w:rPr>
        <w:t> </w:t>
      </w:r>
      <w:r>
        <w:rPr>
          <w:sz w:val="24"/>
        </w:rPr>
        <w:t>had</w:t>
      </w:r>
      <w:r>
        <w:rPr>
          <w:spacing w:val="-10"/>
          <w:sz w:val="24"/>
        </w:rPr>
        <w:t> </w:t>
      </w:r>
      <w:r>
        <w:rPr>
          <w:sz w:val="24"/>
        </w:rPr>
        <w:t>risen</w:t>
      </w:r>
      <w:r>
        <w:rPr>
          <w:spacing w:val="-8"/>
          <w:sz w:val="24"/>
        </w:rPr>
        <w:t> </w:t>
      </w:r>
      <w:r>
        <w:rPr>
          <w:sz w:val="24"/>
        </w:rPr>
        <w:t>slightly,</w:t>
      </w:r>
      <w:r>
        <w:rPr>
          <w:spacing w:val="-10"/>
          <w:sz w:val="24"/>
        </w:rPr>
        <w:t> </w:t>
      </w:r>
      <w:r>
        <w:rPr>
          <w:sz w:val="24"/>
        </w:rPr>
        <w:t>but</w:t>
      </w:r>
      <w:r>
        <w:rPr>
          <w:spacing w:val="-7"/>
          <w:sz w:val="24"/>
        </w:rPr>
        <w:t> </w:t>
      </w:r>
      <w:r>
        <w:rPr>
          <w:sz w:val="24"/>
        </w:rPr>
        <w:t>was</w:t>
      </w:r>
      <w:r>
        <w:rPr>
          <w:spacing w:val="-10"/>
          <w:sz w:val="24"/>
        </w:rPr>
        <w:t> </w:t>
      </w:r>
      <w:r>
        <w:rPr>
          <w:sz w:val="24"/>
        </w:rPr>
        <w:t>still</w:t>
      </w:r>
      <w:r>
        <w:rPr>
          <w:spacing w:val="-10"/>
          <w:sz w:val="24"/>
        </w:rPr>
        <w:t> </w:t>
      </w:r>
      <w:r>
        <w:rPr>
          <w:sz w:val="24"/>
        </w:rPr>
        <w:t>close</w:t>
      </w:r>
      <w:r>
        <w:rPr>
          <w:spacing w:val="-10"/>
          <w:sz w:val="24"/>
        </w:rPr>
        <w:t> </w:t>
      </w:r>
      <w:r>
        <w:rPr>
          <w:spacing w:val="2"/>
          <w:sz w:val="24"/>
        </w:rPr>
        <w:t>to</w:t>
      </w:r>
      <w:r>
        <w:rPr>
          <w:spacing w:val="-6"/>
          <w:sz w:val="24"/>
        </w:rPr>
        <w:t> </w:t>
      </w:r>
      <w:r>
        <w:rPr>
          <w:sz w:val="24"/>
        </w:rPr>
        <w:t>a</w:t>
      </w:r>
      <w:r>
        <w:rPr>
          <w:spacing w:val="-10"/>
          <w:sz w:val="24"/>
        </w:rPr>
        <w:t> </w:t>
      </w:r>
      <w:r>
        <w:rPr>
          <w:sz w:val="24"/>
        </w:rPr>
        <w:t>20 year</w:t>
      </w:r>
      <w:r>
        <w:rPr>
          <w:spacing w:val="-11"/>
          <w:sz w:val="24"/>
        </w:rPr>
        <w:t> </w:t>
      </w:r>
      <w:r>
        <w:rPr>
          <w:sz w:val="24"/>
        </w:rPr>
        <w:t>low.</w:t>
      </w:r>
      <w:r>
        <w:rPr>
          <w:spacing w:val="38"/>
          <w:sz w:val="24"/>
        </w:rPr>
        <w:t> </w:t>
      </w:r>
      <w:r>
        <w:rPr>
          <w:sz w:val="24"/>
        </w:rPr>
        <w:t>According</w:t>
      </w:r>
      <w:r>
        <w:rPr>
          <w:spacing w:val="-10"/>
          <w:sz w:val="24"/>
        </w:rPr>
        <w:t> </w:t>
      </w:r>
      <w:r>
        <w:rPr>
          <w:spacing w:val="2"/>
          <w:sz w:val="24"/>
        </w:rPr>
        <w:t>to</w:t>
      </w:r>
      <w:r>
        <w:rPr>
          <w:spacing w:val="-7"/>
          <w:sz w:val="24"/>
        </w:rPr>
        <w:t> </w:t>
      </w:r>
      <w:r>
        <w:rPr>
          <w:sz w:val="24"/>
        </w:rPr>
        <w:t>the</w:t>
      </w:r>
      <w:r>
        <w:rPr>
          <w:spacing w:val="-11"/>
          <w:sz w:val="24"/>
        </w:rPr>
        <w:t> </w:t>
      </w:r>
      <w:r>
        <w:rPr>
          <w:sz w:val="24"/>
        </w:rPr>
        <w:t>latest</w:t>
      </w:r>
      <w:r>
        <w:rPr>
          <w:spacing w:val="-6"/>
          <w:sz w:val="24"/>
        </w:rPr>
        <w:t> </w:t>
      </w:r>
      <w:r>
        <w:rPr>
          <w:sz w:val="24"/>
        </w:rPr>
        <w:t>British</w:t>
      </w:r>
      <w:r>
        <w:rPr>
          <w:spacing w:val="-11"/>
          <w:sz w:val="24"/>
        </w:rPr>
        <w:t> </w:t>
      </w:r>
      <w:r>
        <w:rPr>
          <w:sz w:val="24"/>
        </w:rPr>
        <w:t>Chambers</w:t>
      </w:r>
      <w:r>
        <w:rPr>
          <w:spacing w:val="-11"/>
          <w:sz w:val="24"/>
        </w:rPr>
        <w:t> </w:t>
      </w:r>
      <w:r>
        <w:rPr>
          <w:sz w:val="24"/>
        </w:rPr>
        <w:t>of</w:t>
      </w:r>
      <w:r>
        <w:rPr>
          <w:spacing w:val="-7"/>
          <w:sz w:val="24"/>
        </w:rPr>
        <w:t> </w:t>
      </w:r>
      <w:r>
        <w:rPr>
          <w:sz w:val="24"/>
        </w:rPr>
        <w:t>Commerce</w:t>
      </w:r>
      <w:r>
        <w:rPr>
          <w:spacing w:val="-10"/>
          <w:sz w:val="24"/>
        </w:rPr>
        <w:t> </w:t>
      </w:r>
      <w:r>
        <w:rPr>
          <w:sz w:val="24"/>
        </w:rPr>
        <w:t>survey,</w:t>
      </w:r>
      <w:r>
        <w:rPr>
          <w:spacing w:val="-11"/>
          <w:sz w:val="24"/>
        </w:rPr>
        <w:t> </w:t>
      </w:r>
      <w:r>
        <w:rPr>
          <w:sz w:val="24"/>
        </w:rPr>
        <w:t>employment</w:t>
      </w:r>
      <w:r>
        <w:rPr>
          <w:spacing w:val="-7"/>
          <w:sz w:val="24"/>
        </w:rPr>
        <w:t> </w:t>
      </w:r>
      <w:r>
        <w:rPr>
          <w:sz w:val="24"/>
        </w:rPr>
        <w:t>intentions</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BodyText"/>
        <w:spacing w:line="372" w:lineRule="auto" w:before="90"/>
        <w:ind w:left="401" w:right="1401"/>
      </w:pPr>
      <w:r>
        <w:rPr/>
        <w:t>were</w:t>
      </w:r>
      <w:r>
        <w:rPr>
          <w:spacing w:val="-13"/>
        </w:rPr>
        <w:t> </w:t>
      </w:r>
      <w:r>
        <w:rPr/>
        <w:t>less</w:t>
      </w:r>
      <w:r>
        <w:rPr>
          <w:spacing w:val="-12"/>
        </w:rPr>
        <w:t> </w:t>
      </w:r>
      <w:r>
        <w:rPr/>
        <w:t>positive</w:t>
      </w:r>
      <w:r>
        <w:rPr>
          <w:spacing w:val="-12"/>
        </w:rPr>
        <w:t> </w:t>
      </w:r>
      <w:r>
        <w:rPr/>
        <w:t>in</w:t>
      </w:r>
      <w:r>
        <w:rPr>
          <w:spacing w:val="-12"/>
        </w:rPr>
        <w:t> </w:t>
      </w:r>
      <w:r>
        <w:rPr/>
        <w:t>services</w:t>
      </w:r>
      <w:r>
        <w:rPr>
          <w:spacing w:val="-12"/>
        </w:rPr>
        <w:t> </w:t>
      </w:r>
      <w:r>
        <w:rPr/>
        <w:t>and</w:t>
      </w:r>
      <w:r>
        <w:rPr>
          <w:spacing w:val="-12"/>
        </w:rPr>
        <w:t> </w:t>
      </w:r>
      <w:r>
        <w:rPr/>
        <w:t>flat</w:t>
      </w:r>
      <w:r>
        <w:rPr>
          <w:spacing w:val="-8"/>
        </w:rPr>
        <w:t> </w:t>
      </w:r>
      <w:r>
        <w:rPr/>
        <w:t>in</w:t>
      </w:r>
      <w:r>
        <w:rPr>
          <w:spacing w:val="-12"/>
        </w:rPr>
        <w:t> </w:t>
      </w:r>
      <w:r>
        <w:rPr/>
        <w:t>manufacturing.</w:t>
      </w:r>
      <w:r>
        <w:rPr>
          <w:spacing w:val="36"/>
        </w:rPr>
        <w:t> </w:t>
      </w:r>
      <w:r>
        <w:rPr/>
        <w:t>Evidence</w:t>
      </w:r>
      <w:r>
        <w:rPr>
          <w:spacing w:val="-10"/>
        </w:rPr>
        <w:t> </w:t>
      </w:r>
      <w:r>
        <w:rPr/>
        <w:t>on</w:t>
      </w:r>
      <w:r>
        <w:rPr>
          <w:spacing w:val="-9"/>
        </w:rPr>
        <w:t> </w:t>
      </w:r>
      <w:r>
        <w:rPr/>
        <w:t>skill</w:t>
      </w:r>
      <w:r>
        <w:rPr>
          <w:spacing w:val="-12"/>
        </w:rPr>
        <w:t> </w:t>
      </w:r>
      <w:r>
        <w:rPr/>
        <w:t>shortages</w:t>
      </w:r>
      <w:r>
        <w:rPr>
          <w:spacing w:val="-12"/>
        </w:rPr>
        <w:t> </w:t>
      </w:r>
      <w:r>
        <w:rPr/>
        <w:t>and recruitment</w:t>
      </w:r>
      <w:r>
        <w:rPr>
          <w:spacing w:val="-6"/>
        </w:rPr>
        <w:t> </w:t>
      </w:r>
      <w:r>
        <w:rPr/>
        <w:t>difficulties</w:t>
      </w:r>
      <w:r>
        <w:rPr>
          <w:spacing w:val="-8"/>
        </w:rPr>
        <w:t> </w:t>
      </w:r>
      <w:r>
        <w:rPr/>
        <w:t>had</w:t>
      </w:r>
      <w:r>
        <w:rPr>
          <w:spacing w:val="-8"/>
        </w:rPr>
        <w:t> </w:t>
      </w:r>
      <w:r>
        <w:rPr/>
        <w:t>also</w:t>
      </w:r>
      <w:r>
        <w:rPr>
          <w:spacing w:val="-7"/>
        </w:rPr>
        <w:t> </w:t>
      </w:r>
      <w:r>
        <w:rPr/>
        <w:t>suggested</w:t>
      </w:r>
      <w:r>
        <w:rPr>
          <w:spacing w:val="-8"/>
        </w:rPr>
        <w:t> </w:t>
      </w:r>
      <w:r>
        <w:rPr/>
        <w:t>some</w:t>
      </w:r>
      <w:r>
        <w:rPr>
          <w:spacing w:val="-7"/>
        </w:rPr>
        <w:t> </w:t>
      </w:r>
      <w:r>
        <w:rPr/>
        <w:t>easing,</w:t>
      </w:r>
      <w:r>
        <w:rPr>
          <w:spacing w:val="-8"/>
        </w:rPr>
        <w:t> </w:t>
      </w:r>
      <w:r>
        <w:rPr/>
        <w:t>but</w:t>
      </w:r>
      <w:r>
        <w:rPr>
          <w:spacing w:val="-4"/>
        </w:rPr>
        <w:t> </w:t>
      </w:r>
      <w:r>
        <w:rPr/>
        <w:t>the</w:t>
      </w:r>
      <w:r>
        <w:rPr>
          <w:spacing w:val="-7"/>
        </w:rPr>
        <w:t> </w:t>
      </w:r>
      <w:r>
        <w:rPr/>
        <w:t>picture</w:t>
      </w:r>
      <w:r>
        <w:rPr>
          <w:spacing w:val="-8"/>
        </w:rPr>
        <w:t> </w:t>
      </w:r>
      <w:r>
        <w:rPr/>
        <w:t>was</w:t>
      </w:r>
      <w:r>
        <w:rPr>
          <w:spacing w:val="-7"/>
        </w:rPr>
        <w:t> </w:t>
      </w:r>
      <w:r>
        <w:rPr/>
        <w:t>not</w:t>
      </w:r>
      <w:r>
        <w:rPr>
          <w:spacing w:val="-4"/>
        </w:rPr>
        <w:t> </w:t>
      </w:r>
      <w:r>
        <w:rPr/>
        <w:t>clear.</w:t>
      </w:r>
    </w:p>
    <w:p>
      <w:pPr>
        <w:pStyle w:val="BodyText"/>
        <w:rPr>
          <w:sz w:val="37"/>
        </w:rPr>
      </w:pPr>
    </w:p>
    <w:p>
      <w:pPr>
        <w:pStyle w:val="ListParagraph"/>
        <w:numPr>
          <w:ilvl w:val="0"/>
          <w:numId w:val="1"/>
        </w:numPr>
        <w:tabs>
          <w:tab w:pos="824" w:val="left" w:leader="none"/>
        </w:tabs>
        <w:spacing w:line="372" w:lineRule="auto" w:before="0" w:after="0"/>
        <w:ind w:left="401" w:right="572" w:firstLine="0"/>
        <w:jc w:val="both"/>
        <w:rPr>
          <w:sz w:val="24"/>
        </w:rPr>
      </w:pPr>
      <w:r>
        <w:rPr>
          <w:sz w:val="24"/>
        </w:rPr>
        <w:t>Taking</w:t>
      </w:r>
      <w:r>
        <w:rPr>
          <w:spacing w:val="-11"/>
          <w:sz w:val="24"/>
        </w:rPr>
        <w:t> </w:t>
      </w:r>
      <w:r>
        <w:rPr>
          <w:sz w:val="24"/>
        </w:rPr>
        <w:t>all</w:t>
      </w:r>
      <w:r>
        <w:rPr>
          <w:spacing w:val="-11"/>
          <w:sz w:val="24"/>
        </w:rPr>
        <w:t> </w:t>
      </w:r>
      <w:r>
        <w:rPr>
          <w:sz w:val="24"/>
        </w:rPr>
        <w:t>the</w:t>
      </w:r>
      <w:r>
        <w:rPr>
          <w:spacing w:val="-12"/>
          <w:sz w:val="24"/>
        </w:rPr>
        <w:t> </w:t>
      </w:r>
      <w:r>
        <w:rPr>
          <w:sz w:val="24"/>
        </w:rPr>
        <w:t>evidence</w:t>
      </w:r>
      <w:r>
        <w:rPr>
          <w:spacing w:val="-11"/>
          <w:sz w:val="24"/>
        </w:rPr>
        <w:t> </w:t>
      </w:r>
      <w:r>
        <w:rPr>
          <w:sz w:val="24"/>
        </w:rPr>
        <w:t>together,</w:t>
      </w:r>
      <w:r>
        <w:rPr>
          <w:spacing w:val="-12"/>
          <w:sz w:val="24"/>
        </w:rPr>
        <w:t> </w:t>
      </w:r>
      <w:r>
        <w:rPr>
          <w:sz w:val="24"/>
        </w:rPr>
        <w:t>the</w:t>
      </w:r>
      <w:r>
        <w:rPr>
          <w:spacing w:val="-11"/>
          <w:sz w:val="24"/>
        </w:rPr>
        <w:t> </w:t>
      </w:r>
      <w:r>
        <w:rPr>
          <w:sz w:val="24"/>
        </w:rPr>
        <w:t>Committee</w:t>
      </w:r>
      <w:r>
        <w:rPr>
          <w:spacing w:val="-12"/>
          <w:sz w:val="24"/>
        </w:rPr>
        <w:t> </w:t>
      </w:r>
      <w:r>
        <w:rPr>
          <w:sz w:val="24"/>
        </w:rPr>
        <w:t>judged</w:t>
      </w:r>
      <w:r>
        <w:rPr>
          <w:spacing w:val="-12"/>
          <w:sz w:val="24"/>
        </w:rPr>
        <w:t> </w:t>
      </w:r>
      <w:r>
        <w:rPr>
          <w:sz w:val="24"/>
        </w:rPr>
        <w:t>that</w:t>
      </w:r>
      <w:r>
        <w:rPr>
          <w:spacing w:val="-7"/>
          <w:sz w:val="24"/>
        </w:rPr>
        <w:t> </w:t>
      </w:r>
      <w:r>
        <w:rPr>
          <w:sz w:val="24"/>
        </w:rPr>
        <w:t>nominal</w:t>
      </w:r>
      <w:r>
        <w:rPr>
          <w:spacing w:val="-12"/>
          <w:sz w:val="24"/>
        </w:rPr>
        <w:t> </w:t>
      </w:r>
      <w:r>
        <w:rPr>
          <w:sz w:val="24"/>
        </w:rPr>
        <w:t>earnings</w:t>
      </w:r>
      <w:r>
        <w:rPr>
          <w:spacing w:val="-11"/>
          <w:sz w:val="24"/>
        </w:rPr>
        <w:t> </w:t>
      </w:r>
      <w:r>
        <w:rPr>
          <w:sz w:val="24"/>
        </w:rPr>
        <w:t>growth</w:t>
      </w:r>
      <w:r>
        <w:rPr>
          <w:spacing w:val="-12"/>
          <w:sz w:val="24"/>
        </w:rPr>
        <w:t> </w:t>
      </w:r>
      <w:r>
        <w:rPr>
          <w:sz w:val="24"/>
        </w:rPr>
        <w:t>would be</w:t>
      </w:r>
      <w:r>
        <w:rPr>
          <w:spacing w:val="-7"/>
          <w:sz w:val="24"/>
        </w:rPr>
        <w:t> </w:t>
      </w:r>
      <w:r>
        <w:rPr>
          <w:sz w:val="24"/>
        </w:rPr>
        <w:t>lower</w:t>
      </w:r>
      <w:r>
        <w:rPr>
          <w:spacing w:val="-6"/>
          <w:sz w:val="24"/>
        </w:rPr>
        <w:t> </w:t>
      </w:r>
      <w:r>
        <w:rPr>
          <w:sz w:val="24"/>
        </w:rPr>
        <w:t>in</w:t>
      </w:r>
      <w:r>
        <w:rPr>
          <w:spacing w:val="-7"/>
          <w:sz w:val="24"/>
        </w:rPr>
        <w:t> </w:t>
      </w:r>
      <w:r>
        <w:rPr>
          <w:sz w:val="24"/>
        </w:rPr>
        <w:t>the</w:t>
      </w:r>
      <w:r>
        <w:rPr>
          <w:spacing w:val="-6"/>
          <w:sz w:val="24"/>
        </w:rPr>
        <w:t> </w:t>
      </w:r>
      <w:r>
        <w:rPr>
          <w:sz w:val="24"/>
        </w:rPr>
        <w:t>remainder</w:t>
      </w:r>
      <w:r>
        <w:rPr>
          <w:spacing w:val="-5"/>
          <w:sz w:val="24"/>
        </w:rPr>
        <w:t> </w:t>
      </w:r>
      <w:r>
        <w:rPr>
          <w:sz w:val="24"/>
        </w:rPr>
        <w:t>of</w:t>
      </w:r>
      <w:r>
        <w:rPr>
          <w:spacing w:val="-2"/>
          <w:sz w:val="24"/>
        </w:rPr>
        <w:t> </w:t>
      </w:r>
      <w:r>
        <w:rPr>
          <w:sz w:val="24"/>
        </w:rPr>
        <w:t>1999</w:t>
      </w:r>
      <w:r>
        <w:rPr>
          <w:spacing w:val="-6"/>
          <w:sz w:val="24"/>
        </w:rPr>
        <w:t> </w:t>
      </w:r>
      <w:r>
        <w:rPr>
          <w:sz w:val="24"/>
        </w:rPr>
        <w:t>and</w:t>
      </w:r>
      <w:r>
        <w:rPr>
          <w:spacing w:val="-6"/>
          <w:sz w:val="24"/>
        </w:rPr>
        <w:t> </w:t>
      </w:r>
      <w:r>
        <w:rPr>
          <w:sz w:val="24"/>
        </w:rPr>
        <w:t>in</w:t>
      </w:r>
      <w:r>
        <w:rPr>
          <w:spacing w:val="-7"/>
          <w:sz w:val="24"/>
        </w:rPr>
        <w:t> </w:t>
      </w:r>
      <w:r>
        <w:rPr>
          <w:sz w:val="24"/>
        </w:rPr>
        <w:t>2000</w:t>
      </w:r>
      <w:r>
        <w:rPr>
          <w:spacing w:val="-6"/>
          <w:sz w:val="24"/>
        </w:rPr>
        <w:t> </w:t>
      </w:r>
      <w:r>
        <w:rPr>
          <w:sz w:val="24"/>
        </w:rPr>
        <w:t>than</w:t>
      </w:r>
      <w:r>
        <w:rPr>
          <w:spacing w:val="-7"/>
          <w:sz w:val="24"/>
        </w:rPr>
        <w:t> </w:t>
      </w:r>
      <w:r>
        <w:rPr>
          <w:sz w:val="24"/>
        </w:rPr>
        <w:t>had</w:t>
      </w:r>
      <w:r>
        <w:rPr>
          <w:spacing w:val="-6"/>
          <w:sz w:val="24"/>
        </w:rPr>
        <w:t> </w:t>
      </w:r>
      <w:r>
        <w:rPr>
          <w:sz w:val="24"/>
        </w:rPr>
        <w:t>been</w:t>
      </w:r>
      <w:r>
        <w:rPr>
          <w:spacing w:val="-6"/>
          <w:sz w:val="24"/>
        </w:rPr>
        <w:t> </w:t>
      </w:r>
      <w:r>
        <w:rPr>
          <w:sz w:val="24"/>
        </w:rPr>
        <w:t>expected</w:t>
      </w:r>
      <w:r>
        <w:rPr>
          <w:spacing w:val="-7"/>
          <w:sz w:val="24"/>
        </w:rPr>
        <w:t> </w:t>
      </w:r>
      <w:r>
        <w:rPr>
          <w:sz w:val="24"/>
        </w:rPr>
        <w:t>in</w:t>
      </w:r>
      <w:r>
        <w:rPr>
          <w:spacing w:val="-6"/>
          <w:sz w:val="24"/>
        </w:rPr>
        <w:t> </w:t>
      </w:r>
      <w:r>
        <w:rPr>
          <w:sz w:val="24"/>
        </w:rPr>
        <w:t>February,</w:t>
      </w:r>
      <w:r>
        <w:rPr>
          <w:spacing w:val="-7"/>
          <w:sz w:val="24"/>
        </w:rPr>
        <w:t> </w:t>
      </w:r>
      <w:r>
        <w:rPr>
          <w:sz w:val="24"/>
        </w:rPr>
        <w:t>partly</w:t>
      </w:r>
      <w:r>
        <w:rPr>
          <w:spacing w:val="-6"/>
          <w:sz w:val="24"/>
        </w:rPr>
        <w:t> </w:t>
      </w:r>
      <w:r>
        <w:rPr>
          <w:sz w:val="24"/>
        </w:rPr>
        <w:t>due</w:t>
      </w:r>
      <w:r>
        <w:rPr>
          <w:spacing w:val="-6"/>
          <w:sz w:val="24"/>
        </w:rPr>
        <w:t> </w:t>
      </w:r>
      <w:r>
        <w:rPr>
          <w:sz w:val="24"/>
        </w:rPr>
        <w:t>to the sustained fall in inflation</w:t>
      </w:r>
      <w:r>
        <w:rPr>
          <w:spacing w:val="2"/>
          <w:sz w:val="24"/>
        </w:rPr>
        <w:t> </w:t>
      </w:r>
      <w:r>
        <w:rPr>
          <w:sz w:val="24"/>
        </w:rPr>
        <w:t>expectations.</w:t>
      </w:r>
    </w:p>
    <w:p>
      <w:pPr>
        <w:pStyle w:val="BodyText"/>
        <w:spacing w:before="5"/>
        <w:rPr>
          <w:sz w:val="37"/>
        </w:rPr>
      </w:pPr>
    </w:p>
    <w:p>
      <w:pPr>
        <w:pStyle w:val="Heading1"/>
      </w:pPr>
      <w:r>
        <w:rPr/>
        <w:t>Prices</w:t>
      </w:r>
    </w:p>
    <w:p>
      <w:pPr>
        <w:pStyle w:val="BodyText"/>
        <w:rPr>
          <w:b/>
          <w:sz w:val="26"/>
        </w:rPr>
      </w:pPr>
    </w:p>
    <w:p>
      <w:pPr>
        <w:pStyle w:val="BodyText"/>
        <w:spacing w:before="10"/>
        <w:rPr>
          <w:b/>
          <w:sz w:val="23"/>
        </w:rPr>
      </w:pPr>
    </w:p>
    <w:p>
      <w:pPr>
        <w:pStyle w:val="ListParagraph"/>
        <w:numPr>
          <w:ilvl w:val="0"/>
          <w:numId w:val="1"/>
        </w:numPr>
        <w:tabs>
          <w:tab w:pos="824" w:val="left" w:leader="none"/>
        </w:tabs>
        <w:spacing w:line="372" w:lineRule="auto" w:before="0" w:after="0"/>
        <w:ind w:left="401" w:right="333" w:firstLine="0"/>
        <w:jc w:val="left"/>
        <w:rPr>
          <w:sz w:val="24"/>
        </w:rPr>
      </w:pPr>
      <w:r>
        <w:rPr>
          <w:sz w:val="24"/>
        </w:rPr>
        <w:t>Although the </w:t>
      </w:r>
      <w:r>
        <w:rPr>
          <w:spacing w:val="-6"/>
          <w:sz w:val="24"/>
        </w:rPr>
        <w:t>Bank’s </w:t>
      </w:r>
      <w:r>
        <w:rPr>
          <w:sz w:val="24"/>
        </w:rPr>
        <w:t>index of non-oil commodity prices had fallen 3% in the year </w:t>
      </w:r>
      <w:r>
        <w:rPr>
          <w:spacing w:val="2"/>
          <w:sz w:val="24"/>
        </w:rPr>
        <w:t>to </w:t>
      </w:r>
      <w:r>
        <w:rPr>
          <w:sz w:val="24"/>
        </w:rPr>
        <w:t>March, the twelve-month rate of decline was now much lower than throughout 1998 and into 1999, and the</w:t>
      </w:r>
      <w:r>
        <w:rPr>
          <w:spacing w:val="-12"/>
          <w:sz w:val="24"/>
        </w:rPr>
        <w:t> </w:t>
      </w:r>
      <w:r>
        <w:rPr>
          <w:sz w:val="24"/>
        </w:rPr>
        <w:t>index</w:t>
      </w:r>
      <w:r>
        <w:rPr>
          <w:spacing w:val="-12"/>
          <w:sz w:val="24"/>
        </w:rPr>
        <w:t> </w:t>
      </w:r>
      <w:r>
        <w:rPr>
          <w:sz w:val="24"/>
        </w:rPr>
        <w:t>had</w:t>
      </w:r>
      <w:r>
        <w:rPr>
          <w:spacing w:val="-11"/>
          <w:sz w:val="24"/>
        </w:rPr>
        <w:t> </w:t>
      </w:r>
      <w:r>
        <w:rPr>
          <w:sz w:val="24"/>
        </w:rPr>
        <w:t>risen</w:t>
      </w:r>
      <w:r>
        <w:rPr>
          <w:spacing w:val="-10"/>
          <w:sz w:val="24"/>
        </w:rPr>
        <w:t> </w:t>
      </w:r>
      <w:r>
        <w:rPr>
          <w:sz w:val="24"/>
        </w:rPr>
        <w:t>by</w:t>
      </w:r>
      <w:r>
        <w:rPr>
          <w:spacing w:val="-12"/>
          <w:sz w:val="24"/>
        </w:rPr>
        <w:t> </w:t>
      </w:r>
      <w:r>
        <w:rPr>
          <w:sz w:val="24"/>
        </w:rPr>
        <w:t>2%</w:t>
      </w:r>
      <w:r>
        <w:rPr>
          <w:spacing w:val="-11"/>
          <w:sz w:val="24"/>
        </w:rPr>
        <w:t> </w:t>
      </w:r>
      <w:r>
        <w:rPr>
          <w:sz w:val="24"/>
        </w:rPr>
        <w:t>during</w:t>
      </w:r>
      <w:r>
        <w:rPr>
          <w:spacing w:val="-12"/>
          <w:sz w:val="24"/>
        </w:rPr>
        <w:t> </w:t>
      </w:r>
      <w:r>
        <w:rPr>
          <w:sz w:val="24"/>
        </w:rPr>
        <w:t>March</w:t>
      </w:r>
      <w:r>
        <w:rPr>
          <w:spacing w:val="-11"/>
          <w:sz w:val="24"/>
        </w:rPr>
        <w:t> </w:t>
      </w:r>
      <w:r>
        <w:rPr>
          <w:sz w:val="24"/>
        </w:rPr>
        <w:t>itself.</w:t>
      </w:r>
      <w:r>
        <w:rPr>
          <w:spacing w:val="37"/>
          <w:sz w:val="24"/>
        </w:rPr>
        <w:t> </w:t>
      </w:r>
      <w:r>
        <w:rPr>
          <w:sz w:val="24"/>
        </w:rPr>
        <w:t>Oil</w:t>
      </w:r>
      <w:r>
        <w:rPr>
          <w:spacing w:val="-12"/>
          <w:sz w:val="24"/>
        </w:rPr>
        <w:t> </w:t>
      </w:r>
      <w:r>
        <w:rPr>
          <w:sz w:val="24"/>
        </w:rPr>
        <w:t>prices</w:t>
      </w:r>
      <w:r>
        <w:rPr>
          <w:spacing w:val="-12"/>
          <w:sz w:val="24"/>
        </w:rPr>
        <w:t> </w:t>
      </w:r>
      <w:r>
        <w:rPr>
          <w:sz w:val="24"/>
        </w:rPr>
        <w:t>continued</w:t>
      </w:r>
      <w:r>
        <w:rPr>
          <w:spacing w:val="-11"/>
          <w:sz w:val="24"/>
        </w:rPr>
        <w:t> </w:t>
      </w:r>
      <w:r>
        <w:rPr>
          <w:spacing w:val="2"/>
          <w:sz w:val="24"/>
        </w:rPr>
        <w:t>to</w:t>
      </w:r>
      <w:r>
        <w:rPr>
          <w:spacing w:val="-8"/>
          <w:sz w:val="24"/>
        </w:rPr>
        <w:t> </w:t>
      </w:r>
      <w:r>
        <w:rPr>
          <w:sz w:val="24"/>
        </w:rPr>
        <w:t>rise,</w:t>
      </w:r>
      <w:r>
        <w:rPr>
          <w:spacing w:val="-10"/>
          <w:sz w:val="24"/>
        </w:rPr>
        <w:t> </w:t>
      </w:r>
      <w:r>
        <w:rPr>
          <w:sz w:val="24"/>
        </w:rPr>
        <w:t>reflecting</w:t>
      </w:r>
      <w:r>
        <w:rPr>
          <w:spacing w:val="-10"/>
          <w:sz w:val="24"/>
        </w:rPr>
        <w:t> </w:t>
      </w:r>
      <w:r>
        <w:rPr>
          <w:sz w:val="24"/>
        </w:rPr>
        <w:t>supply</w:t>
      </w:r>
      <w:r>
        <w:rPr>
          <w:spacing w:val="-11"/>
          <w:sz w:val="24"/>
        </w:rPr>
        <w:t> </w:t>
      </w:r>
      <w:r>
        <w:rPr>
          <w:sz w:val="24"/>
        </w:rPr>
        <w:t>policy changes. It had been suggested that some commodity prices had fallen close </w:t>
      </w:r>
      <w:r>
        <w:rPr>
          <w:spacing w:val="2"/>
          <w:sz w:val="24"/>
        </w:rPr>
        <w:t>to </w:t>
      </w:r>
      <w:r>
        <w:rPr>
          <w:sz w:val="24"/>
        </w:rPr>
        <w:t>marginal production costs, making it unlikely that prices would continue </w:t>
      </w:r>
      <w:r>
        <w:rPr>
          <w:spacing w:val="2"/>
          <w:sz w:val="24"/>
        </w:rPr>
        <w:t>to</w:t>
      </w:r>
      <w:r>
        <w:rPr>
          <w:spacing w:val="4"/>
          <w:sz w:val="24"/>
        </w:rPr>
        <w:t> </w:t>
      </w:r>
      <w:r>
        <w:rPr>
          <w:sz w:val="24"/>
        </w:rPr>
        <w:t>fall.</w:t>
      </w:r>
    </w:p>
    <w:p>
      <w:pPr>
        <w:pStyle w:val="BodyText"/>
        <w:spacing w:before="11"/>
        <w:rPr>
          <w:sz w:val="36"/>
        </w:rPr>
      </w:pPr>
    </w:p>
    <w:p>
      <w:pPr>
        <w:pStyle w:val="ListParagraph"/>
        <w:numPr>
          <w:ilvl w:val="0"/>
          <w:numId w:val="1"/>
        </w:numPr>
        <w:tabs>
          <w:tab w:pos="824" w:val="left" w:leader="none"/>
        </w:tabs>
        <w:spacing w:line="372" w:lineRule="auto" w:before="0" w:after="0"/>
        <w:ind w:left="401" w:right="647" w:firstLine="0"/>
        <w:jc w:val="left"/>
        <w:rPr>
          <w:sz w:val="24"/>
        </w:rPr>
      </w:pPr>
      <w:r>
        <w:rPr>
          <w:sz w:val="24"/>
        </w:rPr>
        <w:t>Manufacturing</w:t>
      </w:r>
      <w:r>
        <w:rPr>
          <w:spacing w:val="-12"/>
          <w:sz w:val="24"/>
        </w:rPr>
        <w:t> </w:t>
      </w:r>
      <w:r>
        <w:rPr>
          <w:sz w:val="24"/>
        </w:rPr>
        <w:t>input</w:t>
      </w:r>
      <w:r>
        <w:rPr>
          <w:spacing w:val="-7"/>
          <w:sz w:val="24"/>
        </w:rPr>
        <w:t> </w:t>
      </w:r>
      <w:r>
        <w:rPr>
          <w:sz w:val="24"/>
        </w:rPr>
        <w:t>prices</w:t>
      </w:r>
      <w:r>
        <w:rPr>
          <w:spacing w:val="-11"/>
          <w:sz w:val="24"/>
        </w:rPr>
        <w:t> </w:t>
      </w:r>
      <w:r>
        <w:rPr>
          <w:sz w:val="24"/>
        </w:rPr>
        <w:t>(excluding</w:t>
      </w:r>
      <w:r>
        <w:rPr>
          <w:spacing w:val="-9"/>
          <w:sz w:val="24"/>
        </w:rPr>
        <w:t> </w:t>
      </w:r>
      <w:r>
        <w:rPr>
          <w:sz w:val="24"/>
        </w:rPr>
        <w:t>food,</w:t>
      </w:r>
      <w:r>
        <w:rPr>
          <w:spacing w:val="-11"/>
          <w:sz w:val="24"/>
        </w:rPr>
        <w:t> </w:t>
      </w:r>
      <w:r>
        <w:rPr>
          <w:sz w:val="24"/>
        </w:rPr>
        <w:t>beverages,</w:t>
      </w:r>
      <w:r>
        <w:rPr>
          <w:spacing w:val="-11"/>
          <w:sz w:val="24"/>
        </w:rPr>
        <w:t> </w:t>
      </w:r>
      <w:r>
        <w:rPr>
          <w:sz w:val="24"/>
        </w:rPr>
        <w:t>tobacco</w:t>
      </w:r>
      <w:r>
        <w:rPr>
          <w:spacing w:val="-11"/>
          <w:sz w:val="24"/>
        </w:rPr>
        <w:t> </w:t>
      </w:r>
      <w:r>
        <w:rPr>
          <w:sz w:val="24"/>
        </w:rPr>
        <w:t>and</w:t>
      </w:r>
      <w:r>
        <w:rPr>
          <w:spacing w:val="-11"/>
          <w:sz w:val="24"/>
        </w:rPr>
        <w:t> </w:t>
      </w:r>
      <w:r>
        <w:rPr>
          <w:sz w:val="24"/>
        </w:rPr>
        <w:t>petrol)</w:t>
      </w:r>
      <w:r>
        <w:rPr>
          <w:spacing w:val="-11"/>
          <w:sz w:val="24"/>
        </w:rPr>
        <w:t> </w:t>
      </w:r>
      <w:r>
        <w:rPr>
          <w:sz w:val="24"/>
        </w:rPr>
        <w:t>had</w:t>
      </w:r>
      <w:r>
        <w:rPr>
          <w:spacing w:val="-11"/>
          <w:sz w:val="24"/>
        </w:rPr>
        <w:t> </w:t>
      </w:r>
      <w:r>
        <w:rPr>
          <w:sz w:val="24"/>
        </w:rPr>
        <w:t>been</w:t>
      </w:r>
      <w:r>
        <w:rPr>
          <w:spacing w:val="-11"/>
          <w:sz w:val="24"/>
        </w:rPr>
        <w:t> </w:t>
      </w:r>
      <w:r>
        <w:rPr>
          <w:sz w:val="24"/>
        </w:rPr>
        <w:t>flat</w:t>
      </w:r>
      <w:r>
        <w:rPr>
          <w:spacing w:val="-7"/>
          <w:sz w:val="24"/>
        </w:rPr>
        <w:t> </w:t>
      </w:r>
      <w:r>
        <w:rPr>
          <w:sz w:val="24"/>
        </w:rPr>
        <w:t>in March, but were still down 4½% on a year ago. Manufacturing </w:t>
      </w:r>
      <w:r>
        <w:rPr>
          <w:spacing w:val="3"/>
          <w:sz w:val="24"/>
        </w:rPr>
        <w:t>output </w:t>
      </w:r>
      <w:r>
        <w:rPr>
          <w:sz w:val="24"/>
        </w:rPr>
        <w:t>prices (excluding food, beverages, tobacco and petrol) were also</w:t>
      </w:r>
      <w:r>
        <w:rPr>
          <w:spacing w:val="7"/>
          <w:sz w:val="24"/>
        </w:rPr>
        <w:t> </w:t>
      </w:r>
      <w:r>
        <w:rPr>
          <w:sz w:val="24"/>
        </w:rPr>
        <w:t>flat.</w:t>
      </w:r>
    </w:p>
    <w:p>
      <w:pPr>
        <w:pStyle w:val="BodyText"/>
        <w:rPr>
          <w:sz w:val="37"/>
        </w:rPr>
      </w:pPr>
    </w:p>
    <w:p>
      <w:pPr>
        <w:pStyle w:val="ListParagraph"/>
        <w:numPr>
          <w:ilvl w:val="0"/>
          <w:numId w:val="1"/>
        </w:numPr>
        <w:tabs>
          <w:tab w:pos="824" w:val="left" w:leader="none"/>
        </w:tabs>
        <w:spacing w:line="372" w:lineRule="auto" w:before="0" w:after="0"/>
        <w:ind w:left="401" w:right="492" w:firstLine="0"/>
        <w:jc w:val="left"/>
        <w:rPr>
          <w:sz w:val="24"/>
        </w:rPr>
      </w:pPr>
      <w:r>
        <w:rPr>
          <w:sz w:val="24"/>
        </w:rPr>
        <w:t>Overall, it seemed likely that the downward pressure on RPIX inflation of falling world commodity</w:t>
      </w:r>
      <w:r>
        <w:rPr>
          <w:spacing w:val="-10"/>
          <w:sz w:val="24"/>
        </w:rPr>
        <w:t> </w:t>
      </w:r>
      <w:r>
        <w:rPr>
          <w:sz w:val="24"/>
        </w:rPr>
        <w:t>prices</w:t>
      </w:r>
      <w:r>
        <w:rPr>
          <w:spacing w:val="-10"/>
          <w:sz w:val="24"/>
        </w:rPr>
        <w:t> </w:t>
      </w:r>
      <w:r>
        <w:rPr>
          <w:sz w:val="24"/>
        </w:rPr>
        <w:t>would</w:t>
      </w:r>
      <w:r>
        <w:rPr>
          <w:spacing w:val="-9"/>
          <w:sz w:val="24"/>
        </w:rPr>
        <w:t> </w:t>
      </w:r>
      <w:r>
        <w:rPr>
          <w:sz w:val="24"/>
        </w:rPr>
        <w:t>come</w:t>
      </w:r>
      <w:r>
        <w:rPr>
          <w:spacing w:val="-10"/>
          <w:sz w:val="24"/>
        </w:rPr>
        <w:t> </w:t>
      </w:r>
      <w:r>
        <w:rPr>
          <w:spacing w:val="2"/>
          <w:sz w:val="24"/>
        </w:rPr>
        <w:t>to</w:t>
      </w:r>
      <w:r>
        <w:rPr>
          <w:spacing w:val="-5"/>
          <w:sz w:val="24"/>
        </w:rPr>
        <w:t> </w:t>
      </w:r>
      <w:r>
        <w:rPr>
          <w:sz w:val="24"/>
        </w:rPr>
        <w:t>an</w:t>
      </w:r>
      <w:r>
        <w:rPr>
          <w:spacing w:val="-10"/>
          <w:sz w:val="24"/>
        </w:rPr>
        <w:t> </w:t>
      </w:r>
      <w:r>
        <w:rPr>
          <w:sz w:val="24"/>
        </w:rPr>
        <w:t>end</w:t>
      </w:r>
      <w:r>
        <w:rPr>
          <w:spacing w:val="-9"/>
          <w:sz w:val="24"/>
        </w:rPr>
        <w:t> </w:t>
      </w:r>
      <w:r>
        <w:rPr>
          <w:sz w:val="24"/>
        </w:rPr>
        <w:t>during</w:t>
      </w:r>
      <w:r>
        <w:rPr>
          <w:spacing w:val="-10"/>
          <w:sz w:val="24"/>
        </w:rPr>
        <w:t> </w:t>
      </w:r>
      <w:r>
        <w:rPr>
          <w:sz w:val="24"/>
        </w:rPr>
        <w:t>the</w:t>
      </w:r>
      <w:r>
        <w:rPr>
          <w:spacing w:val="-9"/>
          <w:sz w:val="24"/>
        </w:rPr>
        <w:t> </w:t>
      </w:r>
      <w:r>
        <w:rPr>
          <w:sz w:val="24"/>
        </w:rPr>
        <w:t>two-year</w:t>
      </w:r>
      <w:r>
        <w:rPr>
          <w:spacing w:val="-10"/>
          <w:sz w:val="24"/>
        </w:rPr>
        <w:t> </w:t>
      </w:r>
      <w:r>
        <w:rPr>
          <w:sz w:val="24"/>
        </w:rPr>
        <w:t>forecast</w:t>
      </w:r>
      <w:r>
        <w:rPr>
          <w:spacing w:val="-5"/>
          <w:sz w:val="24"/>
        </w:rPr>
        <w:t> </w:t>
      </w:r>
      <w:r>
        <w:rPr>
          <w:sz w:val="24"/>
        </w:rPr>
        <w:t>period.</w:t>
      </w:r>
      <w:r>
        <w:rPr>
          <w:spacing w:val="41"/>
          <w:sz w:val="24"/>
        </w:rPr>
        <w:t> </w:t>
      </w:r>
      <w:r>
        <w:rPr>
          <w:sz w:val="24"/>
        </w:rPr>
        <w:t>The</w:t>
      </w:r>
      <w:r>
        <w:rPr>
          <w:spacing w:val="-8"/>
          <w:sz w:val="24"/>
        </w:rPr>
        <w:t> </w:t>
      </w:r>
      <w:r>
        <w:rPr>
          <w:sz w:val="24"/>
        </w:rPr>
        <w:t>RPIX</w:t>
      </w:r>
      <w:r>
        <w:rPr>
          <w:spacing w:val="-10"/>
          <w:sz w:val="24"/>
        </w:rPr>
        <w:t> </w:t>
      </w:r>
      <w:r>
        <w:rPr>
          <w:sz w:val="24"/>
        </w:rPr>
        <w:t>inflation rate had spiked up in March due </w:t>
      </w:r>
      <w:r>
        <w:rPr>
          <w:spacing w:val="2"/>
          <w:sz w:val="24"/>
        </w:rPr>
        <w:t>to </w:t>
      </w:r>
      <w:r>
        <w:rPr>
          <w:sz w:val="24"/>
        </w:rPr>
        <w:t>the timing of the introduction of various Budget measures. It was expected </w:t>
      </w:r>
      <w:r>
        <w:rPr>
          <w:spacing w:val="2"/>
          <w:sz w:val="24"/>
        </w:rPr>
        <w:t>to </w:t>
      </w:r>
      <w:r>
        <w:rPr>
          <w:sz w:val="24"/>
        </w:rPr>
        <w:t>fall back in</w:t>
      </w:r>
      <w:r>
        <w:rPr>
          <w:spacing w:val="10"/>
          <w:sz w:val="24"/>
        </w:rPr>
        <w:t> </w:t>
      </w:r>
      <w:r>
        <w:rPr>
          <w:sz w:val="24"/>
        </w:rPr>
        <w:t>April.</w:t>
      </w:r>
    </w:p>
    <w:p>
      <w:pPr>
        <w:pStyle w:val="BodyText"/>
        <w:spacing w:before="4"/>
        <w:rPr>
          <w:sz w:val="37"/>
        </w:rPr>
      </w:pPr>
    </w:p>
    <w:p>
      <w:pPr>
        <w:pStyle w:val="Heading1"/>
      </w:pPr>
      <w:r>
        <w:rPr/>
        <w:t>The May inflation and growth projections</w:t>
      </w:r>
    </w:p>
    <w:p>
      <w:pPr>
        <w:pStyle w:val="BodyText"/>
        <w:rPr>
          <w:b/>
          <w:sz w:val="26"/>
        </w:rPr>
      </w:pPr>
    </w:p>
    <w:p>
      <w:pPr>
        <w:pStyle w:val="BodyText"/>
        <w:spacing w:before="10"/>
        <w:rPr>
          <w:b/>
          <w:sz w:val="23"/>
        </w:rPr>
      </w:pPr>
    </w:p>
    <w:p>
      <w:pPr>
        <w:pStyle w:val="ListParagraph"/>
        <w:numPr>
          <w:ilvl w:val="0"/>
          <w:numId w:val="1"/>
        </w:numPr>
        <w:tabs>
          <w:tab w:pos="824" w:val="left" w:leader="none"/>
        </w:tabs>
        <w:spacing w:line="240" w:lineRule="auto" w:before="0" w:after="0"/>
        <w:ind w:left="824" w:right="0" w:hanging="423"/>
        <w:jc w:val="left"/>
        <w:rPr>
          <w:sz w:val="24"/>
        </w:rPr>
      </w:pPr>
      <w:r>
        <w:rPr>
          <w:sz w:val="24"/>
        </w:rPr>
        <w:t>The Committee agreed the projections </w:t>
      </w:r>
      <w:r>
        <w:rPr>
          <w:spacing w:val="2"/>
          <w:sz w:val="24"/>
        </w:rPr>
        <w:t>to </w:t>
      </w:r>
      <w:r>
        <w:rPr>
          <w:sz w:val="24"/>
        </w:rPr>
        <w:t>be published in the </w:t>
      </w:r>
      <w:r>
        <w:rPr>
          <w:i/>
          <w:sz w:val="24"/>
        </w:rPr>
        <w:t>Inflation Report </w:t>
      </w:r>
      <w:r>
        <w:rPr>
          <w:sz w:val="24"/>
        </w:rPr>
        <w:t>on 12</w:t>
      </w:r>
      <w:r>
        <w:rPr>
          <w:spacing w:val="-10"/>
          <w:sz w:val="24"/>
        </w:rPr>
        <w:t> </w:t>
      </w:r>
      <w:r>
        <w:rPr>
          <w:sz w:val="24"/>
        </w:rPr>
        <w:t>May.</w:t>
      </w:r>
    </w:p>
    <w:p>
      <w:pPr>
        <w:pStyle w:val="BodyText"/>
        <w:rPr>
          <w:sz w:val="26"/>
        </w:rPr>
      </w:pPr>
    </w:p>
    <w:p>
      <w:pPr>
        <w:pStyle w:val="BodyText"/>
        <w:spacing w:before="3"/>
      </w:pPr>
    </w:p>
    <w:p>
      <w:pPr>
        <w:pStyle w:val="ListParagraph"/>
        <w:numPr>
          <w:ilvl w:val="0"/>
          <w:numId w:val="1"/>
        </w:numPr>
        <w:tabs>
          <w:tab w:pos="824" w:val="left" w:leader="none"/>
        </w:tabs>
        <w:spacing w:line="372" w:lineRule="auto" w:before="1" w:after="0"/>
        <w:ind w:left="401" w:right="312" w:firstLine="0"/>
        <w:jc w:val="left"/>
        <w:rPr>
          <w:sz w:val="24"/>
        </w:rPr>
      </w:pPr>
      <w:r>
        <w:rPr>
          <w:sz w:val="24"/>
        </w:rPr>
        <w:t>On</w:t>
      </w:r>
      <w:r>
        <w:rPr>
          <w:spacing w:val="-9"/>
          <w:sz w:val="24"/>
        </w:rPr>
        <w:t> </w:t>
      </w:r>
      <w:r>
        <w:rPr>
          <w:sz w:val="24"/>
        </w:rPr>
        <w:t>the</w:t>
      </w:r>
      <w:r>
        <w:rPr>
          <w:spacing w:val="-9"/>
          <w:sz w:val="24"/>
        </w:rPr>
        <w:t> </w:t>
      </w:r>
      <w:r>
        <w:rPr>
          <w:sz w:val="24"/>
        </w:rPr>
        <w:t>assumption</w:t>
      </w:r>
      <w:r>
        <w:rPr>
          <w:spacing w:val="-9"/>
          <w:sz w:val="24"/>
        </w:rPr>
        <w:t> </w:t>
      </w:r>
      <w:r>
        <w:rPr>
          <w:sz w:val="24"/>
        </w:rPr>
        <w:t>of</w:t>
      </w:r>
      <w:r>
        <w:rPr>
          <w:spacing w:val="-4"/>
          <w:sz w:val="24"/>
        </w:rPr>
        <w:t> </w:t>
      </w:r>
      <w:r>
        <w:rPr>
          <w:sz w:val="24"/>
        </w:rPr>
        <w:t>constant</w:t>
      </w:r>
      <w:r>
        <w:rPr>
          <w:spacing w:val="-5"/>
          <w:sz w:val="24"/>
        </w:rPr>
        <w:t> </w:t>
      </w:r>
      <w:r>
        <w:rPr>
          <w:spacing w:val="3"/>
          <w:sz w:val="24"/>
        </w:rPr>
        <w:t>official</w:t>
      </w:r>
      <w:r>
        <w:rPr>
          <w:spacing w:val="-4"/>
          <w:sz w:val="24"/>
        </w:rPr>
        <w:t> </w:t>
      </w:r>
      <w:r>
        <w:rPr>
          <w:sz w:val="24"/>
        </w:rPr>
        <w:t>interest</w:t>
      </w:r>
      <w:r>
        <w:rPr>
          <w:spacing w:val="-5"/>
          <w:sz w:val="24"/>
        </w:rPr>
        <w:t> </w:t>
      </w:r>
      <w:r>
        <w:rPr>
          <w:sz w:val="24"/>
        </w:rPr>
        <w:t>rates</w:t>
      </w:r>
      <w:r>
        <w:rPr>
          <w:spacing w:val="-7"/>
          <w:sz w:val="24"/>
        </w:rPr>
        <w:t> </w:t>
      </w:r>
      <w:r>
        <w:rPr>
          <w:sz w:val="24"/>
        </w:rPr>
        <w:t>of</w:t>
      </w:r>
      <w:r>
        <w:rPr>
          <w:spacing w:val="-4"/>
          <w:sz w:val="24"/>
        </w:rPr>
        <w:t> </w:t>
      </w:r>
      <w:r>
        <w:rPr>
          <w:sz w:val="24"/>
        </w:rPr>
        <w:t>5.25%,</w:t>
      </w:r>
      <w:r>
        <w:rPr>
          <w:spacing w:val="-9"/>
          <w:sz w:val="24"/>
        </w:rPr>
        <w:t> </w:t>
      </w:r>
      <w:r>
        <w:rPr>
          <w:sz w:val="24"/>
        </w:rPr>
        <w:t>the</w:t>
      </w:r>
      <w:r>
        <w:rPr>
          <w:spacing w:val="-9"/>
          <w:sz w:val="24"/>
        </w:rPr>
        <w:t> </w:t>
      </w:r>
      <w:r>
        <w:rPr>
          <w:sz w:val="24"/>
        </w:rPr>
        <w:t>central</w:t>
      </w:r>
      <w:r>
        <w:rPr>
          <w:spacing w:val="-8"/>
          <w:sz w:val="24"/>
        </w:rPr>
        <w:t> </w:t>
      </w:r>
      <w:r>
        <w:rPr>
          <w:sz w:val="24"/>
        </w:rPr>
        <w:t>projection</w:t>
      </w:r>
      <w:r>
        <w:rPr>
          <w:spacing w:val="-9"/>
          <w:sz w:val="24"/>
        </w:rPr>
        <w:t> </w:t>
      </w:r>
      <w:r>
        <w:rPr>
          <w:sz w:val="24"/>
        </w:rPr>
        <w:t>for</w:t>
      </w:r>
      <w:r>
        <w:rPr>
          <w:spacing w:val="-9"/>
          <w:sz w:val="24"/>
        </w:rPr>
        <w:t> </w:t>
      </w:r>
      <w:r>
        <w:rPr>
          <w:spacing w:val="2"/>
          <w:sz w:val="24"/>
        </w:rPr>
        <w:t>output </w:t>
      </w:r>
      <w:r>
        <w:rPr>
          <w:sz w:val="24"/>
        </w:rPr>
        <w:t>growth rose </w:t>
      </w:r>
      <w:r>
        <w:rPr>
          <w:spacing w:val="2"/>
          <w:sz w:val="24"/>
        </w:rPr>
        <w:t>to </w:t>
      </w:r>
      <w:r>
        <w:rPr>
          <w:sz w:val="24"/>
        </w:rPr>
        <w:t>around the </w:t>
      </w:r>
      <w:r>
        <w:rPr>
          <w:spacing w:val="-4"/>
          <w:sz w:val="24"/>
        </w:rPr>
        <w:t>economy’s </w:t>
      </w:r>
      <w:r>
        <w:rPr>
          <w:sz w:val="24"/>
        </w:rPr>
        <w:t>trend rate of growth by the middle of 2000. The risks were broadly</w:t>
      </w:r>
      <w:r>
        <w:rPr>
          <w:spacing w:val="1"/>
          <w:sz w:val="24"/>
        </w:rPr>
        <w:t> </w:t>
      </w:r>
      <w:r>
        <w:rPr>
          <w:sz w:val="24"/>
        </w:rPr>
        <w:t>balanced.</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ListParagraph"/>
        <w:numPr>
          <w:ilvl w:val="0"/>
          <w:numId w:val="1"/>
        </w:numPr>
        <w:tabs>
          <w:tab w:pos="824" w:val="left" w:leader="none"/>
        </w:tabs>
        <w:spacing w:line="372" w:lineRule="auto" w:before="90" w:after="0"/>
        <w:ind w:left="401" w:right="397" w:firstLine="0"/>
        <w:jc w:val="left"/>
        <w:rPr>
          <w:sz w:val="24"/>
        </w:rPr>
      </w:pPr>
      <w:r>
        <w:rPr>
          <w:sz w:val="24"/>
        </w:rPr>
        <w:t>The</w:t>
      </w:r>
      <w:r>
        <w:rPr>
          <w:spacing w:val="-10"/>
          <w:sz w:val="24"/>
        </w:rPr>
        <w:t> </w:t>
      </w:r>
      <w:r>
        <w:rPr>
          <w:sz w:val="24"/>
        </w:rPr>
        <w:t>central</w:t>
      </w:r>
      <w:r>
        <w:rPr>
          <w:spacing w:val="-11"/>
          <w:sz w:val="24"/>
        </w:rPr>
        <w:t> </w:t>
      </w:r>
      <w:r>
        <w:rPr>
          <w:sz w:val="24"/>
        </w:rPr>
        <w:t>projection</w:t>
      </w:r>
      <w:r>
        <w:rPr>
          <w:spacing w:val="-11"/>
          <w:sz w:val="24"/>
        </w:rPr>
        <w:t> </w:t>
      </w:r>
      <w:r>
        <w:rPr>
          <w:sz w:val="24"/>
        </w:rPr>
        <w:t>for</w:t>
      </w:r>
      <w:r>
        <w:rPr>
          <w:spacing w:val="-11"/>
          <w:sz w:val="24"/>
        </w:rPr>
        <w:t> </w:t>
      </w:r>
      <w:r>
        <w:rPr>
          <w:sz w:val="24"/>
        </w:rPr>
        <w:t>inflation</w:t>
      </w:r>
      <w:r>
        <w:rPr>
          <w:spacing w:val="-11"/>
          <w:sz w:val="24"/>
        </w:rPr>
        <w:t> </w:t>
      </w:r>
      <w:r>
        <w:rPr>
          <w:sz w:val="24"/>
        </w:rPr>
        <w:t>was</w:t>
      </w:r>
      <w:r>
        <w:rPr>
          <w:spacing w:val="-11"/>
          <w:sz w:val="24"/>
        </w:rPr>
        <w:t> </w:t>
      </w:r>
      <w:r>
        <w:rPr>
          <w:sz w:val="24"/>
        </w:rPr>
        <w:t>broadly</w:t>
      </w:r>
      <w:r>
        <w:rPr>
          <w:spacing w:val="-11"/>
          <w:sz w:val="24"/>
        </w:rPr>
        <w:t> </w:t>
      </w:r>
      <w:r>
        <w:rPr>
          <w:sz w:val="24"/>
        </w:rPr>
        <w:t>in</w:t>
      </w:r>
      <w:r>
        <w:rPr>
          <w:spacing w:val="-11"/>
          <w:sz w:val="24"/>
        </w:rPr>
        <w:t> </w:t>
      </w:r>
      <w:r>
        <w:rPr>
          <w:sz w:val="24"/>
        </w:rPr>
        <w:t>line</w:t>
      </w:r>
      <w:r>
        <w:rPr>
          <w:spacing w:val="-11"/>
          <w:sz w:val="24"/>
        </w:rPr>
        <w:t> </w:t>
      </w:r>
      <w:r>
        <w:rPr>
          <w:sz w:val="24"/>
        </w:rPr>
        <w:t>with</w:t>
      </w:r>
      <w:r>
        <w:rPr>
          <w:spacing w:val="-11"/>
          <w:sz w:val="24"/>
        </w:rPr>
        <w:t> </w:t>
      </w:r>
      <w:r>
        <w:rPr>
          <w:sz w:val="24"/>
        </w:rPr>
        <w:t>the</w:t>
      </w:r>
      <w:r>
        <w:rPr>
          <w:spacing w:val="-11"/>
          <w:sz w:val="24"/>
        </w:rPr>
        <w:t> </w:t>
      </w:r>
      <w:r>
        <w:rPr>
          <w:sz w:val="24"/>
        </w:rPr>
        <w:t>target</w:t>
      </w:r>
      <w:r>
        <w:rPr>
          <w:spacing w:val="-7"/>
          <w:sz w:val="24"/>
        </w:rPr>
        <w:t> </w:t>
      </w:r>
      <w:r>
        <w:rPr>
          <w:spacing w:val="3"/>
          <w:sz w:val="24"/>
        </w:rPr>
        <w:t>over</w:t>
      </w:r>
      <w:r>
        <w:rPr>
          <w:spacing w:val="-7"/>
          <w:sz w:val="24"/>
        </w:rPr>
        <w:t> </w:t>
      </w:r>
      <w:r>
        <w:rPr>
          <w:sz w:val="24"/>
        </w:rPr>
        <w:t>the</w:t>
      </w:r>
      <w:r>
        <w:rPr>
          <w:spacing w:val="-11"/>
          <w:sz w:val="24"/>
        </w:rPr>
        <w:t> </w:t>
      </w:r>
      <w:r>
        <w:rPr>
          <w:sz w:val="24"/>
        </w:rPr>
        <w:t>forecast</w:t>
      </w:r>
      <w:r>
        <w:rPr>
          <w:spacing w:val="-7"/>
          <w:sz w:val="24"/>
        </w:rPr>
        <w:t> </w:t>
      </w:r>
      <w:r>
        <w:rPr>
          <w:sz w:val="24"/>
        </w:rPr>
        <w:t>period. It fell slightly below target for the next year or so, principally on account of </w:t>
      </w:r>
      <w:r>
        <w:rPr>
          <w:spacing w:val="-3"/>
          <w:sz w:val="24"/>
        </w:rPr>
        <w:t>sterling’s </w:t>
      </w:r>
      <w:r>
        <w:rPr>
          <w:sz w:val="24"/>
        </w:rPr>
        <w:t>recent appreciation and the lower assumed path for earnings growth; and then rose </w:t>
      </w:r>
      <w:r>
        <w:rPr>
          <w:spacing w:val="2"/>
          <w:sz w:val="24"/>
        </w:rPr>
        <w:t>to </w:t>
      </w:r>
      <w:r>
        <w:rPr>
          <w:sz w:val="24"/>
        </w:rPr>
        <w:t>about 2½% at the two</w:t>
      </w:r>
      <w:r>
        <w:rPr>
          <w:spacing w:val="-5"/>
          <w:sz w:val="24"/>
        </w:rPr>
        <w:t> </w:t>
      </w:r>
      <w:r>
        <w:rPr>
          <w:sz w:val="24"/>
        </w:rPr>
        <w:t>year</w:t>
      </w:r>
      <w:r>
        <w:rPr>
          <w:spacing w:val="-5"/>
          <w:sz w:val="24"/>
        </w:rPr>
        <w:t> </w:t>
      </w:r>
      <w:r>
        <w:rPr>
          <w:sz w:val="24"/>
        </w:rPr>
        <w:t>horizon,</w:t>
      </w:r>
      <w:r>
        <w:rPr>
          <w:spacing w:val="-5"/>
          <w:sz w:val="24"/>
        </w:rPr>
        <w:t> </w:t>
      </w:r>
      <w:r>
        <w:rPr>
          <w:sz w:val="24"/>
        </w:rPr>
        <w:t>as</w:t>
      </w:r>
      <w:r>
        <w:rPr>
          <w:spacing w:val="-5"/>
          <w:sz w:val="24"/>
        </w:rPr>
        <w:t> </w:t>
      </w:r>
      <w:r>
        <w:rPr>
          <w:sz w:val="24"/>
        </w:rPr>
        <w:t>demand</w:t>
      </w:r>
      <w:r>
        <w:rPr>
          <w:spacing w:val="-4"/>
          <w:sz w:val="24"/>
        </w:rPr>
        <w:t> </w:t>
      </w:r>
      <w:r>
        <w:rPr>
          <w:sz w:val="24"/>
        </w:rPr>
        <w:t>strengthened</w:t>
      </w:r>
      <w:r>
        <w:rPr>
          <w:spacing w:val="-5"/>
          <w:sz w:val="24"/>
        </w:rPr>
        <w:t> </w:t>
      </w:r>
      <w:r>
        <w:rPr>
          <w:sz w:val="24"/>
        </w:rPr>
        <w:t>and</w:t>
      </w:r>
      <w:r>
        <w:rPr>
          <w:spacing w:val="-5"/>
          <w:sz w:val="24"/>
        </w:rPr>
        <w:t> </w:t>
      </w:r>
      <w:r>
        <w:rPr>
          <w:sz w:val="24"/>
        </w:rPr>
        <w:t>the</w:t>
      </w:r>
      <w:r>
        <w:rPr>
          <w:spacing w:val="-5"/>
          <w:sz w:val="24"/>
        </w:rPr>
        <w:t> </w:t>
      </w:r>
      <w:r>
        <w:rPr>
          <w:sz w:val="24"/>
        </w:rPr>
        <w:t>effects</w:t>
      </w:r>
      <w:r>
        <w:rPr>
          <w:spacing w:val="-5"/>
          <w:sz w:val="24"/>
        </w:rPr>
        <w:t> </w:t>
      </w:r>
      <w:r>
        <w:rPr>
          <w:sz w:val="24"/>
        </w:rPr>
        <w:t>of </w:t>
      </w:r>
      <w:r>
        <w:rPr>
          <w:spacing w:val="-3"/>
          <w:sz w:val="24"/>
        </w:rPr>
        <w:t>sterling’s</w:t>
      </w:r>
      <w:r>
        <w:rPr>
          <w:spacing w:val="-5"/>
          <w:sz w:val="24"/>
        </w:rPr>
        <w:t> </w:t>
      </w:r>
      <w:r>
        <w:rPr>
          <w:sz w:val="24"/>
        </w:rPr>
        <w:t>appreciation</w:t>
      </w:r>
      <w:r>
        <w:rPr>
          <w:spacing w:val="-5"/>
          <w:sz w:val="24"/>
        </w:rPr>
        <w:t> </w:t>
      </w:r>
      <w:r>
        <w:rPr>
          <w:sz w:val="24"/>
        </w:rPr>
        <w:t>wore</w:t>
      </w:r>
      <w:r>
        <w:rPr>
          <w:spacing w:val="-4"/>
          <w:sz w:val="24"/>
        </w:rPr>
        <w:t> </w:t>
      </w:r>
      <w:r>
        <w:rPr>
          <w:sz w:val="24"/>
        </w:rPr>
        <w:t>off.</w:t>
      </w:r>
    </w:p>
    <w:p>
      <w:pPr>
        <w:pStyle w:val="BodyText"/>
        <w:spacing w:before="10"/>
        <w:rPr>
          <w:sz w:val="36"/>
        </w:rPr>
      </w:pPr>
    </w:p>
    <w:p>
      <w:pPr>
        <w:pStyle w:val="ListParagraph"/>
        <w:numPr>
          <w:ilvl w:val="0"/>
          <w:numId w:val="1"/>
        </w:numPr>
        <w:tabs>
          <w:tab w:pos="824" w:val="left" w:leader="none"/>
        </w:tabs>
        <w:spacing w:line="372" w:lineRule="auto" w:before="1" w:after="0"/>
        <w:ind w:left="401" w:right="310" w:firstLine="0"/>
        <w:jc w:val="left"/>
        <w:rPr>
          <w:sz w:val="24"/>
        </w:rPr>
      </w:pPr>
      <w:r>
        <w:rPr>
          <w:sz w:val="24"/>
        </w:rPr>
        <w:t>The central projection assumed that </w:t>
      </w:r>
      <w:r>
        <w:rPr>
          <w:spacing w:val="-3"/>
          <w:sz w:val="24"/>
        </w:rPr>
        <w:t>sterling’s </w:t>
      </w:r>
      <w:r>
        <w:rPr>
          <w:sz w:val="24"/>
        </w:rPr>
        <w:t>effective exchange rate would depreciate in line with uncovered interest rate parity (ie interest rate differentials). If sterling was likely </w:t>
      </w:r>
      <w:r>
        <w:rPr>
          <w:spacing w:val="2"/>
          <w:sz w:val="24"/>
        </w:rPr>
        <w:t>to </w:t>
      </w:r>
      <w:r>
        <w:rPr>
          <w:sz w:val="24"/>
        </w:rPr>
        <w:t>fall by more than this, as indicated by most </w:t>
      </w:r>
      <w:r>
        <w:rPr>
          <w:spacing w:val="3"/>
          <w:sz w:val="24"/>
        </w:rPr>
        <w:t>outside </w:t>
      </w:r>
      <w:r>
        <w:rPr>
          <w:sz w:val="24"/>
        </w:rPr>
        <w:t>forecasts, the balance of risks </w:t>
      </w:r>
      <w:r>
        <w:rPr>
          <w:spacing w:val="2"/>
          <w:sz w:val="24"/>
        </w:rPr>
        <w:t>to </w:t>
      </w:r>
      <w:r>
        <w:rPr>
          <w:sz w:val="24"/>
        </w:rPr>
        <w:t>inflation was on the upside. That was the view of a majority of the Committee. Some members judged, however, that the</w:t>
      </w:r>
      <w:r>
        <w:rPr>
          <w:spacing w:val="-9"/>
          <w:sz w:val="24"/>
        </w:rPr>
        <w:t> </w:t>
      </w:r>
      <w:r>
        <w:rPr>
          <w:sz w:val="24"/>
        </w:rPr>
        <w:t>balance</w:t>
      </w:r>
      <w:r>
        <w:rPr>
          <w:spacing w:val="-9"/>
          <w:sz w:val="24"/>
        </w:rPr>
        <w:t> </w:t>
      </w:r>
      <w:r>
        <w:rPr>
          <w:sz w:val="24"/>
        </w:rPr>
        <w:t>of</w:t>
      </w:r>
      <w:r>
        <w:rPr>
          <w:spacing w:val="-5"/>
          <w:sz w:val="24"/>
        </w:rPr>
        <w:t> </w:t>
      </w:r>
      <w:r>
        <w:rPr>
          <w:sz w:val="24"/>
        </w:rPr>
        <w:t>risks</w:t>
      </w:r>
      <w:r>
        <w:rPr>
          <w:spacing w:val="-8"/>
          <w:sz w:val="24"/>
        </w:rPr>
        <w:t> </w:t>
      </w:r>
      <w:r>
        <w:rPr>
          <w:spacing w:val="2"/>
          <w:sz w:val="24"/>
        </w:rPr>
        <w:t>to</w:t>
      </w:r>
      <w:r>
        <w:rPr>
          <w:spacing w:val="-4"/>
          <w:sz w:val="24"/>
        </w:rPr>
        <w:t> </w:t>
      </w:r>
      <w:r>
        <w:rPr>
          <w:sz w:val="24"/>
        </w:rPr>
        <w:t>inflation</w:t>
      </w:r>
      <w:r>
        <w:rPr>
          <w:spacing w:val="-9"/>
          <w:sz w:val="24"/>
        </w:rPr>
        <w:t> </w:t>
      </w:r>
      <w:r>
        <w:rPr>
          <w:sz w:val="24"/>
        </w:rPr>
        <w:t>was</w:t>
      </w:r>
      <w:r>
        <w:rPr>
          <w:spacing w:val="-9"/>
          <w:sz w:val="24"/>
        </w:rPr>
        <w:t> </w:t>
      </w:r>
      <w:r>
        <w:rPr>
          <w:sz w:val="24"/>
        </w:rPr>
        <w:t>on</w:t>
      </w:r>
      <w:r>
        <w:rPr>
          <w:spacing w:val="-5"/>
          <w:sz w:val="24"/>
        </w:rPr>
        <w:t> </w:t>
      </w:r>
      <w:r>
        <w:rPr>
          <w:sz w:val="24"/>
        </w:rPr>
        <w:t>the</w:t>
      </w:r>
      <w:r>
        <w:rPr>
          <w:spacing w:val="-9"/>
          <w:sz w:val="24"/>
        </w:rPr>
        <w:t> </w:t>
      </w:r>
      <w:r>
        <w:rPr>
          <w:sz w:val="24"/>
        </w:rPr>
        <w:t>downside</w:t>
      </w:r>
      <w:r>
        <w:rPr>
          <w:spacing w:val="-9"/>
          <w:sz w:val="24"/>
        </w:rPr>
        <w:t> </w:t>
      </w:r>
      <w:r>
        <w:rPr>
          <w:sz w:val="24"/>
        </w:rPr>
        <w:t>because</w:t>
      </w:r>
      <w:r>
        <w:rPr>
          <w:spacing w:val="-9"/>
          <w:sz w:val="24"/>
        </w:rPr>
        <w:t> </w:t>
      </w:r>
      <w:r>
        <w:rPr>
          <w:sz w:val="24"/>
        </w:rPr>
        <w:t>they</w:t>
      </w:r>
      <w:r>
        <w:rPr>
          <w:spacing w:val="-9"/>
          <w:sz w:val="24"/>
        </w:rPr>
        <w:t> </w:t>
      </w:r>
      <w:r>
        <w:rPr>
          <w:sz w:val="24"/>
        </w:rPr>
        <w:t>thought</w:t>
      </w:r>
      <w:r>
        <w:rPr>
          <w:spacing w:val="-5"/>
          <w:sz w:val="24"/>
        </w:rPr>
        <w:t> </w:t>
      </w:r>
      <w:r>
        <w:rPr>
          <w:sz w:val="24"/>
        </w:rPr>
        <w:t>sterling</w:t>
      </w:r>
      <w:r>
        <w:rPr>
          <w:spacing w:val="-9"/>
          <w:sz w:val="24"/>
        </w:rPr>
        <w:t> </w:t>
      </w:r>
      <w:r>
        <w:rPr>
          <w:sz w:val="24"/>
        </w:rPr>
        <w:t>was</w:t>
      </w:r>
      <w:r>
        <w:rPr>
          <w:spacing w:val="-9"/>
          <w:sz w:val="24"/>
        </w:rPr>
        <w:t> </w:t>
      </w:r>
      <w:r>
        <w:rPr>
          <w:sz w:val="24"/>
        </w:rPr>
        <w:t>likely</w:t>
      </w:r>
      <w:r>
        <w:rPr>
          <w:spacing w:val="-9"/>
          <w:sz w:val="24"/>
        </w:rPr>
        <w:t> </w:t>
      </w:r>
      <w:r>
        <w:rPr>
          <w:spacing w:val="2"/>
          <w:sz w:val="24"/>
        </w:rPr>
        <w:t>to</w:t>
      </w:r>
      <w:r>
        <w:rPr>
          <w:spacing w:val="-5"/>
          <w:sz w:val="24"/>
        </w:rPr>
        <w:t> </w:t>
      </w:r>
      <w:r>
        <w:rPr>
          <w:sz w:val="24"/>
        </w:rPr>
        <w:t>be in</w:t>
      </w:r>
      <w:r>
        <w:rPr>
          <w:spacing w:val="-9"/>
          <w:sz w:val="24"/>
        </w:rPr>
        <w:t> </w:t>
      </w:r>
      <w:r>
        <w:rPr>
          <w:sz w:val="24"/>
        </w:rPr>
        <w:t>line</w:t>
      </w:r>
      <w:r>
        <w:rPr>
          <w:spacing w:val="-9"/>
          <w:sz w:val="24"/>
        </w:rPr>
        <w:t> </w:t>
      </w:r>
      <w:r>
        <w:rPr>
          <w:sz w:val="24"/>
        </w:rPr>
        <w:t>with</w:t>
      </w:r>
      <w:r>
        <w:rPr>
          <w:spacing w:val="-8"/>
          <w:sz w:val="24"/>
        </w:rPr>
        <w:t> </w:t>
      </w:r>
      <w:r>
        <w:rPr>
          <w:sz w:val="24"/>
        </w:rPr>
        <w:t>or</w:t>
      </w:r>
      <w:r>
        <w:rPr>
          <w:spacing w:val="-5"/>
          <w:sz w:val="24"/>
        </w:rPr>
        <w:t> </w:t>
      </w:r>
      <w:r>
        <w:rPr>
          <w:sz w:val="24"/>
        </w:rPr>
        <w:t>stronger</w:t>
      </w:r>
      <w:r>
        <w:rPr>
          <w:spacing w:val="-8"/>
          <w:sz w:val="24"/>
        </w:rPr>
        <w:t> </w:t>
      </w:r>
      <w:r>
        <w:rPr>
          <w:sz w:val="24"/>
        </w:rPr>
        <w:t>than</w:t>
      </w:r>
      <w:r>
        <w:rPr>
          <w:spacing w:val="-9"/>
          <w:sz w:val="24"/>
        </w:rPr>
        <w:t> </w:t>
      </w:r>
      <w:r>
        <w:rPr>
          <w:sz w:val="24"/>
        </w:rPr>
        <w:t>the</w:t>
      </w:r>
      <w:r>
        <w:rPr>
          <w:spacing w:val="-8"/>
          <w:sz w:val="24"/>
        </w:rPr>
        <w:t> </w:t>
      </w:r>
      <w:r>
        <w:rPr>
          <w:sz w:val="24"/>
        </w:rPr>
        <w:t>path</w:t>
      </w:r>
      <w:r>
        <w:rPr>
          <w:spacing w:val="-9"/>
          <w:sz w:val="24"/>
        </w:rPr>
        <w:t> </w:t>
      </w:r>
      <w:r>
        <w:rPr>
          <w:sz w:val="24"/>
        </w:rPr>
        <w:t>assumed</w:t>
      </w:r>
      <w:r>
        <w:rPr>
          <w:spacing w:val="-9"/>
          <w:sz w:val="24"/>
        </w:rPr>
        <w:t> </w:t>
      </w:r>
      <w:r>
        <w:rPr>
          <w:sz w:val="24"/>
        </w:rPr>
        <w:t>in</w:t>
      </w:r>
      <w:r>
        <w:rPr>
          <w:spacing w:val="-8"/>
          <w:sz w:val="24"/>
        </w:rPr>
        <w:t> </w:t>
      </w:r>
      <w:r>
        <w:rPr>
          <w:sz w:val="24"/>
        </w:rPr>
        <w:t>the</w:t>
      </w:r>
      <w:r>
        <w:rPr>
          <w:spacing w:val="-9"/>
          <w:sz w:val="24"/>
        </w:rPr>
        <w:t> </w:t>
      </w:r>
      <w:r>
        <w:rPr>
          <w:sz w:val="24"/>
        </w:rPr>
        <w:t>central</w:t>
      </w:r>
      <w:r>
        <w:rPr>
          <w:spacing w:val="-8"/>
          <w:sz w:val="24"/>
        </w:rPr>
        <w:t> </w:t>
      </w:r>
      <w:r>
        <w:rPr>
          <w:sz w:val="24"/>
        </w:rPr>
        <w:t>projection,</w:t>
      </w:r>
      <w:r>
        <w:rPr>
          <w:spacing w:val="-9"/>
          <w:sz w:val="24"/>
        </w:rPr>
        <w:t> </w:t>
      </w:r>
      <w:r>
        <w:rPr>
          <w:sz w:val="24"/>
        </w:rPr>
        <w:t>and</w:t>
      </w:r>
      <w:r>
        <w:rPr>
          <w:spacing w:val="-9"/>
          <w:sz w:val="24"/>
        </w:rPr>
        <w:t> </w:t>
      </w:r>
      <w:r>
        <w:rPr>
          <w:sz w:val="24"/>
        </w:rPr>
        <w:t>also</w:t>
      </w:r>
      <w:r>
        <w:rPr>
          <w:spacing w:val="-8"/>
          <w:sz w:val="24"/>
        </w:rPr>
        <w:t> </w:t>
      </w:r>
      <w:r>
        <w:rPr>
          <w:sz w:val="24"/>
        </w:rPr>
        <w:t>saw</w:t>
      </w:r>
      <w:r>
        <w:rPr>
          <w:spacing w:val="-9"/>
          <w:sz w:val="24"/>
        </w:rPr>
        <w:t> </w:t>
      </w:r>
      <w:r>
        <w:rPr>
          <w:sz w:val="24"/>
        </w:rPr>
        <w:t>downside</w:t>
      </w:r>
      <w:r>
        <w:rPr>
          <w:spacing w:val="-8"/>
          <w:sz w:val="24"/>
        </w:rPr>
        <w:t> </w:t>
      </w:r>
      <w:r>
        <w:rPr>
          <w:sz w:val="24"/>
        </w:rPr>
        <w:t>risks from</w:t>
      </w:r>
      <w:r>
        <w:rPr>
          <w:spacing w:val="-5"/>
          <w:sz w:val="24"/>
        </w:rPr>
        <w:t> </w:t>
      </w:r>
      <w:r>
        <w:rPr>
          <w:sz w:val="24"/>
        </w:rPr>
        <w:t>weaker</w:t>
      </w:r>
      <w:r>
        <w:rPr>
          <w:spacing w:val="-4"/>
          <w:sz w:val="24"/>
        </w:rPr>
        <w:t> </w:t>
      </w:r>
      <w:r>
        <w:rPr>
          <w:sz w:val="24"/>
        </w:rPr>
        <w:t>than</w:t>
      </w:r>
      <w:r>
        <w:rPr>
          <w:spacing w:val="-4"/>
          <w:sz w:val="24"/>
        </w:rPr>
        <w:t> </w:t>
      </w:r>
      <w:r>
        <w:rPr>
          <w:sz w:val="24"/>
        </w:rPr>
        <w:t>assumed</w:t>
      </w:r>
      <w:r>
        <w:rPr>
          <w:spacing w:val="-4"/>
          <w:sz w:val="24"/>
        </w:rPr>
        <w:t> </w:t>
      </w:r>
      <w:r>
        <w:rPr>
          <w:sz w:val="24"/>
        </w:rPr>
        <w:t>world</w:t>
      </w:r>
      <w:r>
        <w:rPr>
          <w:spacing w:val="-4"/>
          <w:sz w:val="24"/>
        </w:rPr>
        <w:t> </w:t>
      </w:r>
      <w:r>
        <w:rPr>
          <w:sz w:val="24"/>
        </w:rPr>
        <w:t>activity</w:t>
      </w:r>
      <w:r>
        <w:rPr>
          <w:spacing w:val="-5"/>
          <w:sz w:val="24"/>
        </w:rPr>
        <w:t> </w:t>
      </w:r>
      <w:r>
        <w:rPr>
          <w:sz w:val="24"/>
        </w:rPr>
        <w:t>and</w:t>
      </w:r>
      <w:r>
        <w:rPr>
          <w:spacing w:val="-4"/>
          <w:sz w:val="24"/>
        </w:rPr>
        <w:t> </w:t>
      </w:r>
      <w:r>
        <w:rPr>
          <w:sz w:val="24"/>
        </w:rPr>
        <w:t>prices,</w:t>
      </w:r>
      <w:r>
        <w:rPr>
          <w:spacing w:val="-4"/>
          <w:sz w:val="24"/>
        </w:rPr>
        <w:t> </w:t>
      </w:r>
      <w:r>
        <w:rPr>
          <w:sz w:val="24"/>
        </w:rPr>
        <w:t>and</w:t>
      </w:r>
      <w:r>
        <w:rPr>
          <w:spacing w:val="-4"/>
          <w:sz w:val="24"/>
        </w:rPr>
        <w:t> </w:t>
      </w:r>
      <w:r>
        <w:rPr>
          <w:sz w:val="24"/>
        </w:rPr>
        <w:t>from</w:t>
      </w:r>
      <w:r>
        <w:rPr>
          <w:spacing w:val="-4"/>
          <w:sz w:val="24"/>
        </w:rPr>
        <w:t> </w:t>
      </w:r>
      <w:r>
        <w:rPr>
          <w:sz w:val="24"/>
        </w:rPr>
        <w:t>greater</w:t>
      </w:r>
      <w:r>
        <w:rPr>
          <w:spacing w:val="-5"/>
          <w:sz w:val="24"/>
        </w:rPr>
        <w:t> </w:t>
      </w:r>
      <w:r>
        <w:rPr>
          <w:sz w:val="24"/>
        </w:rPr>
        <w:t>pressure</w:t>
      </w:r>
      <w:r>
        <w:rPr>
          <w:spacing w:val="-4"/>
          <w:sz w:val="24"/>
        </w:rPr>
        <w:t> </w:t>
      </w:r>
      <w:r>
        <w:rPr>
          <w:sz w:val="24"/>
        </w:rPr>
        <w:t>on</w:t>
      </w:r>
      <w:r>
        <w:rPr>
          <w:spacing w:val="1"/>
          <w:sz w:val="24"/>
        </w:rPr>
        <w:t> </w:t>
      </w:r>
      <w:r>
        <w:rPr>
          <w:sz w:val="24"/>
        </w:rPr>
        <w:t>margins.</w:t>
      </w:r>
    </w:p>
    <w:p>
      <w:pPr>
        <w:pStyle w:val="BodyText"/>
        <w:spacing w:before="2"/>
        <w:rPr>
          <w:sz w:val="37"/>
        </w:rPr>
      </w:pPr>
    </w:p>
    <w:p>
      <w:pPr>
        <w:pStyle w:val="Heading1"/>
      </w:pPr>
      <w:r>
        <w:rPr/>
        <w:t>Other considerations relevant to the policy decision</w:t>
      </w:r>
    </w:p>
    <w:p>
      <w:pPr>
        <w:pStyle w:val="BodyText"/>
        <w:rPr>
          <w:b/>
          <w:sz w:val="26"/>
        </w:rPr>
      </w:pPr>
    </w:p>
    <w:p>
      <w:pPr>
        <w:pStyle w:val="BodyText"/>
        <w:spacing w:before="10"/>
        <w:rPr>
          <w:b/>
          <w:sz w:val="23"/>
        </w:rPr>
      </w:pPr>
    </w:p>
    <w:p>
      <w:pPr>
        <w:pStyle w:val="ListParagraph"/>
        <w:numPr>
          <w:ilvl w:val="0"/>
          <w:numId w:val="1"/>
        </w:numPr>
        <w:tabs>
          <w:tab w:pos="824" w:val="left" w:leader="none"/>
        </w:tabs>
        <w:spacing w:line="240" w:lineRule="auto" w:before="0" w:after="0"/>
        <w:ind w:left="824" w:right="0" w:hanging="423"/>
        <w:jc w:val="left"/>
        <w:rPr>
          <w:sz w:val="24"/>
        </w:rPr>
      </w:pPr>
      <w:r>
        <w:rPr>
          <w:sz w:val="24"/>
        </w:rPr>
        <w:t>The Committee discussed a range of </w:t>
      </w:r>
      <w:r>
        <w:rPr>
          <w:spacing w:val="3"/>
          <w:sz w:val="24"/>
        </w:rPr>
        <w:t>other </w:t>
      </w:r>
      <w:r>
        <w:rPr>
          <w:sz w:val="24"/>
        </w:rPr>
        <w:t>issues relevant </w:t>
      </w:r>
      <w:r>
        <w:rPr>
          <w:spacing w:val="2"/>
          <w:sz w:val="24"/>
        </w:rPr>
        <w:t>to </w:t>
      </w:r>
      <w:r>
        <w:rPr>
          <w:sz w:val="24"/>
        </w:rPr>
        <w:t>its policy</w:t>
      </w:r>
      <w:r>
        <w:rPr>
          <w:spacing w:val="-6"/>
          <w:sz w:val="24"/>
        </w:rPr>
        <w:t> </w:t>
      </w:r>
      <w:r>
        <w:rPr>
          <w:sz w:val="24"/>
        </w:rPr>
        <w:t>decision.</w:t>
      </w:r>
    </w:p>
    <w:p>
      <w:pPr>
        <w:pStyle w:val="BodyText"/>
        <w:rPr>
          <w:sz w:val="26"/>
        </w:rPr>
      </w:pPr>
    </w:p>
    <w:p>
      <w:pPr>
        <w:pStyle w:val="BodyText"/>
        <w:spacing w:before="4"/>
      </w:pPr>
    </w:p>
    <w:p>
      <w:pPr>
        <w:pStyle w:val="ListParagraph"/>
        <w:numPr>
          <w:ilvl w:val="0"/>
          <w:numId w:val="1"/>
        </w:numPr>
        <w:tabs>
          <w:tab w:pos="824" w:val="left" w:leader="none"/>
        </w:tabs>
        <w:spacing w:line="372" w:lineRule="auto" w:before="0" w:after="0"/>
        <w:ind w:left="401" w:right="523" w:firstLine="0"/>
        <w:jc w:val="left"/>
        <w:rPr>
          <w:sz w:val="24"/>
        </w:rPr>
      </w:pPr>
      <w:r>
        <w:rPr>
          <w:sz w:val="24"/>
        </w:rPr>
        <w:t>How much weight should the Committee place on the central projection for inflation being slightly below target for the next year or so but roughly at target, and rising, at the two year horizon? A number of possible arguments were identified. First, the central </w:t>
      </w:r>
      <w:r>
        <w:rPr>
          <w:spacing w:val="-3"/>
          <w:sz w:val="24"/>
        </w:rPr>
        <w:t>projection’s </w:t>
      </w:r>
      <w:r>
        <w:rPr>
          <w:sz w:val="24"/>
        </w:rPr>
        <w:t>saucer shape was largely attributable </w:t>
      </w:r>
      <w:r>
        <w:rPr>
          <w:spacing w:val="2"/>
          <w:sz w:val="24"/>
        </w:rPr>
        <w:t>to </w:t>
      </w:r>
      <w:r>
        <w:rPr>
          <w:spacing w:val="-3"/>
          <w:sz w:val="24"/>
        </w:rPr>
        <w:t>sterling’s </w:t>
      </w:r>
      <w:r>
        <w:rPr>
          <w:sz w:val="24"/>
        </w:rPr>
        <w:t>recent appreciation, the effects of which would be temporary.</w:t>
      </w:r>
      <w:r>
        <w:rPr>
          <w:spacing w:val="-9"/>
          <w:sz w:val="24"/>
        </w:rPr>
        <w:t> </w:t>
      </w:r>
      <w:r>
        <w:rPr>
          <w:sz w:val="24"/>
        </w:rPr>
        <w:t>Second,</w:t>
      </w:r>
      <w:r>
        <w:rPr>
          <w:spacing w:val="-7"/>
          <w:sz w:val="24"/>
        </w:rPr>
        <w:t> </w:t>
      </w:r>
      <w:r>
        <w:rPr>
          <w:sz w:val="24"/>
        </w:rPr>
        <w:t>the</w:t>
      </w:r>
      <w:r>
        <w:rPr>
          <w:spacing w:val="-8"/>
          <w:sz w:val="24"/>
        </w:rPr>
        <w:t> </w:t>
      </w:r>
      <w:r>
        <w:rPr>
          <w:sz w:val="24"/>
        </w:rPr>
        <w:t>Committee</w:t>
      </w:r>
      <w:r>
        <w:rPr>
          <w:spacing w:val="-8"/>
          <w:sz w:val="24"/>
        </w:rPr>
        <w:t> </w:t>
      </w:r>
      <w:r>
        <w:rPr>
          <w:sz w:val="24"/>
        </w:rPr>
        <w:t>could</w:t>
      </w:r>
      <w:r>
        <w:rPr>
          <w:spacing w:val="-9"/>
          <w:sz w:val="24"/>
        </w:rPr>
        <w:t> </w:t>
      </w:r>
      <w:r>
        <w:rPr>
          <w:sz w:val="24"/>
        </w:rPr>
        <w:t>consider</w:t>
      </w:r>
      <w:r>
        <w:rPr>
          <w:spacing w:val="-8"/>
          <w:sz w:val="24"/>
        </w:rPr>
        <w:t> </w:t>
      </w:r>
      <w:r>
        <w:rPr>
          <w:sz w:val="24"/>
        </w:rPr>
        <w:t>whether</w:t>
      </w:r>
      <w:r>
        <w:rPr>
          <w:spacing w:val="-8"/>
          <w:sz w:val="24"/>
        </w:rPr>
        <w:t> </w:t>
      </w:r>
      <w:r>
        <w:rPr>
          <w:sz w:val="24"/>
        </w:rPr>
        <w:t>there</w:t>
      </w:r>
      <w:r>
        <w:rPr>
          <w:spacing w:val="-8"/>
          <w:sz w:val="24"/>
        </w:rPr>
        <w:t> </w:t>
      </w:r>
      <w:r>
        <w:rPr>
          <w:sz w:val="24"/>
        </w:rPr>
        <w:t>was</w:t>
      </w:r>
      <w:r>
        <w:rPr>
          <w:spacing w:val="-8"/>
          <w:sz w:val="24"/>
        </w:rPr>
        <w:t> </w:t>
      </w:r>
      <w:r>
        <w:rPr>
          <w:sz w:val="24"/>
        </w:rPr>
        <w:t>a</w:t>
      </w:r>
      <w:r>
        <w:rPr>
          <w:spacing w:val="-8"/>
          <w:sz w:val="24"/>
        </w:rPr>
        <w:t> </w:t>
      </w:r>
      <w:r>
        <w:rPr>
          <w:sz w:val="24"/>
        </w:rPr>
        <w:t>path</w:t>
      </w:r>
      <w:r>
        <w:rPr>
          <w:spacing w:val="-9"/>
          <w:sz w:val="24"/>
        </w:rPr>
        <w:t> </w:t>
      </w:r>
      <w:r>
        <w:rPr>
          <w:sz w:val="24"/>
        </w:rPr>
        <w:t>for</w:t>
      </w:r>
      <w:r>
        <w:rPr>
          <w:spacing w:val="-8"/>
          <w:sz w:val="24"/>
        </w:rPr>
        <w:t> </w:t>
      </w:r>
      <w:r>
        <w:rPr>
          <w:sz w:val="24"/>
        </w:rPr>
        <w:t>policy</w:t>
      </w:r>
      <w:r>
        <w:rPr>
          <w:spacing w:val="-8"/>
          <w:sz w:val="24"/>
        </w:rPr>
        <w:t> </w:t>
      </w:r>
      <w:r>
        <w:rPr>
          <w:sz w:val="24"/>
        </w:rPr>
        <w:t>that</w:t>
      </w:r>
      <w:r>
        <w:rPr>
          <w:spacing w:val="-4"/>
          <w:sz w:val="24"/>
        </w:rPr>
        <w:t> </w:t>
      </w:r>
      <w:r>
        <w:rPr>
          <w:sz w:val="24"/>
        </w:rPr>
        <w:t>could underpin activity growth in the relatively short run while not endangering achievement of the inflation target at and beyond the forecast horizon; this might be achieved by a temporary reduction in interest rates. Third, it was possible that the new monetary framework had altered expectations</w:t>
      </w:r>
      <w:r>
        <w:rPr>
          <w:spacing w:val="-13"/>
          <w:sz w:val="24"/>
        </w:rPr>
        <w:t> </w:t>
      </w:r>
      <w:r>
        <w:rPr>
          <w:sz w:val="24"/>
        </w:rPr>
        <w:t>and</w:t>
      </w:r>
      <w:r>
        <w:rPr>
          <w:spacing w:val="-12"/>
          <w:sz w:val="24"/>
        </w:rPr>
        <w:t> </w:t>
      </w:r>
      <w:r>
        <w:rPr>
          <w:sz w:val="24"/>
        </w:rPr>
        <w:t>thus</w:t>
      </w:r>
      <w:r>
        <w:rPr>
          <w:spacing w:val="-12"/>
          <w:sz w:val="24"/>
        </w:rPr>
        <w:t> </w:t>
      </w:r>
      <w:r>
        <w:rPr>
          <w:sz w:val="24"/>
        </w:rPr>
        <w:t>the</w:t>
      </w:r>
      <w:r>
        <w:rPr>
          <w:spacing w:val="-13"/>
          <w:sz w:val="24"/>
        </w:rPr>
        <w:t> </w:t>
      </w:r>
      <w:r>
        <w:rPr>
          <w:sz w:val="24"/>
        </w:rPr>
        <w:t>speed</w:t>
      </w:r>
      <w:r>
        <w:rPr>
          <w:spacing w:val="-12"/>
          <w:sz w:val="24"/>
        </w:rPr>
        <w:t> </w:t>
      </w:r>
      <w:r>
        <w:rPr>
          <w:sz w:val="24"/>
        </w:rPr>
        <w:t>of</w:t>
      </w:r>
      <w:r>
        <w:rPr>
          <w:spacing w:val="-8"/>
          <w:sz w:val="24"/>
        </w:rPr>
        <w:t> </w:t>
      </w:r>
      <w:r>
        <w:rPr>
          <w:sz w:val="24"/>
        </w:rPr>
        <w:t>the</w:t>
      </w:r>
      <w:r>
        <w:rPr>
          <w:spacing w:val="-13"/>
          <w:sz w:val="24"/>
        </w:rPr>
        <w:t> </w:t>
      </w:r>
      <w:r>
        <w:rPr>
          <w:sz w:val="24"/>
        </w:rPr>
        <w:t>transmission</w:t>
      </w:r>
      <w:r>
        <w:rPr>
          <w:spacing w:val="-12"/>
          <w:sz w:val="24"/>
        </w:rPr>
        <w:t> </w:t>
      </w:r>
      <w:r>
        <w:rPr>
          <w:sz w:val="24"/>
        </w:rPr>
        <w:t>mechanism,</w:t>
      </w:r>
      <w:r>
        <w:rPr>
          <w:spacing w:val="-12"/>
          <w:sz w:val="24"/>
        </w:rPr>
        <w:t> </w:t>
      </w:r>
      <w:r>
        <w:rPr>
          <w:sz w:val="24"/>
        </w:rPr>
        <w:t>with</w:t>
      </w:r>
      <w:r>
        <w:rPr>
          <w:spacing w:val="-12"/>
          <w:sz w:val="24"/>
        </w:rPr>
        <w:t> </w:t>
      </w:r>
      <w:r>
        <w:rPr>
          <w:sz w:val="24"/>
        </w:rPr>
        <w:t>shorter</w:t>
      </w:r>
      <w:r>
        <w:rPr>
          <w:spacing w:val="-13"/>
          <w:sz w:val="24"/>
        </w:rPr>
        <w:t> </w:t>
      </w:r>
      <w:r>
        <w:rPr>
          <w:sz w:val="24"/>
        </w:rPr>
        <w:t>lags</w:t>
      </w:r>
      <w:r>
        <w:rPr>
          <w:spacing w:val="-12"/>
          <w:sz w:val="24"/>
        </w:rPr>
        <w:t> </w:t>
      </w:r>
      <w:r>
        <w:rPr>
          <w:sz w:val="24"/>
        </w:rPr>
        <w:t>from</w:t>
      </w:r>
      <w:r>
        <w:rPr>
          <w:spacing w:val="-12"/>
          <w:sz w:val="24"/>
        </w:rPr>
        <w:t> </w:t>
      </w:r>
      <w:r>
        <w:rPr>
          <w:sz w:val="24"/>
        </w:rPr>
        <w:t>changes</w:t>
      </w:r>
      <w:r>
        <w:rPr>
          <w:spacing w:val="-12"/>
          <w:sz w:val="24"/>
        </w:rPr>
        <w:t> </w:t>
      </w:r>
      <w:r>
        <w:rPr>
          <w:sz w:val="24"/>
        </w:rPr>
        <w:t>in policy </w:t>
      </w:r>
      <w:r>
        <w:rPr>
          <w:spacing w:val="2"/>
          <w:sz w:val="24"/>
        </w:rPr>
        <w:t>to </w:t>
      </w:r>
      <w:r>
        <w:rPr>
          <w:sz w:val="24"/>
        </w:rPr>
        <w:t>the effects on </w:t>
      </w:r>
      <w:r>
        <w:rPr>
          <w:spacing w:val="3"/>
          <w:sz w:val="24"/>
        </w:rPr>
        <w:t>output </w:t>
      </w:r>
      <w:r>
        <w:rPr>
          <w:sz w:val="24"/>
        </w:rPr>
        <w:t>and inflation. Views varied on these</w:t>
      </w:r>
      <w:r>
        <w:rPr>
          <w:spacing w:val="-1"/>
          <w:sz w:val="24"/>
        </w:rPr>
        <w:t> </w:t>
      </w:r>
      <w:r>
        <w:rPr>
          <w:sz w:val="24"/>
        </w:rPr>
        <w:t>issues.</w:t>
      </w:r>
    </w:p>
    <w:p>
      <w:pPr>
        <w:pStyle w:val="BodyText"/>
        <w:spacing w:before="7"/>
        <w:rPr>
          <w:sz w:val="36"/>
        </w:rPr>
      </w:pPr>
    </w:p>
    <w:p>
      <w:pPr>
        <w:pStyle w:val="ListParagraph"/>
        <w:numPr>
          <w:ilvl w:val="0"/>
          <w:numId w:val="1"/>
        </w:numPr>
        <w:tabs>
          <w:tab w:pos="824" w:val="left" w:leader="none"/>
        </w:tabs>
        <w:spacing w:line="372" w:lineRule="auto" w:before="0" w:after="0"/>
        <w:ind w:left="401" w:right="503" w:firstLine="0"/>
        <w:jc w:val="left"/>
        <w:rPr>
          <w:sz w:val="24"/>
        </w:rPr>
      </w:pPr>
      <w:r>
        <w:rPr>
          <w:sz w:val="24"/>
        </w:rPr>
        <w:t>What did the recent strength of sterling imply for policy? </w:t>
      </w:r>
      <w:r>
        <w:rPr>
          <w:spacing w:val="-4"/>
          <w:sz w:val="24"/>
        </w:rPr>
        <w:t>Sterling’s </w:t>
      </w:r>
      <w:r>
        <w:rPr>
          <w:sz w:val="24"/>
        </w:rPr>
        <w:t>renewed appreciation presented a dilemma for policy. It had exacerbated the imbalances in the economy, given the already</w:t>
      </w:r>
      <w:r>
        <w:rPr>
          <w:spacing w:val="-14"/>
          <w:sz w:val="24"/>
        </w:rPr>
        <w:t> </w:t>
      </w:r>
      <w:r>
        <w:rPr>
          <w:sz w:val="24"/>
        </w:rPr>
        <w:t>considerable</w:t>
      </w:r>
      <w:r>
        <w:rPr>
          <w:spacing w:val="-13"/>
          <w:sz w:val="24"/>
        </w:rPr>
        <w:t> </w:t>
      </w:r>
      <w:r>
        <w:rPr>
          <w:sz w:val="24"/>
        </w:rPr>
        <w:t>pressures</w:t>
      </w:r>
      <w:r>
        <w:rPr>
          <w:spacing w:val="-13"/>
          <w:sz w:val="24"/>
        </w:rPr>
        <w:t> </w:t>
      </w:r>
      <w:r>
        <w:rPr>
          <w:sz w:val="24"/>
        </w:rPr>
        <w:t>on</w:t>
      </w:r>
      <w:r>
        <w:rPr>
          <w:spacing w:val="-10"/>
          <w:sz w:val="24"/>
        </w:rPr>
        <w:t> </w:t>
      </w:r>
      <w:r>
        <w:rPr>
          <w:sz w:val="24"/>
        </w:rPr>
        <w:t>exporters</w:t>
      </w:r>
      <w:r>
        <w:rPr>
          <w:spacing w:val="-13"/>
          <w:sz w:val="24"/>
        </w:rPr>
        <w:t> </w:t>
      </w:r>
      <w:r>
        <w:rPr>
          <w:sz w:val="24"/>
        </w:rPr>
        <w:t>and</w:t>
      </w:r>
      <w:r>
        <w:rPr>
          <w:spacing w:val="-14"/>
          <w:sz w:val="24"/>
        </w:rPr>
        <w:t> </w:t>
      </w:r>
      <w:r>
        <w:rPr>
          <w:sz w:val="24"/>
        </w:rPr>
        <w:t>producers</w:t>
      </w:r>
      <w:r>
        <w:rPr>
          <w:spacing w:val="-13"/>
          <w:sz w:val="24"/>
        </w:rPr>
        <w:t> </w:t>
      </w:r>
      <w:r>
        <w:rPr>
          <w:sz w:val="24"/>
        </w:rPr>
        <w:t>competing</w:t>
      </w:r>
      <w:r>
        <w:rPr>
          <w:spacing w:val="-13"/>
          <w:sz w:val="24"/>
        </w:rPr>
        <w:t> </w:t>
      </w:r>
      <w:r>
        <w:rPr>
          <w:sz w:val="24"/>
        </w:rPr>
        <w:t>domestically</w:t>
      </w:r>
      <w:r>
        <w:rPr>
          <w:spacing w:val="-14"/>
          <w:sz w:val="24"/>
        </w:rPr>
        <w:t> </w:t>
      </w:r>
      <w:r>
        <w:rPr>
          <w:sz w:val="24"/>
        </w:rPr>
        <w:t>with</w:t>
      </w:r>
      <w:r>
        <w:rPr>
          <w:spacing w:val="-13"/>
          <w:sz w:val="24"/>
        </w:rPr>
        <w:t> </w:t>
      </w:r>
      <w:r>
        <w:rPr>
          <w:sz w:val="24"/>
        </w:rPr>
        <w:t>imports. The implications for inflation, and thus for monetary policy, depended on the reasons for the appreciation. To the extent that it reflected changed perceptions of the </w:t>
      </w:r>
      <w:r>
        <w:rPr>
          <w:spacing w:val="3"/>
          <w:sz w:val="24"/>
        </w:rPr>
        <w:t>outlook </w:t>
      </w:r>
      <w:r>
        <w:rPr>
          <w:sz w:val="24"/>
        </w:rPr>
        <w:t>for UK</w:t>
      </w:r>
      <w:r>
        <w:rPr>
          <w:spacing w:val="-22"/>
          <w:sz w:val="24"/>
        </w:rPr>
        <w:t> </w:t>
      </w:r>
      <w:r>
        <w:rPr>
          <w:sz w:val="24"/>
        </w:rPr>
        <w:t>monetary</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BodyText"/>
        <w:spacing w:line="372" w:lineRule="auto" w:before="90"/>
        <w:ind w:left="401" w:right="469"/>
      </w:pPr>
      <w:r>
        <w:rPr/>
        <w:t>policy, policy should respond </w:t>
      </w:r>
      <w:r>
        <w:rPr>
          <w:spacing w:val="3"/>
        </w:rPr>
        <w:t>only </w:t>
      </w:r>
      <w:r>
        <w:rPr/>
        <w:t>if market expectations were materially wrong. Otherwise, depending on the effect on interest rate expectations, reducing </w:t>
      </w:r>
      <w:r>
        <w:rPr>
          <w:spacing w:val="3"/>
        </w:rPr>
        <w:t>official </w:t>
      </w:r>
      <w:r>
        <w:rPr/>
        <w:t>interest rates now might increase expected inflation. The Committee had agreed, however, that relative yield curve movements did not explain the whole of </w:t>
      </w:r>
      <w:r>
        <w:rPr>
          <w:spacing w:val="-3"/>
        </w:rPr>
        <w:t>sterling’s </w:t>
      </w:r>
      <w:r>
        <w:rPr/>
        <w:t>recent rise, which would therefore tend </w:t>
      </w:r>
      <w:r>
        <w:rPr>
          <w:spacing w:val="2"/>
        </w:rPr>
        <w:t>to </w:t>
      </w:r>
      <w:r>
        <w:rPr/>
        <w:t>put downward</w:t>
      </w:r>
      <w:r>
        <w:rPr>
          <w:spacing w:val="-12"/>
        </w:rPr>
        <w:t> </w:t>
      </w:r>
      <w:r>
        <w:rPr/>
        <w:t>pressure</w:t>
      </w:r>
      <w:r>
        <w:rPr>
          <w:spacing w:val="-11"/>
        </w:rPr>
        <w:t> </w:t>
      </w:r>
      <w:r>
        <w:rPr/>
        <w:t>on</w:t>
      </w:r>
      <w:r>
        <w:rPr>
          <w:spacing w:val="-8"/>
        </w:rPr>
        <w:t> </w:t>
      </w:r>
      <w:r>
        <w:rPr/>
        <w:t>inflation</w:t>
      </w:r>
      <w:r>
        <w:rPr>
          <w:spacing w:val="-11"/>
        </w:rPr>
        <w:t> </w:t>
      </w:r>
      <w:r>
        <w:rPr/>
        <w:t>in</w:t>
      </w:r>
      <w:r>
        <w:rPr>
          <w:spacing w:val="-11"/>
        </w:rPr>
        <w:t> </w:t>
      </w:r>
      <w:r>
        <w:rPr/>
        <w:t>the</w:t>
      </w:r>
      <w:r>
        <w:rPr>
          <w:spacing w:val="-12"/>
        </w:rPr>
        <w:t> </w:t>
      </w:r>
      <w:r>
        <w:rPr/>
        <w:t>near</w:t>
      </w:r>
      <w:r>
        <w:rPr>
          <w:spacing w:val="-11"/>
        </w:rPr>
        <w:t> </w:t>
      </w:r>
      <w:r>
        <w:rPr/>
        <w:t>term.</w:t>
      </w:r>
      <w:r>
        <w:rPr>
          <w:spacing w:val="37"/>
        </w:rPr>
        <w:t> </w:t>
      </w:r>
      <w:r>
        <w:rPr/>
        <w:t>In</w:t>
      </w:r>
      <w:r>
        <w:rPr>
          <w:spacing w:val="-9"/>
        </w:rPr>
        <w:t> </w:t>
      </w:r>
      <w:r>
        <w:rPr/>
        <w:t>principle,</w:t>
      </w:r>
      <w:r>
        <w:rPr>
          <w:spacing w:val="-12"/>
        </w:rPr>
        <w:t> </w:t>
      </w:r>
      <w:r>
        <w:rPr/>
        <w:t>the</w:t>
      </w:r>
      <w:r>
        <w:rPr>
          <w:spacing w:val="-11"/>
        </w:rPr>
        <w:t> </w:t>
      </w:r>
      <w:r>
        <w:rPr/>
        <w:t>forecast</w:t>
      </w:r>
      <w:r>
        <w:rPr>
          <w:spacing w:val="-7"/>
        </w:rPr>
        <w:t> </w:t>
      </w:r>
      <w:r>
        <w:rPr/>
        <w:t>process</w:t>
      </w:r>
      <w:r>
        <w:rPr>
          <w:spacing w:val="-12"/>
        </w:rPr>
        <w:t> </w:t>
      </w:r>
      <w:r>
        <w:rPr/>
        <w:t>should</w:t>
      </w:r>
      <w:r>
        <w:rPr>
          <w:spacing w:val="-11"/>
        </w:rPr>
        <w:t> </w:t>
      </w:r>
      <w:r>
        <w:rPr/>
        <w:t>identify and</w:t>
      </w:r>
      <w:r>
        <w:rPr>
          <w:spacing w:val="-10"/>
        </w:rPr>
        <w:t> </w:t>
      </w:r>
      <w:r>
        <w:rPr/>
        <w:t>quantify</w:t>
      </w:r>
      <w:r>
        <w:rPr>
          <w:spacing w:val="-10"/>
        </w:rPr>
        <w:t> </w:t>
      </w:r>
      <w:r>
        <w:rPr/>
        <w:t>the</w:t>
      </w:r>
      <w:r>
        <w:rPr>
          <w:spacing w:val="-10"/>
        </w:rPr>
        <w:t> </w:t>
      </w:r>
      <w:r>
        <w:rPr/>
        <w:t>various</w:t>
      </w:r>
      <w:r>
        <w:rPr>
          <w:spacing w:val="-10"/>
        </w:rPr>
        <w:t> </w:t>
      </w:r>
      <w:r>
        <w:rPr/>
        <w:t>influences</w:t>
      </w:r>
      <w:r>
        <w:rPr>
          <w:spacing w:val="-9"/>
        </w:rPr>
        <w:t> </w:t>
      </w:r>
      <w:r>
        <w:rPr/>
        <w:t>on</w:t>
      </w:r>
      <w:r>
        <w:rPr>
          <w:spacing w:val="-6"/>
        </w:rPr>
        <w:t> </w:t>
      </w:r>
      <w:r>
        <w:rPr/>
        <w:t>sterling,</w:t>
      </w:r>
      <w:r>
        <w:rPr>
          <w:spacing w:val="-10"/>
        </w:rPr>
        <w:t> </w:t>
      </w:r>
      <w:r>
        <w:rPr/>
        <w:t>but</w:t>
      </w:r>
      <w:r>
        <w:rPr>
          <w:spacing w:val="-5"/>
        </w:rPr>
        <w:t> </w:t>
      </w:r>
      <w:r>
        <w:rPr/>
        <w:t>this</w:t>
      </w:r>
      <w:r>
        <w:rPr>
          <w:spacing w:val="-10"/>
        </w:rPr>
        <w:t> </w:t>
      </w:r>
      <w:r>
        <w:rPr/>
        <w:t>assessment</w:t>
      </w:r>
      <w:r>
        <w:rPr>
          <w:spacing w:val="-6"/>
        </w:rPr>
        <w:t> </w:t>
      </w:r>
      <w:r>
        <w:rPr/>
        <w:t>was</w:t>
      </w:r>
      <w:r>
        <w:rPr>
          <w:spacing w:val="-10"/>
        </w:rPr>
        <w:t> </w:t>
      </w:r>
      <w:r>
        <w:rPr/>
        <w:t>inevitably</w:t>
      </w:r>
      <w:r>
        <w:rPr>
          <w:spacing w:val="-9"/>
        </w:rPr>
        <w:t> </w:t>
      </w:r>
      <w:r>
        <w:rPr/>
        <w:t>imprecise.</w:t>
      </w:r>
    </w:p>
    <w:p>
      <w:pPr>
        <w:pStyle w:val="BodyText"/>
        <w:spacing w:before="9"/>
        <w:rPr>
          <w:sz w:val="36"/>
        </w:rPr>
      </w:pPr>
    </w:p>
    <w:p>
      <w:pPr>
        <w:pStyle w:val="ListParagraph"/>
        <w:numPr>
          <w:ilvl w:val="0"/>
          <w:numId w:val="1"/>
        </w:numPr>
        <w:tabs>
          <w:tab w:pos="824" w:val="left" w:leader="none"/>
        </w:tabs>
        <w:spacing w:line="372" w:lineRule="auto" w:before="1" w:after="0"/>
        <w:ind w:left="401" w:right="422" w:firstLine="0"/>
        <w:jc w:val="left"/>
        <w:rPr>
          <w:sz w:val="24"/>
        </w:rPr>
      </w:pPr>
      <w:r>
        <w:rPr>
          <w:sz w:val="24"/>
        </w:rPr>
        <w:t>Given the dilemma for policy created by </w:t>
      </w:r>
      <w:r>
        <w:rPr>
          <w:spacing w:val="-3"/>
          <w:sz w:val="24"/>
        </w:rPr>
        <w:t>sterling’s </w:t>
      </w:r>
      <w:r>
        <w:rPr>
          <w:sz w:val="24"/>
        </w:rPr>
        <w:t>rise, the Committee noted that it could, in principle, use two </w:t>
      </w:r>
      <w:r>
        <w:rPr>
          <w:spacing w:val="3"/>
          <w:sz w:val="24"/>
        </w:rPr>
        <w:t>other </w:t>
      </w:r>
      <w:r>
        <w:rPr>
          <w:sz w:val="24"/>
        </w:rPr>
        <w:t>instruments. The first was a statement explaining the part played by sterling</w:t>
      </w:r>
      <w:r>
        <w:rPr>
          <w:spacing w:val="-14"/>
          <w:sz w:val="24"/>
        </w:rPr>
        <w:t> </w:t>
      </w:r>
      <w:r>
        <w:rPr>
          <w:sz w:val="24"/>
        </w:rPr>
        <w:t>in</w:t>
      </w:r>
      <w:r>
        <w:rPr>
          <w:spacing w:val="-14"/>
          <w:sz w:val="24"/>
        </w:rPr>
        <w:t> </w:t>
      </w:r>
      <w:r>
        <w:rPr>
          <w:sz w:val="24"/>
        </w:rPr>
        <w:t>its</w:t>
      </w:r>
      <w:r>
        <w:rPr>
          <w:spacing w:val="-14"/>
          <w:sz w:val="24"/>
        </w:rPr>
        <w:t> </w:t>
      </w:r>
      <w:r>
        <w:rPr>
          <w:sz w:val="24"/>
        </w:rPr>
        <w:t>eventual</w:t>
      </w:r>
      <w:r>
        <w:rPr>
          <w:spacing w:val="-14"/>
          <w:sz w:val="24"/>
        </w:rPr>
        <w:t> </w:t>
      </w:r>
      <w:r>
        <w:rPr>
          <w:sz w:val="24"/>
        </w:rPr>
        <w:t>policy</w:t>
      </w:r>
      <w:r>
        <w:rPr>
          <w:spacing w:val="-14"/>
          <w:sz w:val="24"/>
        </w:rPr>
        <w:t> </w:t>
      </w:r>
      <w:r>
        <w:rPr>
          <w:sz w:val="24"/>
        </w:rPr>
        <w:t>decision.</w:t>
      </w:r>
      <w:r>
        <w:rPr>
          <w:spacing w:val="32"/>
          <w:sz w:val="24"/>
        </w:rPr>
        <w:t> </w:t>
      </w:r>
      <w:r>
        <w:rPr>
          <w:sz w:val="24"/>
        </w:rPr>
        <w:t>This</w:t>
      </w:r>
      <w:r>
        <w:rPr>
          <w:spacing w:val="-12"/>
          <w:sz w:val="24"/>
        </w:rPr>
        <w:t> </w:t>
      </w:r>
      <w:r>
        <w:rPr>
          <w:spacing w:val="3"/>
          <w:sz w:val="24"/>
        </w:rPr>
        <w:t>option</w:t>
      </w:r>
      <w:r>
        <w:rPr>
          <w:spacing w:val="-11"/>
          <w:sz w:val="24"/>
        </w:rPr>
        <w:t> </w:t>
      </w:r>
      <w:r>
        <w:rPr>
          <w:sz w:val="24"/>
        </w:rPr>
        <w:t>was</w:t>
      </w:r>
      <w:r>
        <w:rPr>
          <w:spacing w:val="-13"/>
          <w:sz w:val="24"/>
        </w:rPr>
        <w:t> </w:t>
      </w:r>
      <w:r>
        <w:rPr>
          <w:sz w:val="24"/>
        </w:rPr>
        <w:t>available</w:t>
      </w:r>
      <w:r>
        <w:rPr>
          <w:spacing w:val="-14"/>
          <w:sz w:val="24"/>
        </w:rPr>
        <w:t> </w:t>
      </w:r>
      <w:r>
        <w:rPr>
          <w:sz w:val="24"/>
        </w:rPr>
        <w:t>whatever</w:t>
      </w:r>
      <w:r>
        <w:rPr>
          <w:spacing w:val="-14"/>
          <w:sz w:val="24"/>
        </w:rPr>
        <w:t> </w:t>
      </w:r>
      <w:r>
        <w:rPr>
          <w:sz w:val="24"/>
        </w:rPr>
        <w:t>the</w:t>
      </w:r>
      <w:r>
        <w:rPr>
          <w:spacing w:val="-14"/>
          <w:sz w:val="24"/>
        </w:rPr>
        <w:t> </w:t>
      </w:r>
      <w:r>
        <w:rPr>
          <w:sz w:val="24"/>
        </w:rPr>
        <w:t>decision</w:t>
      </w:r>
      <w:r>
        <w:rPr>
          <w:spacing w:val="-14"/>
          <w:sz w:val="24"/>
        </w:rPr>
        <w:t> </w:t>
      </w:r>
      <w:r>
        <w:rPr>
          <w:sz w:val="24"/>
        </w:rPr>
        <w:t>on</w:t>
      </w:r>
      <w:r>
        <w:rPr>
          <w:spacing w:val="-10"/>
          <w:sz w:val="24"/>
        </w:rPr>
        <w:t> </w:t>
      </w:r>
      <w:r>
        <w:rPr>
          <w:sz w:val="24"/>
        </w:rPr>
        <w:t>interest rates.</w:t>
      </w:r>
    </w:p>
    <w:p>
      <w:pPr>
        <w:pStyle w:val="BodyText"/>
        <w:spacing w:before="10"/>
        <w:rPr>
          <w:sz w:val="36"/>
        </w:rPr>
      </w:pPr>
    </w:p>
    <w:p>
      <w:pPr>
        <w:pStyle w:val="ListParagraph"/>
        <w:numPr>
          <w:ilvl w:val="0"/>
          <w:numId w:val="1"/>
        </w:numPr>
        <w:tabs>
          <w:tab w:pos="824" w:val="left" w:leader="none"/>
        </w:tabs>
        <w:spacing w:line="372" w:lineRule="auto" w:before="0" w:after="0"/>
        <w:ind w:left="401" w:right="312" w:firstLine="0"/>
        <w:jc w:val="left"/>
        <w:rPr>
          <w:sz w:val="24"/>
        </w:rPr>
      </w:pPr>
      <w:r>
        <w:rPr>
          <w:sz w:val="24"/>
        </w:rPr>
        <w:t>The second was foreign exchange intervention. A range of views was expressed. It was possible that combining a reduction in interest rates and a statement with publicly-announced intervention might help </w:t>
      </w:r>
      <w:r>
        <w:rPr>
          <w:spacing w:val="2"/>
          <w:sz w:val="24"/>
        </w:rPr>
        <w:t>to </w:t>
      </w:r>
      <w:r>
        <w:rPr>
          <w:sz w:val="24"/>
        </w:rPr>
        <w:t>underline the </w:t>
      </w:r>
      <w:r>
        <w:rPr>
          <w:spacing w:val="-3"/>
          <w:sz w:val="24"/>
        </w:rPr>
        <w:t>Committee’s </w:t>
      </w:r>
      <w:r>
        <w:rPr>
          <w:sz w:val="24"/>
        </w:rPr>
        <w:t>concerns about the exchange rate. The Committee did not believe that intervention could materially affect the balance between demand and</w:t>
      </w:r>
      <w:r>
        <w:rPr>
          <w:spacing w:val="-10"/>
          <w:sz w:val="24"/>
        </w:rPr>
        <w:t> </w:t>
      </w:r>
      <w:r>
        <w:rPr>
          <w:sz w:val="24"/>
        </w:rPr>
        <w:t>supply</w:t>
      </w:r>
      <w:r>
        <w:rPr>
          <w:spacing w:val="-10"/>
          <w:sz w:val="24"/>
        </w:rPr>
        <w:t> </w:t>
      </w:r>
      <w:r>
        <w:rPr>
          <w:sz w:val="24"/>
        </w:rPr>
        <w:t>in</w:t>
      </w:r>
      <w:r>
        <w:rPr>
          <w:spacing w:val="-10"/>
          <w:sz w:val="24"/>
        </w:rPr>
        <w:t> </w:t>
      </w:r>
      <w:r>
        <w:rPr>
          <w:sz w:val="24"/>
        </w:rPr>
        <w:t>the</w:t>
      </w:r>
      <w:r>
        <w:rPr>
          <w:spacing w:val="-10"/>
          <w:sz w:val="24"/>
        </w:rPr>
        <w:t> </w:t>
      </w:r>
      <w:r>
        <w:rPr>
          <w:sz w:val="24"/>
        </w:rPr>
        <w:t>foreign</w:t>
      </w:r>
      <w:r>
        <w:rPr>
          <w:spacing w:val="-10"/>
          <w:sz w:val="24"/>
        </w:rPr>
        <w:t> </w:t>
      </w:r>
      <w:r>
        <w:rPr>
          <w:sz w:val="24"/>
        </w:rPr>
        <w:t>exchange</w:t>
      </w:r>
      <w:r>
        <w:rPr>
          <w:spacing w:val="-10"/>
          <w:sz w:val="24"/>
        </w:rPr>
        <w:t> </w:t>
      </w:r>
      <w:r>
        <w:rPr>
          <w:sz w:val="24"/>
        </w:rPr>
        <w:t>market;</w:t>
      </w:r>
      <w:r>
        <w:rPr>
          <w:spacing w:val="41"/>
          <w:sz w:val="24"/>
        </w:rPr>
        <w:t> </w:t>
      </w:r>
      <w:r>
        <w:rPr>
          <w:sz w:val="24"/>
        </w:rPr>
        <w:t>rather</w:t>
      </w:r>
      <w:r>
        <w:rPr>
          <w:spacing w:val="-9"/>
          <w:sz w:val="24"/>
        </w:rPr>
        <w:t> </w:t>
      </w:r>
      <w:r>
        <w:rPr>
          <w:sz w:val="24"/>
        </w:rPr>
        <w:t>it</w:t>
      </w:r>
      <w:r>
        <w:rPr>
          <w:spacing w:val="-6"/>
          <w:sz w:val="24"/>
        </w:rPr>
        <w:t> </w:t>
      </w:r>
      <w:r>
        <w:rPr>
          <w:sz w:val="24"/>
        </w:rPr>
        <w:t>would</w:t>
      </w:r>
      <w:r>
        <w:rPr>
          <w:spacing w:val="-9"/>
          <w:sz w:val="24"/>
        </w:rPr>
        <w:t> </w:t>
      </w:r>
      <w:r>
        <w:rPr>
          <w:sz w:val="24"/>
        </w:rPr>
        <w:t>help</w:t>
      </w:r>
      <w:r>
        <w:rPr>
          <w:spacing w:val="-10"/>
          <w:sz w:val="24"/>
        </w:rPr>
        <w:t> </w:t>
      </w:r>
      <w:r>
        <w:rPr>
          <w:spacing w:val="2"/>
          <w:sz w:val="24"/>
        </w:rPr>
        <w:t>to</w:t>
      </w:r>
      <w:r>
        <w:rPr>
          <w:spacing w:val="-6"/>
          <w:sz w:val="24"/>
        </w:rPr>
        <w:t> </w:t>
      </w:r>
      <w:r>
        <w:rPr>
          <w:sz w:val="24"/>
        </w:rPr>
        <w:t>underline</w:t>
      </w:r>
      <w:r>
        <w:rPr>
          <w:spacing w:val="-10"/>
          <w:sz w:val="24"/>
        </w:rPr>
        <w:t> </w:t>
      </w:r>
      <w:r>
        <w:rPr>
          <w:sz w:val="24"/>
        </w:rPr>
        <w:t>the</w:t>
      </w:r>
      <w:r>
        <w:rPr>
          <w:spacing w:val="-10"/>
          <w:sz w:val="24"/>
        </w:rPr>
        <w:t> </w:t>
      </w:r>
      <w:r>
        <w:rPr>
          <w:spacing w:val="-3"/>
          <w:sz w:val="24"/>
        </w:rPr>
        <w:t>Committee’s</w:t>
      </w:r>
      <w:r>
        <w:rPr>
          <w:spacing w:val="-10"/>
          <w:sz w:val="24"/>
        </w:rPr>
        <w:t> </w:t>
      </w:r>
      <w:r>
        <w:rPr>
          <w:sz w:val="24"/>
        </w:rPr>
        <w:t>view about the implications of </w:t>
      </w:r>
      <w:r>
        <w:rPr>
          <w:spacing w:val="-3"/>
          <w:sz w:val="24"/>
        </w:rPr>
        <w:t>sterling’s </w:t>
      </w:r>
      <w:r>
        <w:rPr>
          <w:sz w:val="24"/>
        </w:rPr>
        <w:t>strength. However, given that sterling currently seemed well supported in the market, it was not possible </w:t>
      </w:r>
      <w:r>
        <w:rPr>
          <w:spacing w:val="2"/>
          <w:sz w:val="24"/>
        </w:rPr>
        <w:t>to </w:t>
      </w:r>
      <w:r>
        <w:rPr>
          <w:sz w:val="24"/>
        </w:rPr>
        <w:t>be confident that intervention would have the desired</w:t>
      </w:r>
      <w:r>
        <w:rPr>
          <w:spacing w:val="-8"/>
          <w:sz w:val="24"/>
        </w:rPr>
        <w:t> </w:t>
      </w:r>
      <w:r>
        <w:rPr>
          <w:sz w:val="24"/>
        </w:rPr>
        <w:t>effect,</w:t>
      </w:r>
      <w:r>
        <w:rPr>
          <w:spacing w:val="-4"/>
          <w:sz w:val="24"/>
        </w:rPr>
        <w:t> </w:t>
      </w:r>
      <w:r>
        <w:rPr>
          <w:sz w:val="24"/>
        </w:rPr>
        <w:t>and</w:t>
      </w:r>
      <w:r>
        <w:rPr>
          <w:spacing w:val="-8"/>
          <w:sz w:val="24"/>
        </w:rPr>
        <w:t> </w:t>
      </w:r>
      <w:r>
        <w:rPr>
          <w:sz w:val="24"/>
        </w:rPr>
        <w:t>it</w:t>
      </w:r>
      <w:r>
        <w:rPr>
          <w:spacing w:val="-4"/>
          <w:sz w:val="24"/>
        </w:rPr>
        <w:t> </w:t>
      </w:r>
      <w:r>
        <w:rPr>
          <w:sz w:val="24"/>
        </w:rPr>
        <w:t>could</w:t>
      </w:r>
      <w:r>
        <w:rPr>
          <w:spacing w:val="-7"/>
          <w:sz w:val="24"/>
        </w:rPr>
        <w:t> </w:t>
      </w:r>
      <w:r>
        <w:rPr>
          <w:sz w:val="24"/>
        </w:rPr>
        <w:t>possibly</w:t>
      </w:r>
      <w:r>
        <w:rPr>
          <w:spacing w:val="-8"/>
          <w:sz w:val="24"/>
        </w:rPr>
        <w:t> </w:t>
      </w:r>
      <w:r>
        <w:rPr>
          <w:sz w:val="24"/>
        </w:rPr>
        <w:t>have</w:t>
      </w:r>
      <w:r>
        <w:rPr>
          <w:spacing w:val="-8"/>
          <w:sz w:val="24"/>
        </w:rPr>
        <w:t> </w:t>
      </w:r>
      <w:r>
        <w:rPr>
          <w:sz w:val="24"/>
        </w:rPr>
        <w:t>a</w:t>
      </w:r>
      <w:r>
        <w:rPr>
          <w:spacing w:val="-8"/>
          <w:sz w:val="24"/>
        </w:rPr>
        <w:t> </w:t>
      </w:r>
      <w:r>
        <w:rPr>
          <w:sz w:val="24"/>
        </w:rPr>
        <w:t>perverse</w:t>
      </w:r>
      <w:r>
        <w:rPr>
          <w:spacing w:val="-8"/>
          <w:sz w:val="24"/>
        </w:rPr>
        <w:t> </w:t>
      </w:r>
      <w:r>
        <w:rPr>
          <w:sz w:val="24"/>
        </w:rPr>
        <w:t>effect.</w:t>
      </w:r>
      <w:r>
        <w:rPr>
          <w:spacing w:val="49"/>
          <w:sz w:val="24"/>
        </w:rPr>
        <w:t> </w:t>
      </w:r>
      <w:r>
        <w:rPr>
          <w:sz w:val="24"/>
        </w:rPr>
        <w:t>It</w:t>
      </w:r>
      <w:r>
        <w:rPr>
          <w:spacing w:val="-6"/>
          <w:sz w:val="24"/>
        </w:rPr>
        <w:t> </w:t>
      </w:r>
      <w:r>
        <w:rPr>
          <w:sz w:val="24"/>
        </w:rPr>
        <w:t>was</w:t>
      </w:r>
      <w:r>
        <w:rPr>
          <w:spacing w:val="-8"/>
          <w:sz w:val="24"/>
        </w:rPr>
        <w:t> </w:t>
      </w:r>
      <w:r>
        <w:rPr>
          <w:sz w:val="24"/>
        </w:rPr>
        <w:t>also</w:t>
      </w:r>
      <w:r>
        <w:rPr>
          <w:spacing w:val="-7"/>
          <w:sz w:val="24"/>
        </w:rPr>
        <w:t> </w:t>
      </w:r>
      <w:r>
        <w:rPr>
          <w:sz w:val="24"/>
        </w:rPr>
        <w:t>important</w:t>
      </w:r>
      <w:r>
        <w:rPr>
          <w:spacing w:val="-4"/>
          <w:sz w:val="24"/>
        </w:rPr>
        <w:t> </w:t>
      </w:r>
      <w:r>
        <w:rPr>
          <w:sz w:val="24"/>
        </w:rPr>
        <w:t>not</w:t>
      </w:r>
      <w:r>
        <w:rPr>
          <w:spacing w:val="-4"/>
          <w:sz w:val="24"/>
        </w:rPr>
        <w:t> </w:t>
      </w:r>
      <w:r>
        <w:rPr>
          <w:spacing w:val="2"/>
          <w:sz w:val="24"/>
        </w:rPr>
        <w:t>to</w:t>
      </w:r>
      <w:r>
        <w:rPr>
          <w:spacing w:val="-3"/>
          <w:sz w:val="24"/>
        </w:rPr>
        <w:t> </w:t>
      </w:r>
      <w:r>
        <w:rPr>
          <w:sz w:val="24"/>
        </w:rPr>
        <w:t>confuse</w:t>
      </w:r>
      <w:r>
        <w:rPr>
          <w:spacing w:val="-8"/>
          <w:sz w:val="24"/>
        </w:rPr>
        <w:t> </w:t>
      </w:r>
      <w:r>
        <w:rPr>
          <w:sz w:val="24"/>
        </w:rPr>
        <w:t>the market</w:t>
      </w:r>
      <w:r>
        <w:rPr>
          <w:spacing w:val="-7"/>
          <w:sz w:val="24"/>
        </w:rPr>
        <w:t> </w:t>
      </w:r>
      <w:r>
        <w:rPr>
          <w:sz w:val="24"/>
        </w:rPr>
        <w:t>about</w:t>
      </w:r>
      <w:r>
        <w:rPr>
          <w:spacing w:val="-6"/>
          <w:sz w:val="24"/>
        </w:rPr>
        <w:t> </w:t>
      </w:r>
      <w:r>
        <w:rPr>
          <w:sz w:val="24"/>
        </w:rPr>
        <w:t>the</w:t>
      </w:r>
      <w:r>
        <w:rPr>
          <w:spacing w:val="-10"/>
          <w:sz w:val="24"/>
        </w:rPr>
        <w:t> </w:t>
      </w:r>
      <w:r>
        <w:rPr>
          <w:sz w:val="24"/>
        </w:rPr>
        <w:t>role</w:t>
      </w:r>
      <w:r>
        <w:rPr>
          <w:spacing w:val="-9"/>
          <w:sz w:val="24"/>
        </w:rPr>
        <w:t> </w:t>
      </w:r>
      <w:r>
        <w:rPr>
          <w:sz w:val="24"/>
        </w:rPr>
        <w:t>of</w:t>
      </w:r>
      <w:r>
        <w:rPr>
          <w:spacing w:val="-6"/>
          <w:sz w:val="24"/>
        </w:rPr>
        <w:t> </w:t>
      </w:r>
      <w:r>
        <w:rPr>
          <w:sz w:val="24"/>
        </w:rPr>
        <w:t>the</w:t>
      </w:r>
      <w:r>
        <w:rPr>
          <w:spacing w:val="-10"/>
          <w:sz w:val="24"/>
        </w:rPr>
        <w:t> </w:t>
      </w:r>
      <w:r>
        <w:rPr>
          <w:sz w:val="24"/>
        </w:rPr>
        <w:t>exchange</w:t>
      </w:r>
      <w:r>
        <w:rPr>
          <w:spacing w:val="-11"/>
          <w:sz w:val="24"/>
        </w:rPr>
        <w:t> </w:t>
      </w:r>
      <w:r>
        <w:rPr>
          <w:sz w:val="24"/>
        </w:rPr>
        <w:t>rate</w:t>
      </w:r>
      <w:r>
        <w:rPr>
          <w:spacing w:val="-8"/>
          <w:sz w:val="24"/>
        </w:rPr>
        <w:t> </w:t>
      </w:r>
      <w:r>
        <w:rPr>
          <w:sz w:val="24"/>
        </w:rPr>
        <w:t>in</w:t>
      </w:r>
      <w:r>
        <w:rPr>
          <w:spacing w:val="-11"/>
          <w:sz w:val="24"/>
        </w:rPr>
        <w:t> </w:t>
      </w:r>
      <w:r>
        <w:rPr>
          <w:sz w:val="24"/>
        </w:rPr>
        <w:t>the</w:t>
      </w:r>
      <w:r>
        <w:rPr>
          <w:spacing w:val="-10"/>
          <w:sz w:val="24"/>
        </w:rPr>
        <w:t> </w:t>
      </w:r>
      <w:r>
        <w:rPr>
          <w:spacing w:val="-3"/>
          <w:sz w:val="24"/>
        </w:rPr>
        <w:t>Committee’s</w:t>
      </w:r>
      <w:r>
        <w:rPr>
          <w:spacing w:val="-10"/>
          <w:sz w:val="24"/>
        </w:rPr>
        <w:t> </w:t>
      </w:r>
      <w:r>
        <w:rPr>
          <w:sz w:val="24"/>
        </w:rPr>
        <w:t>analysis</w:t>
      </w:r>
      <w:r>
        <w:rPr>
          <w:spacing w:val="-10"/>
          <w:sz w:val="24"/>
        </w:rPr>
        <w:t> </w:t>
      </w:r>
      <w:r>
        <w:rPr>
          <w:sz w:val="24"/>
        </w:rPr>
        <w:t>and</w:t>
      </w:r>
      <w:r>
        <w:rPr>
          <w:spacing w:val="-11"/>
          <w:sz w:val="24"/>
        </w:rPr>
        <w:t> </w:t>
      </w:r>
      <w:r>
        <w:rPr>
          <w:sz w:val="24"/>
        </w:rPr>
        <w:t>reaction</w:t>
      </w:r>
      <w:r>
        <w:rPr>
          <w:spacing w:val="-8"/>
          <w:sz w:val="24"/>
        </w:rPr>
        <w:t> </w:t>
      </w:r>
      <w:r>
        <w:rPr>
          <w:sz w:val="24"/>
        </w:rPr>
        <w:t>function,</w:t>
      </w:r>
      <w:r>
        <w:rPr>
          <w:spacing w:val="-11"/>
          <w:sz w:val="24"/>
        </w:rPr>
        <w:t> </w:t>
      </w:r>
      <w:r>
        <w:rPr>
          <w:sz w:val="24"/>
        </w:rPr>
        <w:t>which were geared </w:t>
      </w:r>
      <w:r>
        <w:rPr>
          <w:spacing w:val="2"/>
          <w:sz w:val="24"/>
        </w:rPr>
        <w:t>to </w:t>
      </w:r>
      <w:r>
        <w:rPr>
          <w:sz w:val="24"/>
        </w:rPr>
        <w:t>the inflation</w:t>
      </w:r>
      <w:r>
        <w:rPr>
          <w:spacing w:val="10"/>
          <w:sz w:val="24"/>
        </w:rPr>
        <w:t> </w:t>
      </w:r>
      <w:r>
        <w:rPr>
          <w:sz w:val="24"/>
        </w:rPr>
        <w:t>target.</w:t>
      </w:r>
    </w:p>
    <w:p>
      <w:pPr>
        <w:pStyle w:val="BodyText"/>
        <w:spacing w:before="1"/>
        <w:rPr>
          <w:sz w:val="37"/>
        </w:rPr>
      </w:pPr>
    </w:p>
    <w:p>
      <w:pPr>
        <w:pStyle w:val="Heading1"/>
      </w:pPr>
      <w:r>
        <w:rPr/>
        <w:t>The immediate policy decision</w:t>
      </w:r>
    </w:p>
    <w:p>
      <w:pPr>
        <w:pStyle w:val="BodyText"/>
        <w:rPr>
          <w:b/>
          <w:sz w:val="26"/>
        </w:rPr>
      </w:pPr>
    </w:p>
    <w:p>
      <w:pPr>
        <w:pStyle w:val="BodyText"/>
        <w:spacing w:before="10"/>
        <w:rPr>
          <w:b/>
          <w:sz w:val="23"/>
        </w:rPr>
      </w:pPr>
    </w:p>
    <w:p>
      <w:pPr>
        <w:pStyle w:val="ListParagraph"/>
        <w:numPr>
          <w:ilvl w:val="0"/>
          <w:numId w:val="1"/>
        </w:numPr>
        <w:tabs>
          <w:tab w:pos="824" w:val="left" w:leader="none"/>
        </w:tabs>
        <w:spacing w:line="372" w:lineRule="auto" w:before="1" w:after="0"/>
        <w:ind w:left="401" w:right="361" w:firstLine="0"/>
        <w:jc w:val="left"/>
        <w:rPr>
          <w:sz w:val="24"/>
        </w:rPr>
      </w:pPr>
      <w:r>
        <w:rPr>
          <w:sz w:val="24"/>
        </w:rPr>
        <w:t>On </w:t>
      </w:r>
      <w:r>
        <w:rPr>
          <w:spacing w:val="2"/>
          <w:sz w:val="24"/>
        </w:rPr>
        <w:t>one </w:t>
      </w:r>
      <w:r>
        <w:rPr>
          <w:sz w:val="24"/>
        </w:rPr>
        <w:t>view, there was not yet a convincing case for a further reduction in interest rates. First,</w:t>
      </w:r>
      <w:r>
        <w:rPr>
          <w:spacing w:val="-6"/>
          <w:sz w:val="24"/>
        </w:rPr>
        <w:t> </w:t>
      </w:r>
      <w:r>
        <w:rPr>
          <w:sz w:val="24"/>
        </w:rPr>
        <w:t>the</w:t>
      </w:r>
      <w:r>
        <w:rPr>
          <w:spacing w:val="-9"/>
          <w:sz w:val="24"/>
        </w:rPr>
        <w:t> </w:t>
      </w:r>
      <w:r>
        <w:rPr>
          <w:sz w:val="24"/>
        </w:rPr>
        <w:t>balance</w:t>
      </w:r>
      <w:r>
        <w:rPr>
          <w:spacing w:val="-9"/>
          <w:sz w:val="24"/>
        </w:rPr>
        <w:t> </w:t>
      </w:r>
      <w:r>
        <w:rPr>
          <w:sz w:val="24"/>
        </w:rPr>
        <w:t>of</w:t>
      </w:r>
      <w:r>
        <w:rPr>
          <w:spacing w:val="-6"/>
          <w:sz w:val="24"/>
        </w:rPr>
        <w:t> </w:t>
      </w:r>
      <w:r>
        <w:rPr>
          <w:sz w:val="24"/>
        </w:rPr>
        <w:t>news</w:t>
      </w:r>
      <w:r>
        <w:rPr>
          <w:spacing w:val="-9"/>
          <w:sz w:val="24"/>
        </w:rPr>
        <w:t> </w:t>
      </w:r>
      <w:r>
        <w:rPr>
          <w:spacing w:val="3"/>
          <w:sz w:val="24"/>
        </w:rPr>
        <w:t>over</w:t>
      </w:r>
      <w:r>
        <w:rPr>
          <w:spacing w:val="-5"/>
          <w:sz w:val="24"/>
        </w:rPr>
        <w:t> </w:t>
      </w:r>
      <w:r>
        <w:rPr>
          <w:sz w:val="24"/>
        </w:rPr>
        <w:t>the</w:t>
      </w:r>
      <w:r>
        <w:rPr>
          <w:spacing w:val="-10"/>
          <w:sz w:val="24"/>
        </w:rPr>
        <w:t> </w:t>
      </w:r>
      <w:r>
        <w:rPr>
          <w:sz w:val="24"/>
        </w:rPr>
        <w:t>month</w:t>
      </w:r>
      <w:r>
        <w:rPr>
          <w:spacing w:val="-9"/>
          <w:sz w:val="24"/>
        </w:rPr>
        <w:t> </w:t>
      </w:r>
      <w:r>
        <w:rPr>
          <w:sz w:val="24"/>
        </w:rPr>
        <w:t>had</w:t>
      </w:r>
      <w:r>
        <w:rPr>
          <w:spacing w:val="-9"/>
          <w:sz w:val="24"/>
        </w:rPr>
        <w:t> </w:t>
      </w:r>
      <w:r>
        <w:rPr>
          <w:sz w:val="24"/>
        </w:rPr>
        <w:t>been</w:t>
      </w:r>
      <w:r>
        <w:rPr>
          <w:spacing w:val="-10"/>
          <w:sz w:val="24"/>
        </w:rPr>
        <w:t> </w:t>
      </w:r>
      <w:r>
        <w:rPr>
          <w:sz w:val="24"/>
        </w:rPr>
        <w:t>broadly</w:t>
      </w:r>
      <w:r>
        <w:rPr>
          <w:spacing w:val="-9"/>
          <w:sz w:val="24"/>
        </w:rPr>
        <w:t> </w:t>
      </w:r>
      <w:r>
        <w:rPr>
          <w:sz w:val="24"/>
        </w:rPr>
        <w:t>neutral.</w:t>
      </w:r>
      <w:r>
        <w:rPr>
          <w:spacing w:val="42"/>
          <w:sz w:val="24"/>
        </w:rPr>
        <w:t> </w:t>
      </w:r>
      <w:r>
        <w:rPr>
          <w:sz w:val="24"/>
        </w:rPr>
        <w:t>While</w:t>
      </w:r>
      <w:r>
        <w:rPr>
          <w:spacing w:val="-10"/>
          <w:sz w:val="24"/>
        </w:rPr>
        <w:t> </w:t>
      </w:r>
      <w:r>
        <w:rPr>
          <w:sz w:val="24"/>
        </w:rPr>
        <w:t>sterling</w:t>
      </w:r>
      <w:r>
        <w:rPr>
          <w:spacing w:val="-9"/>
          <w:sz w:val="24"/>
        </w:rPr>
        <w:t> </w:t>
      </w:r>
      <w:r>
        <w:rPr>
          <w:sz w:val="24"/>
        </w:rPr>
        <w:t>had</w:t>
      </w:r>
      <w:r>
        <w:rPr>
          <w:spacing w:val="-9"/>
          <w:sz w:val="24"/>
        </w:rPr>
        <w:t> </w:t>
      </w:r>
      <w:r>
        <w:rPr>
          <w:sz w:val="24"/>
        </w:rPr>
        <w:t>risen</w:t>
      </w:r>
      <w:r>
        <w:rPr>
          <w:spacing w:val="-8"/>
          <w:sz w:val="24"/>
        </w:rPr>
        <w:t> </w:t>
      </w:r>
      <w:r>
        <w:rPr>
          <w:sz w:val="24"/>
        </w:rPr>
        <w:t>in</w:t>
      </w:r>
      <w:r>
        <w:rPr>
          <w:spacing w:val="-9"/>
          <w:sz w:val="24"/>
        </w:rPr>
        <w:t> </w:t>
      </w:r>
      <w:r>
        <w:rPr>
          <w:sz w:val="24"/>
        </w:rPr>
        <w:t>the past month, part of that reflected the stronger </w:t>
      </w:r>
      <w:r>
        <w:rPr>
          <w:spacing w:val="3"/>
          <w:sz w:val="24"/>
        </w:rPr>
        <w:t>outlook </w:t>
      </w:r>
      <w:r>
        <w:rPr>
          <w:sz w:val="24"/>
        </w:rPr>
        <w:t>for UK </w:t>
      </w:r>
      <w:r>
        <w:rPr>
          <w:spacing w:val="3"/>
          <w:sz w:val="24"/>
        </w:rPr>
        <w:t>output </w:t>
      </w:r>
      <w:r>
        <w:rPr>
          <w:sz w:val="24"/>
        </w:rPr>
        <w:t>growth. Moreover, mortgage credit growth and approvals and </w:t>
      </w:r>
      <w:r>
        <w:rPr>
          <w:spacing w:val="3"/>
          <w:sz w:val="24"/>
        </w:rPr>
        <w:t>other </w:t>
      </w:r>
      <w:r>
        <w:rPr>
          <w:sz w:val="24"/>
        </w:rPr>
        <w:t>housing market indicators were stronger; there was</w:t>
      </w:r>
      <w:r>
        <w:rPr>
          <w:spacing w:val="-4"/>
          <w:sz w:val="24"/>
        </w:rPr>
        <w:t> </w:t>
      </w:r>
      <w:r>
        <w:rPr>
          <w:sz w:val="24"/>
        </w:rPr>
        <w:t>more</w:t>
      </w:r>
      <w:r>
        <w:rPr>
          <w:spacing w:val="-4"/>
          <w:sz w:val="24"/>
        </w:rPr>
        <w:t> </w:t>
      </w:r>
      <w:r>
        <w:rPr>
          <w:sz w:val="24"/>
        </w:rPr>
        <w:t>evidence</w:t>
      </w:r>
      <w:r>
        <w:rPr>
          <w:spacing w:val="-4"/>
          <w:sz w:val="24"/>
        </w:rPr>
        <w:t> </w:t>
      </w:r>
      <w:r>
        <w:rPr>
          <w:sz w:val="24"/>
        </w:rPr>
        <w:t>that the</w:t>
      </w:r>
      <w:r>
        <w:rPr>
          <w:spacing w:val="-4"/>
          <w:sz w:val="24"/>
        </w:rPr>
        <w:t> </w:t>
      </w:r>
      <w:r>
        <w:rPr>
          <w:sz w:val="24"/>
        </w:rPr>
        <w:t>trough</w:t>
      </w:r>
      <w:r>
        <w:rPr>
          <w:spacing w:val="-4"/>
          <w:sz w:val="24"/>
        </w:rPr>
        <w:t> </w:t>
      </w:r>
      <w:r>
        <w:rPr>
          <w:sz w:val="24"/>
        </w:rPr>
        <w:t>in</w:t>
      </w:r>
      <w:r>
        <w:rPr>
          <w:spacing w:val="-4"/>
          <w:sz w:val="24"/>
        </w:rPr>
        <w:t> </w:t>
      </w:r>
      <w:r>
        <w:rPr>
          <w:spacing w:val="3"/>
          <w:sz w:val="24"/>
        </w:rPr>
        <w:t>output</w:t>
      </w:r>
      <w:r>
        <w:rPr>
          <w:spacing w:val="1"/>
          <w:sz w:val="24"/>
        </w:rPr>
        <w:t> </w:t>
      </w:r>
      <w:r>
        <w:rPr>
          <w:sz w:val="24"/>
        </w:rPr>
        <w:t>growth</w:t>
      </w:r>
      <w:r>
        <w:rPr>
          <w:spacing w:val="-4"/>
          <w:sz w:val="24"/>
        </w:rPr>
        <w:t> </w:t>
      </w:r>
      <w:r>
        <w:rPr>
          <w:sz w:val="24"/>
        </w:rPr>
        <w:t>had</w:t>
      </w:r>
      <w:r>
        <w:rPr>
          <w:spacing w:val="-4"/>
          <w:sz w:val="24"/>
        </w:rPr>
        <w:t> </w:t>
      </w:r>
      <w:r>
        <w:rPr>
          <w:sz w:val="24"/>
        </w:rPr>
        <w:t>been</w:t>
      </w:r>
      <w:r>
        <w:rPr>
          <w:spacing w:val="-4"/>
          <w:sz w:val="24"/>
        </w:rPr>
        <w:t> </w:t>
      </w:r>
      <w:r>
        <w:rPr>
          <w:sz w:val="24"/>
        </w:rPr>
        <w:t>passed,</w:t>
      </w:r>
      <w:r>
        <w:rPr>
          <w:spacing w:val="-4"/>
          <w:sz w:val="24"/>
        </w:rPr>
        <w:t> </w:t>
      </w:r>
      <w:r>
        <w:rPr>
          <w:sz w:val="24"/>
        </w:rPr>
        <w:t>so</w:t>
      </w:r>
      <w:r>
        <w:rPr>
          <w:spacing w:val="-4"/>
          <w:sz w:val="24"/>
        </w:rPr>
        <w:t> </w:t>
      </w:r>
      <w:r>
        <w:rPr>
          <w:sz w:val="24"/>
        </w:rPr>
        <w:t>that</w:t>
      </w:r>
      <w:r>
        <w:rPr>
          <w:spacing w:val="1"/>
          <w:sz w:val="24"/>
        </w:rPr>
        <w:t> </w:t>
      </w:r>
      <w:r>
        <w:rPr>
          <w:sz w:val="24"/>
        </w:rPr>
        <w:t>the</w:t>
      </w:r>
      <w:r>
        <w:rPr>
          <w:spacing w:val="-4"/>
          <w:sz w:val="24"/>
        </w:rPr>
        <w:t> </w:t>
      </w:r>
      <w:r>
        <w:rPr>
          <w:spacing w:val="3"/>
          <w:sz w:val="24"/>
        </w:rPr>
        <w:t>outlook</w:t>
      </w:r>
      <w:r>
        <w:rPr>
          <w:sz w:val="24"/>
        </w:rPr>
        <w:t> was</w:t>
      </w:r>
      <w:r>
        <w:rPr>
          <w:spacing w:val="-4"/>
          <w:sz w:val="24"/>
        </w:rPr>
        <w:t> </w:t>
      </w:r>
      <w:r>
        <w:rPr>
          <w:sz w:val="24"/>
        </w:rPr>
        <w:t>now more for a </w:t>
      </w:r>
      <w:r>
        <w:rPr>
          <w:spacing w:val="-5"/>
          <w:sz w:val="24"/>
        </w:rPr>
        <w:t>‘gentle </w:t>
      </w:r>
      <w:r>
        <w:rPr>
          <w:sz w:val="24"/>
        </w:rPr>
        <w:t>take off’ than </w:t>
      </w:r>
      <w:r>
        <w:rPr>
          <w:spacing w:val="-17"/>
          <w:sz w:val="24"/>
        </w:rPr>
        <w:t>‘a </w:t>
      </w:r>
      <w:r>
        <w:rPr>
          <w:sz w:val="24"/>
        </w:rPr>
        <w:t>soft </w:t>
      </w:r>
      <w:r>
        <w:rPr>
          <w:spacing w:val="-4"/>
          <w:sz w:val="24"/>
        </w:rPr>
        <w:t>landing’; </w:t>
      </w:r>
      <w:r>
        <w:rPr>
          <w:sz w:val="24"/>
        </w:rPr>
        <w:t>the labour market was apparently still tight, although</w:t>
      </w:r>
      <w:r>
        <w:rPr>
          <w:spacing w:val="-10"/>
          <w:sz w:val="24"/>
        </w:rPr>
        <w:t> </w:t>
      </w:r>
      <w:r>
        <w:rPr>
          <w:sz w:val="24"/>
        </w:rPr>
        <w:t>the</w:t>
      </w:r>
      <w:r>
        <w:rPr>
          <w:spacing w:val="-10"/>
          <w:sz w:val="24"/>
        </w:rPr>
        <w:t> </w:t>
      </w:r>
      <w:r>
        <w:rPr>
          <w:sz w:val="24"/>
        </w:rPr>
        <w:t>evidence</w:t>
      </w:r>
      <w:r>
        <w:rPr>
          <w:spacing w:val="-10"/>
          <w:sz w:val="24"/>
        </w:rPr>
        <w:t> </w:t>
      </w:r>
      <w:r>
        <w:rPr>
          <w:sz w:val="24"/>
        </w:rPr>
        <w:t>was</w:t>
      </w:r>
      <w:r>
        <w:rPr>
          <w:spacing w:val="-10"/>
          <w:sz w:val="24"/>
        </w:rPr>
        <w:t> </w:t>
      </w:r>
      <w:r>
        <w:rPr>
          <w:sz w:val="24"/>
        </w:rPr>
        <w:t>mixed</w:t>
      </w:r>
      <w:r>
        <w:rPr>
          <w:spacing w:val="-10"/>
          <w:sz w:val="24"/>
        </w:rPr>
        <w:t> </w:t>
      </w:r>
      <w:r>
        <w:rPr>
          <w:sz w:val="24"/>
        </w:rPr>
        <w:t>and</w:t>
      </w:r>
      <w:r>
        <w:rPr>
          <w:spacing w:val="-10"/>
          <w:sz w:val="24"/>
        </w:rPr>
        <w:t> </w:t>
      </w:r>
      <w:r>
        <w:rPr>
          <w:sz w:val="24"/>
        </w:rPr>
        <w:t>hard</w:t>
      </w:r>
      <w:r>
        <w:rPr>
          <w:spacing w:val="-10"/>
          <w:sz w:val="24"/>
        </w:rPr>
        <w:t> </w:t>
      </w:r>
      <w:r>
        <w:rPr>
          <w:spacing w:val="2"/>
          <w:sz w:val="24"/>
        </w:rPr>
        <w:t>to</w:t>
      </w:r>
      <w:r>
        <w:rPr>
          <w:spacing w:val="-6"/>
          <w:sz w:val="24"/>
        </w:rPr>
        <w:t> </w:t>
      </w:r>
      <w:r>
        <w:rPr>
          <w:sz w:val="24"/>
        </w:rPr>
        <w:t>assess;</w:t>
      </w:r>
      <w:r>
        <w:rPr>
          <w:spacing w:val="-10"/>
          <w:sz w:val="24"/>
        </w:rPr>
        <w:t> </w:t>
      </w:r>
      <w:r>
        <w:rPr>
          <w:sz w:val="24"/>
        </w:rPr>
        <w:t>and</w:t>
      </w:r>
      <w:r>
        <w:rPr>
          <w:spacing w:val="-10"/>
          <w:sz w:val="24"/>
        </w:rPr>
        <w:t> </w:t>
      </w:r>
      <w:r>
        <w:rPr>
          <w:sz w:val="24"/>
        </w:rPr>
        <w:t>the</w:t>
      </w:r>
      <w:r>
        <w:rPr>
          <w:spacing w:val="-10"/>
          <w:sz w:val="24"/>
        </w:rPr>
        <w:t> </w:t>
      </w:r>
      <w:r>
        <w:rPr>
          <w:sz w:val="24"/>
        </w:rPr>
        <w:t>falls</w:t>
      </w:r>
      <w:r>
        <w:rPr>
          <w:spacing w:val="-10"/>
          <w:sz w:val="24"/>
        </w:rPr>
        <w:t> </w:t>
      </w:r>
      <w:r>
        <w:rPr>
          <w:sz w:val="24"/>
        </w:rPr>
        <w:t>in</w:t>
      </w:r>
      <w:r>
        <w:rPr>
          <w:spacing w:val="-10"/>
          <w:sz w:val="24"/>
        </w:rPr>
        <w:t> </w:t>
      </w:r>
      <w:r>
        <w:rPr>
          <w:sz w:val="24"/>
        </w:rPr>
        <w:t>commodity</w:t>
      </w:r>
      <w:r>
        <w:rPr>
          <w:spacing w:val="-10"/>
          <w:sz w:val="24"/>
        </w:rPr>
        <w:t> </w:t>
      </w:r>
      <w:r>
        <w:rPr>
          <w:sz w:val="24"/>
        </w:rPr>
        <w:t>and</w:t>
      </w:r>
      <w:r>
        <w:rPr>
          <w:spacing w:val="-10"/>
          <w:sz w:val="24"/>
        </w:rPr>
        <w:t> </w:t>
      </w:r>
      <w:r>
        <w:rPr>
          <w:sz w:val="24"/>
        </w:rPr>
        <w:t>import</w:t>
      </w:r>
      <w:r>
        <w:rPr>
          <w:spacing w:val="-6"/>
          <w:sz w:val="24"/>
        </w:rPr>
        <w:t> </w:t>
      </w:r>
      <w:r>
        <w:rPr>
          <w:sz w:val="24"/>
        </w:rPr>
        <w:t>prices seemed </w:t>
      </w:r>
      <w:r>
        <w:rPr>
          <w:spacing w:val="2"/>
          <w:sz w:val="24"/>
        </w:rPr>
        <w:t>to </w:t>
      </w:r>
      <w:r>
        <w:rPr>
          <w:sz w:val="24"/>
        </w:rPr>
        <w:t>be coming </w:t>
      </w:r>
      <w:r>
        <w:rPr>
          <w:spacing w:val="2"/>
          <w:sz w:val="24"/>
        </w:rPr>
        <w:t>to </w:t>
      </w:r>
      <w:r>
        <w:rPr>
          <w:sz w:val="24"/>
        </w:rPr>
        <w:t>an end. Second, the inflation forecast, which incorporated all the</w:t>
      </w:r>
      <w:r>
        <w:rPr>
          <w:spacing w:val="-29"/>
          <w:sz w:val="24"/>
        </w:rPr>
        <w:t> </w:t>
      </w:r>
      <w:r>
        <w:rPr>
          <w:sz w:val="24"/>
        </w:rPr>
        <w:t>news</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BodyText"/>
        <w:spacing w:line="372" w:lineRule="auto" w:before="90"/>
        <w:ind w:left="401" w:right="333"/>
      </w:pPr>
      <w:r>
        <w:rPr>
          <w:spacing w:val="3"/>
        </w:rPr>
        <w:t>over</w:t>
      </w:r>
      <w:r>
        <w:rPr>
          <w:spacing w:val="-7"/>
        </w:rPr>
        <w:t> </w:t>
      </w:r>
      <w:r>
        <w:rPr/>
        <w:t>the</w:t>
      </w:r>
      <w:r>
        <w:rPr>
          <w:spacing w:val="-11"/>
        </w:rPr>
        <w:t> </w:t>
      </w:r>
      <w:r>
        <w:rPr/>
        <w:t>quarter</w:t>
      </w:r>
      <w:r>
        <w:rPr>
          <w:spacing w:val="-10"/>
        </w:rPr>
        <w:t> </w:t>
      </w:r>
      <w:r>
        <w:rPr/>
        <w:t>including</w:t>
      </w:r>
      <w:r>
        <w:rPr>
          <w:spacing w:val="-11"/>
        </w:rPr>
        <w:t> </w:t>
      </w:r>
      <w:r>
        <w:rPr>
          <w:spacing w:val="-3"/>
        </w:rPr>
        <w:t>sterling’s</w:t>
      </w:r>
      <w:r>
        <w:rPr>
          <w:spacing w:val="-10"/>
        </w:rPr>
        <w:t> </w:t>
      </w:r>
      <w:r>
        <w:rPr/>
        <w:t>sharp</w:t>
      </w:r>
      <w:r>
        <w:rPr>
          <w:spacing w:val="-11"/>
        </w:rPr>
        <w:t> </w:t>
      </w:r>
      <w:r>
        <w:rPr/>
        <w:t>rise,</w:t>
      </w:r>
      <w:r>
        <w:rPr>
          <w:spacing w:val="-9"/>
        </w:rPr>
        <w:t> </w:t>
      </w:r>
      <w:r>
        <w:rPr/>
        <w:t>did</w:t>
      </w:r>
      <w:r>
        <w:rPr>
          <w:spacing w:val="-10"/>
        </w:rPr>
        <w:t> </w:t>
      </w:r>
      <w:r>
        <w:rPr/>
        <w:t>not</w:t>
      </w:r>
      <w:r>
        <w:rPr>
          <w:spacing w:val="-7"/>
        </w:rPr>
        <w:t> </w:t>
      </w:r>
      <w:r>
        <w:rPr/>
        <w:t>decisively</w:t>
      </w:r>
      <w:r>
        <w:rPr>
          <w:spacing w:val="-10"/>
        </w:rPr>
        <w:t> </w:t>
      </w:r>
      <w:r>
        <w:rPr/>
        <w:t>point</w:t>
      </w:r>
      <w:r>
        <w:rPr>
          <w:spacing w:val="-7"/>
        </w:rPr>
        <w:t> </w:t>
      </w:r>
      <w:r>
        <w:rPr>
          <w:spacing w:val="2"/>
        </w:rPr>
        <w:t>to</w:t>
      </w:r>
      <w:r>
        <w:rPr>
          <w:spacing w:val="-6"/>
        </w:rPr>
        <w:t> </w:t>
      </w:r>
      <w:r>
        <w:rPr/>
        <w:t>an</w:t>
      </w:r>
      <w:r>
        <w:rPr>
          <w:spacing w:val="-11"/>
        </w:rPr>
        <w:t> </w:t>
      </w:r>
      <w:r>
        <w:rPr/>
        <w:t>interest</w:t>
      </w:r>
      <w:r>
        <w:rPr>
          <w:spacing w:val="-6"/>
        </w:rPr>
        <w:t> </w:t>
      </w:r>
      <w:r>
        <w:rPr/>
        <w:t>rate</w:t>
      </w:r>
      <w:r>
        <w:rPr>
          <w:spacing w:val="-9"/>
        </w:rPr>
        <w:t> </w:t>
      </w:r>
      <w:r>
        <w:rPr/>
        <w:t>reduction. Two years </w:t>
      </w:r>
      <w:r>
        <w:rPr>
          <w:spacing w:val="3"/>
        </w:rPr>
        <w:t>out, </w:t>
      </w:r>
      <w:r>
        <w:rPr/>
        <w:t>the central projection (the mode) was near the target but rising, and with the balance of risks on the upside. If rates were </w:t>
      </w:r>
      <w:r>
        <w:rPr>
          <w:spacing w:val="2"/>
        </w:rPr>
        <w:t>to </w:t>
      </w:r>
      <w:r>
        <w:rPr/>
        <w:t>be reduced by a further 25 basis points, both the mode and the mean would be above the target at two years. Thus, any immediate reduction in rates</w:t>
      </w:r>
      <w:r>
        <w:rPr>
          <w:spacing w:val="-11"/>
        </w:rPr>
        <w:t> </w:t>
      </w:r>
      <w:r>
        <w:rPr/>
        <w:t>would</w:t>
      </w:r>
      <w:r>
        <w:rPr>
          <w:spacing w:val="-12"/>
        </w:rPr>
        <w:t> </w:t>
      </w:r>
      <w:r>
        <w:rPr/>
        <w:t>probably</w:t>
      </w:r>
      <w:r>
        <w:rPr>
          <w:spacing w:val="-11"/>
        </w:rPr>
        <w:t> </w:t>
      </w:r>
      <w:r>
        <w:rPr/>
        <w:t>be</w:t>
      </w:r>
      <w:r>
        <w:rPr>
          <w:spacing w:val="-12"/>
        </w:rPr>
        <w:t> </w:t>
      </w:r>
      <w:r>
        <w:rPr>
          <w:spacing w:val="2"/>
        </w:rPr>
        <w:t>short-lived,</w:t>
      </w:r>
      <w:r>
        <w:rPr>
          <w:spacing w:val="-10"/>
        </w:rPr>
        <w:t> </w:t>
      </w:r>
      <w:r>
        <w:rPr/>
        <w:t>especially</w:t>
      </w:r>
      <w:r>
        <w:rPr>
          <w:spacing w:val="-12"/>
        </w:rPr>
        <w:t> </w:t>
      </w:r>
      <w:r>
        <w:rPr/>
        <w:t>if</w:t>
      </w:r>
      <w:r>
        <w:rPr>
          <w:spacing w:val="-12"/>
        </w:rPr>
        <w:t> </w:t>
      </w:r>
      <w:r>
        <w:rPr/>
        <w:t>sterling</w:t>
      </w:r>
      <w:r>
        <w:rPr>
          <w:spacing w:val="-12"/>
        </w:rPr>
        <w:t> </w:t>
      </w:r>
      <w:r>
        <w:rPr/>
        <w:t>fell</w:t>
      </w:r>
      <w:r>
        <w:rPr>
          <w:spacing w:val="-11"/>
        </w:rPr>
        <w:t> </w:t>
      </w:r>
      <w:r>
        <w:rPr/>
        <w:t>back,</w:t>
      </w:r>
      <w:r>
        <w:rPr>
          <w:spacing w:val="-12"/>
        </w:rPr>
        <w:t> </w:t>
      </w:r>
      <w:r>
        <w:rPr/>
        <w:t>as</w:t>
      </w:r>
      <w:r>
        <w:rPr>
          <w:spacing w:val="-12"/>
        </w:rPr>
        <w:t> </w:t>
      </w:r>
      <w:r>
        <w:rPr/>
        <w:t>assumed</w:t>
      </w:r>
      <w:r>
        <w:rPr>
          <w:spacing w:val="-12"/>
        </w:rPr>
        <w:t> </w:t>
      </w:r>
      <w:r>
        <w:rPr/>
        <w:t>in</w:t>
      </w:r>
      <w:r>
        <w:rPr>
          <w:spacing w:val="-12"/>
        </w:rPr>
        <w:t> </w:t>
      </w:r>
      <w:r>
        <w:rPr/>
        <w:t>the</w:t>
      </w:r>
      <w:r>
        <w:rPr>
          <w:spacing w:val="-11"/>
        </w:rPr>
        <w:t> </w:t>
      </w:r>
      <w:r>
        <w:rPr/>
        <w:t>projections.</w:t>
      </w:r>
    </w:p>
    <w:p>
      <w:pPr>
        <w:pStyle w:val="BodyText"/>
        <w:spacing w:line="372" w:lineRule="auto"/>
        <w:ind w:left="401" w:right="381"/>
      </w:pPr>
      <w:r>
        <w:rPr/>
        <w:t>Third,</w:t>
      </w:r>
      <w:r>
        <w:rPr>
          <w:spacing w:val="-7"/>
        </w:rPr>
        <w:t> </w:t>
      </w:r>
      <w:r>
        <w:rPr/>
        <w:t>it</w:t>
      </w:r>
      <w:r>
        <w:rPr>
          <w:spacing w:val="-3"/>
        </w:rPr>
        <w:t> </w:t>
      </w:r>
      <w:r>
        <w:rPr/>
        <w:t>was</w:t>
      </w:r>
      <w:r>
        <w:rPr>
          <w:spacing w:val="-8"/>
        </w:rPr>
        <w:t> </w:t>
      </w:r>
      <w:r>
        <w:rPr/>
        <w:t>important</w:t>
      </w:r>
      <w:r>
        <w:rPr>
          <w:spacing w:val="-4"/>
        </w:rPr>
        <w:t> </w:t>
      </w:r>
      <w:r>
        <w:rPr/>
        <w:t>not</w:t>
      </w:r>
      <w:r>
        <w:rPr>
          <w:spacing w:val="-3"/>
        </w:rPr>
        <w:t> </w:t>
      </w:r>
      <w:r>
        <w:rPr>
          <w:spacing w:val="2"/>
        </w:rPr>
        <w:t>to</w:t>
      </w:r>
      <w:r>
        <w:rPr>
          <w:spacing w:val="-4"/>
        </w:rPr>
        <w:t> </w:t>
      </w:r>
      <w:r>
        <w:rPr/>
        <w:t>create</w:t>
      </w:r>
      <w:r>
        <w:rPr>
          <w:spacing w:val="-8"/>
        </w:rPr>
        <w:t> </w:t>
      </w:r>
      <w:r>
        <w:rPr/>
        <w:t>confusion</w:t>
      </w:r>
      <w:r>
        <w:rPr>
          <w:spacing w:val="-8"/>
        </w:rPr>
        <w:t> </w:t>
      </w:r>
      <w:r>
        <w:rPr/>
        <w:t>about</w:t>
      </w:r>
      <w:r>
        <w:rPr>
          <w:spacing w:val="-3"/>
        </w:rPr>
        <w:t> </w:t>
      </w:r>
      <w:r>
        <w:rPr/>
        <w:t>how</w:t>
      </w:r>
      <w:r>
        <w:rPr>
          <w:spacing w:val="-8"/>
        </w:rPr>
        <w:t> </w:t>
      </w:r>
      <w:r>
        <w:rPr/>
        <w:t>the</w:t>
      </w:r>
      <w:r>
        <w:rPr>
          <w:spacing w:val="-8"/>
        </w:rPr>
        <w:t> </w:t>
      </w:r>
      <w:r>
        <w:rPr/>
        <w:t>Committee</w:t>
      </w:r>
      <w:r>
        <w:rPr>
          <w:spacing w:val="-8"/>
        </w:rPr>
        <w:t> </w:t>
      </w:r>
      <w:r>
        <w:rPr/>
        <w:t>analysed</w:t>
      </w:r>
      <w:r>
        <w:rPr>
          <w:spacing w:val="-7"/>
        </w:rPr>
        <w:t> </w:t>
      </w:r>
      <w:r>
        <w:rPr/>
        <w:t>and</w:t>
      </w:r>
      <w:r>
        <w:rPr>
          <w:spacing w:val="-8"/>
        </w:rPr>
        <w:t> </w:t>
      </w:r>
      <w:r>
        <w:rPr/>
        <w:t>responded </w:t>
      </w:r>
      <w:r>
        <w:rPr>
          <w:spacing w:val="2"/>
        </w:rPr>
        <w:t>to </w:t>
      </w:r>
      <w:r>
        <w:rPr/>
        <w:t>exchange rate changes. There were dangers in appearing </w:t>
      </w:r>
      <w:r>
        <w:rPr>
          <w:spacing w:val="2"/>
        </w:rPr>
        <w:t>to </w:t>
      </w:r>
      <w:r>
        <w:rPr/>
        <w:t>change interest rates in response to high</w:t>
      </w:r>
      <w:r>
        <w:rPr>
          <w:spacing w:val="-13"/>
        </w:rPr>
        <w:t> </w:t>
      </w:r>
      <w:r>
        <w:rPr/>
        <w:t>frequency</w:t>
      </w:r>
      <w:r>
        <w:rPr>
          <w:spacing w:val="-13"/>
        </w:rPr>
        <w:t> </w:t>
      </w:r>
      <w:r>
        <w:rPr/>
        <w:t>movements</w:t>
      </w:r>
      <w:r>
        <w:rPr>
          <w:spacing w:val="-13"/>
        </w:rPr>
        <w:t> </w:t>
      </w:r>
      <w:r>
        <w:rPr/>
        <w:t>in</w:t>
      </w:r>
      <w:r>
        <w:rPr>
          <w:spacing w:val="-13"/>
        </w:rPr>
        <w:t> </w:t>
      </w:r>
      <w:r>
        <w:rPr/>
        <w:t>the</w:t>
      </w:r>
      <w:r>
        <w:rPr>
          <w:spacing w:val="-13"/>
        </w:rPr>
        <w:t> </w:t>
      </w:r>
      <w:r>
        <w:rPr/>
        <w:t>exchange</w:t>
      </w:r>
      <w:r>
        <w:rPr>
          <w:spacing w:val="-13"/>
        </w:rPr>
        <w:t> </w:t>
      </w:r>
      <w:r>
        <w:rPr/>
        <w:t>rate.</w:t>
      </w:r>
      <w:r>
        <w:rPr>
          <w:spacing w:val="36"/>
        </w:rPr>
        <w:t> </w:t>
      </w:r>
      <w:r>
        <w:rPr/>
        <w:t>In</w:t>
      </w:r>
      <w:r>
        <w:rPr>
          <w:spacing w:val="-12"/>
        </w:rPr>
        <w:t> </w:t>
      </w:r>
      <w:r>
        <w:rPr/>
        <w:t>particular,</w:t>
      </w:r>
      <w:r>
        <w:rPr>
          <w:spacing w:val="-13"/>
        </w:rPr>
        <w:t> </w:t>
      </w:r>
      <w:r>
        <w:rPr/>
        <w:t>it</w:t>
      </w:r>
      <w:r>
        <w:rPr>
          <w:spacing w:val="-9"/>
        </w:rPr>
        <w:t> </w:t>
      </w:r>
      <w:r>
        <w:rPr/>
        <w:t>would</w:t>
      </w:r>
      <w:r>
        <w:rPr>
          <w:spacing w:val="-13"/>
        </w:rPr>
        <w:t> </w:t>
      </w:r>
      <w:r>
        <w:rPr/>
        <w:t>be</w:t>
      </w:r>
      <w:r>
        <w:rPr>
          <w:spacing w:val="-13"/>
        </w:rPr>
        <w:t> </w:t>
      </w:r>
      <w:r>
        <w:rPr/>
        <w:t>highly</w:t>
      </w:r>
      <w:r>
        <w:rPr>
          <w:spacing w:val="-13"/>
        </w:rPr>
        <w:t> </w:t>
      </w:r>
      <w:r>
        <w:rPr/>
        <w:t>undesirable</w:t>
      </w:r>
      <w:r>
        <w:rPr>
          <w:spacing w:val="-13"/>
        </w:rPr>
        <w:t> </w:t>
      </w:r>
      <w:r>
        <w:rPr/>
        <w:t>if</w:t>
      </w:r>
      <w:r>
        <w:rPr>
          <w:spacing w:val="-13"/>
        </w:rPr>
        <w:t> </w:t>
      </w:r>
      <w:r>
        <w:rPr/>
        <w:t>the market</w:t>
      </w:r>
      <w:r>
        <w:rPr>
          <w:spacing w:val="-6"/>
        </w:rPr>
        <w:t> </w:t>
      </w:r>
      <w:r>
        <w:rPr/>
        <w:t>reached</w:t>
      </w:r>
      <w:r>
        <w:rPr>
          <w:spacing w:val="-9"/>
        </w:rPr>
        <w:t> </w:t>
      </w:r>
      <w:r>
        <w:rPr/>
        <w:t>the</w:t>
      </w:r>
      <w:r>
        <w:rPr>
          <w:spacing w:val="-10"/>
        </w:rPr>
        <w:t> </w:t>
      </w:r>
      <w:r>
        <w:rPr/>
        <w:t>mistaken</w:t>
      </w:r>
      <w:r>
        <w:rPr>
          <w:spacing w:val="-10"/>
        </w:rPr>
        <w:t> </w:t>
      </w:r>
      <w:r>
        <w:rPr/>
        <w:t>conclusion</w:t>
      </w:r>
      <w:r>
        <w:rPr>
          <w:spacing w:val="-10"/>
        </w:rPr>
        <w:t> </w:t>
      </w:r>
      <w:r>
        <w:rPr/>
        <w:t>that</w:t>
      </w:r>
      <w:r>
        <w:rPr>
          <w:spacing w:val="-6"/>
        </w:rPr>
        <w:t> </w:t>
      </w:r>
      <w:r>
        <w:rPr/>
        <w:t>the</w:t>
      </w:r>
      <w:r>
        <w:rPr>
          <w:spacing w:val="-10"/>
        </w:rPr>
        <w:t> </w:t>
      </w:r>
      <w:r>
        <w:rPr/>
        <w:t>Committee</w:t>
      </w:r>
      <w:r>
        <w:rPr>
          <w:spacing w:val="-10"/>
        </w:rPr>
        <w:t> </w:t>
      </w:r>
      <w:r>
        <w:rPr/>
        <w:t>had</w:t>
      </w:r>
      <w:r>
        <w:rPr>
          <w:spacing w:val="-10"/>
        </w:rPr>
        <w:t> </w:t>
      </w:r>
      <w:r>
        <w:rPr/>
        <w:t>a</w:t>
      </w:r>
      <w:r>
        <w:rPr>
          <w:spacing w:val="-10"/>
        </w:rPr>
        <w:t> </w:t>
      </w:r>
      <w:r>
        <w:rPr/>
        <w:t>simple</w:t>
      </w:r>
      <w:r>
        <w:rPr>
          <w:spacing w:val="-10"/>
        </w:rPr>
        <w:t> </w:t>
      </w:r>
      <w:r>
        <w:rPr/>
        <w:t>rule</w:t>
      </w:r>
      <w:r>
        <w:rPr>
          <w:spacing w:val="-8"/>
        </w:rPr>
        <w:t> </w:t>
      </w:r>
      <w:r>
        <w:rPr/>
        <w:t>of</w:t>
      </w:r>
      <w:r>
        <w:rPr>
          <w:spacing w:val="-6"/>
        </w:rPr>
        <w:t> </w:t>
      </w:r>
      <w:r>
        <w:rPr/>
        <w:t>thumb</w:t>
      </w:r>
      <w:r>
        <w:rPr>
          <w:spacing w:val="-10"/>
        </w:rPr>
        <w:t> </w:t>
      </w:r>
      <w:r>
        <w:rPr/>
        <w:t>for</w:t>
      </w:r>
      <w:r>
        <w:rPr>
          <w:spacing w:val="-10"/>
        </w:rPr>
        <w:t> </w:t>
      </w:r>
      <w:r>
        <w:rPr/>
        <w:t>trading </w:t>
      </w:r>
      <w:r>
        <w:rPr>
          <w:spacing w:val="2"/>
        </w:rPr>
        <w:t>off </w:t>
      </w:r>
      <w:r>
        <w:rPr/>
        <w:t>interest rate changes against exchange rate changes. A further reduction in interest rates could not be ruled </w:t>
      </w:r>
      <w:r>
        <w:rPr>
          <w:spacing w:val="2"/>
        </w:rPr>
        <w:t>out </w:t>
      </w:r>
      <w:r>
        <w:rPr/>
        <w:t>if the risks of undershooting the inflation target increased. But it would be better </w:t>
      </w:r>
      <w:r>
        <w:rPr>
          <w:spacing w:val="2"/>
        </w:rPr>
        <w:t>to </w:t>
      </w:r>
      <w:r>
        <w:rPr/>
        <w:t>see more evidence on the position of the labour market and on domestic inflationary pressures generally,</w:t>
      </w:r>
      <w:r>
        <w:rPr>
          <w:spacing w:val="-14"/>
        </w:rPr>
        <w:t> </w:t>
      </w:r>
      <w:r>
        <w:rPr/>
        <w:t>and</w:t>
      </w:r>
      <w:r>
        <w:rPr>
          <w:spacing w:val="-14"/>
        </w:rPr>
        <w:t> </w:t>
      </w:r>
      <w:r>
        <w:rPr/>
        <w:t>whether</w:t>
      </w:r>
      <w:r>
        <w:rPr>
          <w:spacing w:val="-13"/>
        </w:rPr>
        <w:t> </w:t>
      </w:r>
      <w:r>
        <w:rPr>
          <w:spacing w:val="-3"/>
        </w:rPr>
        <w:t>sterling’s</w:t>
      </w:r>
      <w:r>
        <w:rPr>
          <w:spacing w:val="-14"/>
        </w:rPr>
        <w:t> </w:t>
      </w:r>
      <w:r>
        <w:rPr/>
        <w:t>strength</w:t>
      </w:r>
      <w:r>
        <w:rPr>
          <w:spacing w:val="-13"/>
        </w:rPr>
        <w:t> </w:t>
      </w:r>
      <w:r>
        <w:rPr/>
        <w:t>persisted.</w:t>
      </w:r>
      <w:r>
        <w:rPr>
          <w:spacing w:val="33"/>
        </w:rPr>
        <w:t> </w:t>
      </w:r>
      <w:r>
        <w:rPr/>
        <w:t>A</w:t>
      </w:r>
      <w:r>
        <w:rPr>
          <w:spacing w:val="-14"/>
        </w:rPr>
        <w:t> </w:t>
      </w:r>
      <w:r>
        <w:rPr/>
        <w:t>statement</w:t>
      </w:r>
      <w:r>
        <w:rPr>
          <w:spacing w:val="-10"/>
        </w:rPr>
        <w:t> </w:t>
      </w:r>
      <w:r>
        <w:rPr/>
        <w:t>explaining</w:t>
      </w:r>
      <w:r>
        <w:rPr>
          <w:spacing w:val="-13"/>
        </w:rPr>
        <w:t> </w:t>
      </w:r>
      <w:r>
        <w:rPr/>
        <w:t>that</w:t>
      </w:r>
      <w:r>
        <w:rPr>
          <w:spacing w:val="-10"/>
        </w:rPr>
        <w:t> </w:t>
      </w:r>
      <w:r>
        <w:rPr/>
        <w:t>policy</w:t>
      </w:r>
      <w:r>
        <w:rPr>
          <w:spacing w:val="-14"/>
        </w:rPr>
        <w:t> </w:t>
      </w:r>
      <w:r>
        <w:rPr/>
        <w:t>might</w:t>
      </w:r>
      <w:r>
        <w:rPr>
          <w:spacing w:val="-10"/>
        </w:rPr>
        <w:t> </w:t>
      </w:r>
      <w:r>
        <w:rPr/>
        <w:t>need </w:t>
      </w:r>
      <w:r>
        <w:rPr>
          <w:spacing w:val="2"/>
        </w:rPr>
        <w:t>to </w:t>
      </w:r>
      <w:r>
        <w:rPr/>
        <w:t>be eased further if sterling remained so high would therefore be</w:t>
      </w:r>
      <w:r>
        <w:rPr>
          <w:spacing w:val="-7"/>
        </w:rPr>
        <w:t> </w:t>
      </w:r>
      <w:r>
        <w:rPr/>
        <w:t>useful.</w:t>
      </w:r>
    </w:p>
    <w:p>
      <w:pPr>
        <w:pStyle w:val="BodyText"/>
        <w:spacing w:before="5"/>
        <w:rPr>
          <w:sz w:val="36"/>
        </w:rPr>
      </w:pPr>
    </w:p>
    <w:p>
      <w:pPr>
        <w:pStyle w:val="ListParagraph"/>
        <w:numPr>
          <w:ilvl w:val="0"/>
          <w:numId w:val="1"/>
        </w:numPr>
        <w:tabs>
          <w:tab w:pos="824" w:val="left" w:leader="none"/>
        </w:tabs>
        <w:spacing w:line="372" w:lineRule="auto" w:before="0" w:after="0"/>
        <w:ind w:left="401" w:right="308" w:firstLine="0"/>
        <w:jc w:val="left"/>
        <w:rPr>
          <w:sz w:val="24"/>
        </w:rPr>
      </w:pPr>
      <w:r>
        <w:rPr>
          <w:sz w:val="24"/>
        </w:rPr>
        <w:t>On a second view there was a clearer case for an immediate further reduction of 25 basis points. The central projection was below target throughout the forecast period.  Moreover, contrary </w:t>
      </w:r>
      <w:r>
        <w:rPr>
          <w:spacing w:val="2"/>
          <w:sz w:val="24"/>
        </w:rPr>
        <w:t>to </w:t>
      </w:r>
      <w:r>
        <w:rPr>
          <w:sz w:val="24"/>
        </w:rPr>
        <w:t>the majority view as reflected in the </w:t>
      </w:r>
      <w:r>
        <w:rPr>
          <w:i/>
          <w:sz w:val="24"/>
        </w:rPr>
        <w:t>Inflation Report </w:t>
      </w:r>
      <w:r>
        <w:rPr>
          <w:sz w:val="24"/>
        </w:rPr>
        <w:t>fan chart, the balance of risks to inflation was on the downside. There were not good grounds for expecting sterling </w:t>
      </w:r>
      <w:r>
        <w:rPr>
          <w:spacing w:val="2"/>
          <w:sz w:val="24"/>
        </w:rPr>
        <w:t>to </w:t>
      </w:r>
      <w:r>
        <w:rPr>
          <w:sz w:val="24"/>
        </w:rPr>
        <w:t>fall by more than implied by interest rate differentials - on the contrary it was plausible that it would remain strong given the range of factors supporting it; the risks </w:t>
      </w:r>
      <w:r>
        <w:rPr>
          <w:spacing w:val="2"/>
          <w:sz w:val="24"/>
        </w:rPr>
        <w:t>to </w:t>
      </w:r>
      <w:r>
        <w:rPr>
          <w:sz w:val="24"/>
        </w:rPr>
        <w:t>world activity and prices were on the downside; and there could be greater pressure on margins than assumed in the central projection. The</w:t>
      </w:r>
      <w:r>
        <w:rPr>
          <w:spacing w:val="-7"/>
          <w:sz w:val="24"/>
        </w:rPr>
        <w:t> </w:t>
      </w:r>
      <w:r>
        <w:rPr>
          <w:sz w:val="24"/>
        </w:rPr>
        <w:t>current</w:t>
      </w:r>
      <w:r>
        <w:rPr>
          <w:spacing w:val="-4"/>
          <w:sz w:val="24"/>
        </w:rPr>
        <w:t> </w:t>
      </w:r>
      <w:r>
        <w:rPr>
          <w:sz w:val="24"/>
        </w:rPr>
        <w:t>stance</w:t>
      </w:r>
      <w:r>
        <w:rPr>
          <w:spacing w:val="-9"/>
          <w:sz w:val="24"/>
        </w:rPr>
        <w:t> </w:t>
      </w:r>
      <w:r>
        <w:rPr>
          <w:sz w:val="24"/>
        </w:rPr>
        <w:t>of</w:t>
      </w:r>
      <w:r>
        <w:rPr>
          <w:spacing w:val="-4"/>
          <w:sz w:val="24"/>
        </w:rPr>
        <w:t> </w:t>
      </w:r>
      <w:r>
        <w:rPr>
          <w:sz w:val="24"/>
        </w:rPr>
        <w:t>policy</w:t>
      </w:r>
      <w:r>
        <w:rPr>
          <w:spacing w:val="-9"/>
          <w:sz w:val="24"/>
        </w:rPr>
        <w:t> </w:t>
      </w:r>
      <w:r>
        <w:rPr>
          <w:sz w:val="24"/>
        </w:rPr>
        <w:t>was</w:t>
      </w:r>
      <w:r>
        <w:rPr>
          <w:spacing w:val="-8"/>
          <w:sz w:val="24"/>
        </w:rPr>
        <w:t> </w:t>
      </w:r>
      <w:r>
        <w:rPr>
          <w:sz w:val="24"/>
        </w:rPr>
        <w:t>still</w:t>
      </w:r>
      <w:r>
        <w:rPr>
          <w:spacing w:val="-8"/>
          <w:sz w:val="24"/>
        </w:rPr>
        <w:t> </w:t>
      </w:r>
      <w:r>
        <w:rPr>
          <w:sz w:val="24"/>
        </w:rPr>
        <w:t>restrictive.</w:t>
      </w:r>
      <w:r>
        <w:rPr>
          <w:spacing w:val="45"/>
          <w:sz w:val="24"/>
        </w:rPr>
        <w:t> </w:t>
      </w:r>
      <w:r>
        <w:rPr>
          <w:sz w:val="24"/>
        </w:rPr>
        <w:t>A</w:t>
      </w:r>
      <w:r>
        <w:rPr>
          <w:spacing w:val="-9"/>
          <w:sz w:val="24"/>
        </w:rPr>
        <w:t> </w:t>
      </w:r>
      <w:r>
        <w:rPr>
          <w:sz w:val="24"/>
        </w:rPr>
        <w:t>statement</w:t>
      </w:r>
      <w:r>
        <w:rPr>
          <w:spacing w:val="-4"/>
          <w:sz w:val="24"/>
        </w:rPr>
        <w:t> </w:t>
      </w:r>
      <w:r>
        <w:rPr>
          <w:sz w:val="24"/>
        </w:rPr>
        <w:t>connecting</w:t>
      </w:r>
      <w:r>
        <w:rPr>
          <w:spacing w:val="-8"/>
          <w:sz w:val="24"/>
        </w:rPr>
        <w:t> </w:t>
      </w:r>
      <w:r>
        <w:rPr>
          <w:sz w:val="24"/>
        </w:rPr>
        <w:t>a</w:t>
      </w:r>
      <w:r>
        <w:rPr>
          <w:spacing w:val="-9"/>
          <w:sz w:val="24"/>
        </w:rPr>
        <w:t> </w:t>
      </w:r>
      <w:r>
        <w:rPr>
          <w:sz w:val="24"/>
        </w:rPr>
        <w:t>cut</w:t>
      </w:r>
      <w:r>
        <w:rPr>
          <w:spacing w:val="-4"/>
          <w:sz w:val="24"/>
        </w:rPr>
        <w:t> </w:t>
      </w:r>
      <w:r>
        <w:rPr>
          <w:spacing w:val="2"/>
          <w:sz w:val="24"/>
        </w:rPr>
        <w:t>to</w:t>
      </w:r>
      <w:r>
        <w:rPr>
          <w:spacing w:val="-4"/>
          <w:sz w:val="24"/>
        </w:rPr>
        <w:t> </w:t>
      </w:r>
      <w:r>
        <w:rPr>
          <w:spacing w:val="-3"/>
          <w:sz w:val="24"/>
        </w:rPr>
        <w:t>sterling’s</w:t>
      </w:r>
      <w:r>
        <w:rPr>
          <w:spacing w:val="-9"/>
          <w:sz w:val="24"/>
        </w:rPr>
        <w:t> </w:t>
      </w:r>
      <w:r>
        <w:rPr>
          <w:sz w:val="24"/>
        </w:rPr>
        <w:t>strength would also be desirable, possibly combined with</w:t>
      </w:r>
      <w:r>
        <w:rPr>
          <w:spacing w:val="-4"/>
          <w:sz w:val="24"/>
        </w:rPr>
        <w:t> </w:t>
      </w:r>
      <w:r>
        <w:rPr>
          <w:sz w:val="24"/>
        </w:rPr>
        <w:t>intervention.</w:t>
      </w:r>
    </w:p>
    <w:p>
      <w:pPr>
        <w:pStyle w:val="BodyText"/>
        <w:spacing w:before="8"/>
        <w:rPr>
          <w:sz w:val="36"/>
        </w:rPr>
      </w:pPr>
    </w:p>
    <w:p>
      <w:pPr>
        <w:pStyle w:val="ListParagraph"/>
        <w:numPr>
          <w:ilvl w:val="0"/>
          <w:numId w:val="1"/>
        </w:numPr>
        <w:tabs>
          <w:tab w:pos="824" w:val="left" w:leader="none"/>
        </w:tabs>
        <w:spacing w:line="372" w:lineRule="auto" w:before="0" w:after="0"/>
        <w:ind w:left="401" w:right="443" w:firstLine="0"/>
        <w:jc w:val="left"/>
        <w:rPr>
          <w:sz w:val="24"/>
        </w:rPr>
      </w:pPr>
      <w:r>
        <w:rPr>
          <w:sz w:val="24"/>
        </w:rPr>
        <w:t>In</w:t>
      </w:r>
      <w:r>
        <w:rPr>
          <w:spacing w:val="-9"/>
          <w:sz w:val="24"/>
        </w:rPr>
        <w:t> </w:t>
      </w:r>
      <w:r>
        <w:rPr>
          <w:sz w:val="24"/>
        </w:rPr>
        <w:t>the</w:t>
      </w:r>
      <w:r>
        <w:rPr>
          <w:spacing w:val="-10"/>
          <w:sz w:val="24"/>
        </w:rPr>
        <w:t> </w:t>
      </w:r>
      <w:r>
        <w:rPr>
          <w:sz w:val="24"/>
        </w:rPr>
        <w:t>view</w:t>
      </w:r>
      <w:r>
        <w:rPr>
          <w:spacing w:val="-11"/>
          <w:sz w:val="24"/>
        </w:rPr>
        <w:t> </w:t>
      </w:r>
      <w:r>
        <w:rPr>
          <w:sz w:val="24"/>
        </w:rPr>
        <w:t>of</w:t>
      </w:r>
      <w:r>
        <w:rPr>
          <w:spacing w:val="-6"/>
          <w:sz w:val="24"/>
        </w:rPr>
        <w:t> </w:t>
      </w:r>
      <w:r>
        <w:rPr>
          <w:sz w:val="24"/>
        </w:rPr>
        <w:t>most</w:t>
      </w:r>
      <w:r>
        <w:rPr>
          <w:spacing w:val="-6"/>
          <w:sz w:val="24"/>
        </w:rPr>
        <w:t> </w:t>
      </w:r>
      <w:r>
        <w:rPr>
          <w:sz w:val="24"/>
        </w:rPr>
        <w:t>members</w:t>
      </w:r>
      <w:r>
        <w:rPr>
          <w:spacing w:val="-10"/>
          <w:sz w:val="24"/>
        </w:rPr>
        <w:t> </w:t>
      </w:r>
      <w:r>
        <w:rPr>
          <w:sz w:val="24"/>
        </w:rPr>
        <w:t>of</w:t>
      </w:r>
      <w:r>
        <w:rPr>
          <w:spacing w:val="-7"/>
          <w:sz w:val="24"/>
        </w:rPr>
        <w:t> </w:t>
      </w:r>
      <w:r>
        <w:rPr>
          <w:sz w:val="24"/>
        </w:rPr>
        <w:t>the</w:t>
      </w:r>
      <w:r>
        <w:rPr>
          <w:spacing w:val="-10"/>
          <w:sz w:val="24"/>
        </w:rPr>
        <w:t> </w:t>
      </w:r>
      <w:r>
        <w:rPr>
          <w:sz w:val="24"/>
        </w:rPr>
        <w:t>Committee,</w:t>
      </w:r>
      <w:r>
        <w:rPr>
          <w:spacing w:val="-10"/>
          <w:sz w:val="24"/>
        </w:rPr>
        <w:t> </w:t>
      </w:r>
      <w:r>
        <w:rPr>
          <w:sz w:val="24"/>
        </w:rPr>
        <w:t>the</w:t>
      </w:r>
      <w:r>
        <w:rPr>
          <w:spacing w:val="-10"/>
          <w:sz w:val="24"/>
        </w:rPr>
        <w:t> </w:t>
      </w:r>
      <w:r>
        <w:rPr>
          <w:sz w:val="24"/>
        </w:rPr>
        <w:t>arguments</w:t>
      </w:r>
      <w:r>
        <w:rPr>
          <w:spacing w:val="-11"/>
          <w:sz w:val="24"/>
        </w:rPr>
        <w:t> </w:t>
      </w:r>
      <w:r>
        <w:rPr>
          <w:sz w:val="24"/>
        </w:rPr>
        <w:t>were</w:t>
      </w:r>
      <w:r>
        <w:rPr>
          <w:spacing w:val="-10"/>
          <w:sz w:val="24"/>
        </w:rPr>
        <w:t> </w:t>
      </w:r>
      <w:r>
        <w:rPr>
          <w:sz w:val="24"/>
        </w:rPr>
        <w:t>finely</w:t>
      </w:r>
      <w:r>
        <w:rPr>
          <w:spacing w:val="-10"/>
          <w:sz w:val="24"/>
        </w:rPr>
        <w:t> </w:t>
      </w:r>
      <w:r>
        <w:rPr>
          <w:sz w:val="24"/>
        </w:rPr>
        <w:t>balanced</w:t>
      </w:r>
      <w:r>
        <w:rPr>
          <w:spacing w:val="-10"/>
          <w:sz w:val="24"/>
        </w:rPr>
        <w:t> </w:t>
      </w:r>
      <w:r>
        <w:rPr>
          <w:sz w:val="24"/>
        </w:rPr>
        <w:t>between no change and a small reduction. The projection did not require a further cut in interest rates but would not be inconsistent with </w:t>
      </w:r>
      <w:r>
        <w:rPr>
          <w:spacing w:val="3"/>
          <w:sz w:val="24"/>
        </w:rPr>
        <w:t>one. </w:t>
      </w:r>
      <w:r>
        <w:rPr>
          <w:sz w:val="24"/>
        </w:rPr>
        <w:t>The judgment was therefore partly a matter of tactics, and centred</w:t>
      </w:r>
      <w:r>
        <w:rPr>
          <w:spacing w:val="-7"/>
          <w:sz w:val="24"/>
        </w:rPr>
        <w:t> </w:t>
      </w:r>
      <w:r>
        <w:rPr>
          <w:sz w:val="24"/>
        </w:rPr>
        <w:t>on</w:t>
      </w:r>
      <w:r>
        <w:rPr>
          <w:spacing w:val="-3"/>
          <w:sz w:val="24"/>
        </w:rPr>
        <w:t> </w:t>
      </w:r>
      <w:r>
        <w:rPr>
          <w:sz w:val="24"/>
        </w:rPr>
        <w:t>the</w:t>
      </w:r>
      <w:r>
        <w:rPr>
          <w:spacing w:val="-6"/>
          <w:sz w:val="24"/>
        </w:rPr>
        <w:t> </w:t>
      </w:r>
      <w:r>
        <w:rPr>
          <w:sz w:val="24"/>
        </w:rPr>
        <w:t>best</w:t>
      </w:r>
      <w:r>
        <w:rPr>
          <w:spacing w:val="-3"/>
          <w:sz w:val="24"/>
        </w:rPr>
        <w:t> </w:t>
      </w:r>
      <w:r>
        <w:rPr>
          <w:sz w:val="24"/>
        </w:rPr>
        <w:t>approach</w:t>
      </w:r>
      <w:r>
        <w:rPr>
          <w:spacing w:val="-7"/>
          <w:sz w:val="24"/>
        </w:rPr>
        <w:t> </w:t>
      </w:r>
      <w:r>
        <w:rPr>
          <w:spacing w:val="2"/>
          <w:sz w:val="24"/>
        </w:rPr>
        <w:t>to</w:t>
      </w:r>
      <w:r>
        <w:rPr>
          <w:spacing w:val="-2"/>
          <w:sz w:val="24"/>
        </w:rPr>
        <w:t> </w:t>
      </w:r>
      <w:r>
        <w:rPr>
          <w:sz w:val="24"/>
        </w:rPr>
        <w:t>addressing</w:t>
      </w:r>
      <w:r>
        <w:rPr>
          <w:spacing w:val="-7"/>
          <w:sz w:val="24"/>
        </w:rPr>
        <w:t> </w:t>
      </w:r>
      <w:r>
        <w:rPr>
          <w:sz w:val="24"/>
        </w:rPr>
        <w:t>the</w:t>
      </w:r>
      <w:r>
        <w:rPr>
          <w:spacing w:val="-6"/>
          <w:sz w:val="24"/>
        </w:rPr>
        <w:t> </w:t>
      </w:r>
      <w:r>
        <w:rPr>
          <w:sz w:val="24"/>
        </w:rPr>
        <w:t>problems</w:t>
      </w:r>
      <w:r>
        <w:rPr>
          <w:spacing w:val="-7"/>
          <w:sz w:val="24"/>
        </w:rPr>
        <w:t> </w:t>
      </w:r>
      <w:r>
        <w:rPr>
          <w:sz w:val="24"/>
        </w:rPr>
        <w:t>with</w:t>
      </w:r>
      <w:r>
        <w:rPr>
          <w:spacing w:val="-7"/>
          <w:sz w:val="24"/>
        </w:rPr>
        <w:t> </w:t>
      </w:r>
      <w:r>
        <w:rPr>
          <w:sz w:val="24"/>
        </w:rPr>
        <w:t>the</w:t>
      </w:r>
      <w:r>
        <w:rPr>
          <w:spacing w:val="-7"/>
          <w:sz w:val="24"/>
        </w:rPr>
        <w:t> </w:t>
      </w:r>
      <w:r>
        <w:rPr>
          <w:sz w:val="24"/>
        </w:rPr>
        <w:t>balance</w:t>
      </w:r>
      <w:r>
        <w:rPr>
          <w:spacing w:val="-6"/>
          <w:sz w:val="24"/>
        </w:rPr>
        <w:t> </w:t>
      </w:r>
      <w:r>
        <w:rPr>
          <w:sz w:val="24"/>
        </w:rPr>
        <w:t>of</w:t>
      </w:r>
      <w:r>
        <w:rPr>
          <w:spacing w:val="-3"/>
          <w:sz w:val="24"/>
        </w:rPr>
        <w:t> </w:t>
      </w:r>
      <w:r>
        <w:rPr>
          <w:sz w:val="24"/>
        </w:rPr>
        <w:t>the</w:t>
      </w:r>
      <w:r>
        <w:rPr>
          <w:spacing w:val="-7"/>
          <w:sz w:val="24"/>
        </w:rPr>
        <w:t> </w:t>
      </w:r>
      <w:r>
        <w:rPr>
          <w:sz w:val="24"/>
        </w:rPr>
        <w:t>economy</w:t>
      </w:r>
      <w:r>
        <w:rPr>
          <w:spacing w:val="-6"/>
          <w:sz w:val="24"/>
        </w:rPr>
        <w:t> </w:t>
      </w:r>
      <w:r>
        <w:rPr>
          <w:sz w:val="24"/>
        </w:rPr>
        <w:t>created by </w:t>
      </w:r>
      <w:r>
        <w:rPr>
          <w:spacing w:val="-3"/>
          <w:sz w:val="24"/>
        </w:rPr>
        <w:t>sterling’s </w:t>
      </w:r>
      <w:r>
        <w:rPr>
          <w:sz w:val="24"/>
        </w:rPr>
        <w:t>strength, consistent with achieving the inflation target. Arguments identified for an immediate cut were as follows. Inflation was projected </w:t>
      </w:r>
      <w:r>
        <w:rPr>
          <w:spacing w:val="2"/>
          <w:sz w:val="24"/>
        </w:rPr>
        <w:t>to</w:t>
      </w:r>
      <w:r>
        <w:rPr>
          <w:spacing w:val="-43"/>
          <w:sz w:val="24"/>
        </w:rPr>
        <w:t> </w:t>
      </w:r>
      <w:r>
        <w:rPr>
          <w:sz w:val="24"/>
        </w:rPr>
        <w:t>be below target throughout the forecast period. The risks of undershooting in the relatively near term were greater than of </w:t>
      </w:r>
      <w:r>
        <w:rPr>
          <w:spacing w:val="2"/>
          <w:sz w:val="24"/>
        </w:rPr>
        <w:t>overshooting </w:t>
      </w:r>
      <w:r>
        <w:rPr>
          <w:sz w:val="24"/>
        </w:rPr>
        <w:t>further</w:t>
      </w:r>
      <w:r>
        <w:rPr>
          <w:spacing w:val="-12"/>
          <w:sz w:val="24"/>
        </w:rPr>
        <w:t> </w:t>
      </w:r>
      <w:r>
        <w:rPr>
          <w:spacing w:val="3"/>
          <w:sz w:val="24"/>
        </w:rPr>
        <w:t>out,</w:t>
      </w:r>
      <w:r>
        <w:rPr>
          <w:spacing w:val="-8"/>
          <w:sz w:val="24"/>
        </w:rPr>
        <w:t> </w:t>
      </w:r>
      <w:r>
        <w:rPr>
          <w:sz w:val="24"/>
        </w:rPr>
        <w:t>especially</w:t>
      </w:r>
      <w:r>
        <w:rPr>
          <w:spacing w:val="-12"/>
          <w:sz w:val="24"/>
        </w:rPr>
        <w:t> </w:t>
      </w:r>
      <w:r>
        <w:rPr>
          <w:sz w:val="24"/>
        </w:rPr>
        <w:t>if</w:t>
      </w:r>
      <w:r>
        <w:rPr>
          <w:spacing w:val="-11"/>
          <w:sz w:val="24"/>
        </w:rPr>
        <w:t> </w:t>
      </w:r>
      <w:r>
        <w:rPr>
          <w:sz w:val="24"/>
        </w:rPr>
        <w:t>the</w:t>
      </w:r>
      <w:r>
        <w:rPr>
          <w:spacing w:val="-12"/>
          <w:sz w:val="24"/>
        </w:rPr>
        <w:t> </w:t>
      </w:r>
      <w:r>
        <w:rPr>
          <w:sz w:val="24"/>
        </w:rPr>
        <w:t>new</w:t>
      </w:r>
      <w:r>
        <w:rPr>
          <w:spacing w:val="-11"/>
          <w:sz w:val="24"/>
        </w:rPr>
        <w:t> </w:t>
      </w:r>
      <w:r>
        <w:rPr>
          <w:sz w:val="24"/>
        </w:rPr>
        <w:t>monetary</w:t>
      </w:r>
      <w:r>
        <w:rPr>
          <w:spacing w:val="-12"/>
          <w:sz w:val="24"/>
        </w:rPr>
        <w:t> </w:t>
      </w:r>
      <w:r>
        <w:rPr>
          <w:sz w:val="24"/>
        </w:rPr>
        <w:t>framework</w:t>
      </w:r>
      <w:r>
        <w:rPr>
          <w:spacing w:val="-12"/>
          <w:sz w:val="24"/>
        </w:rPr>
        <w:t> </w:t>
      </w:r>
      <w:r>
        <w:rPr>
          <w:sz w:val="24"/>
        </w:rPr>
        <w:t>had</w:t>
      </w:r>
      <w:r>
        <w:rPr>
          <w:spacing w:val="-11"/>
          <w:sz w:val="24"/>
        </w:rPr>
        <w:t> </w:t>
      </w:r>
      <w:r>
        <w:rPr>
          <w:sz w:val="24"/>
        </w:rPr>
        <w:t>increased</w:t>
      </w:r>
      <w:r>
        <w:rPr>
          <w:spacing w:val="-12"/>
          <w:sz w:val="24"/>
        </w:rPr>
        <w:t> </w:t>
      </w:r>
      <w:r>
        <w:rPr>
          <w:sz w:val="24"/>
        </w:rPr>
        <w:t>the</w:t>
      </w:r>
      <w:r>
        <w:rPr>
          <w:spacing w:val="-12"/>
          <w:sz w:val="24"/>
        </w:rPr>
        <w:t> </w:t>
      </w:r>
      <w:r>
        <w:rPr>
          <w:sz w:val="24"/>
        </w:rPr>
        <w:t>speed</w:t>
      </w:r>
      <w:r>
        <w:rPr>
          <w:spacing w:val="-11"/>
          <w:sz w:val="24"/>
        </w:rPr>
        <w:t> </w:t>
      </w:r>
      <w:r>
        <w:rPr>
          <w:sz w:val="24"/>
        </w:rPr>
        <w:t>of</w:t>
      </w:r>
      <w:r>
        <w:rPr>
          <w:spacing w:val="-8"/>
          <w:sz w:val="24"/>
        </w:rPr>
        <w:t> </w:t>
      </w:r>
      <w:r>
        <w:rPr>
          <w:sz w:val="24"/>
        </w:rPr>
        <w:t>the</w:t>
      </w:r>
      <w:r>
        <w:rPr>
          <w:spacing w:val="-12"/>
          <w:sz w:val="24"/>
        </w:rPr>
        <w:t> </w:t>
      </w:r>
      <w:r>
        <w:rPr>
          <w:sz w:val="24"/>
        </w:rPr>
        <w:t>transmission</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BodyText"/>
        <w:spacing w:line="372" w:lineRule="auto" w:before="90"/>
        <w:ind w:left="401" w:right="235"/>
      </w:pPr>
      <w:r>
        <w:rPr/>
        <w:t>mechanism. Given the saucer shape of the projection, with inflation rising through and beyond the second year, delay could mean losing the </w:t>
      </w:r>
      <w:r>
        <w:rPr>
          <w:spacing w:val="3"/>
        </w:rPr>
        <w:t>opportunity </w:t>
      </w:r>
      <w:r>
        <w:rPr/>
        <w:t>for a future reduction, and could therefore risk</w:t>
      </w:r>
      <w:r>
        <w:rPr>
          <w:spacing w:val="-9"/>
        </w:rPr>
        <w:t> </w:t>
      </w:r>
      <w:r>
        <w:rPr/>
        <w:t>denting</w:t>
      </w:r>
      <w:r>
        <w:rPr>
          <w:spacing w:val="-11"/>
        </w:rPr>
        <w:t> </w:t>
      </w:r>
      <w:r>
        <w:rPr/>
        <w:t>confidence,</w:t>
      </w:r>
      <w:r>
        <w:rPr>
          <w:spacing w:val="-10"/>
        </w:rPr>
        <w:t> </w:t>
      </w:r>
      <w:r>
        <w:rPr/>
        <w:t>which</w:t>
      </w:r>
      <w:r>
        <w:rPr>
          <w:spacing w:val="-10"/>
        </w:rPr>
        <w:t> </w:t>
      </w:r>
      <w:r>
        <w:rPr/>
        <w:t>in</w:t>
      </w:r>
      <w:r>
        <w:rPr>
          <w:spacing w:val="-11"/>
        </w:rPr>
        <w:t> </w:t>
      </w:r>
      <w:r>
        <w:rPr/>
        <w:t>some</w:t>
      </w:r>
      <w:r>
        <w:rPr>
          <w:spacing w:val="-10"/>
        </w:rPr>
        <w:t> </w:t>
      </w:r>
      <w:r>
        <w:rPr/>
        <w:t>sectors</w:t>
      </w:r>
      <w:r>
        <w:rPr>
          <w:spacing w:val="-10"/>
        </w:rPr>
        <w:t> </w:t>
      </w:r>
      <w:r>
        <w:rPr/>
        <w:t>remained</w:t>
      </w:r>
      <w:r>
        <w:rPr>
          <w:spacing w:val="-9"/>
        </w:rPr>
        <w:t> </w:t>
      </w:r>
      <w:r>
        <w:rPr/>
        <w:t>fragile.</w:t>
      </w:r>
      <w:r>
        <w:rPr>
          <w:spacing w:val="39"/>
        </w:rPr>
        <w:t> </w:t>
      </w:r>
      <w:r>
        <w:rPr/>
        <w:t>It</w:t>
      </w:r>
      <w:r>
        <w:rPr>
          <w:spacing w:val="-8"/>
        </w:rPr>
        <w:t> </w:t>
      </w:r>
      <w:r>
        <w:rPr/>
        <w:t>would</w:t>
      </w:r>
      <w:r>
        <w:rPr>
          <w:spacing w:val="-11"/>
        </w:rPr>
        <w:t> </w:t>
      </w:r>
      <w:r>
        <w:rPr/>
        <w:t>also</w:t>
      </w:r>
      <w:r>
        <w:rPr>
          <w:spacing w:val="-10"/>
        </w:rPr>
        <w:t> </w:t>
      </w:r>
      <w:r>
        <w:rPr/>
        <w:t>be</w:t>
      </w:r>
      <w:r>
        <w:rPr>
          <w:spacing w:val="-10"/>
        </w:rPr>
        <w:t> </w:t>
      </w:r>
      <w:r>
        <w:rPr/>
        <w:t>easier</w:t>
      </w:r>
      <w:r>
        <w:rPr>
          <w:spacing w:val="-11"/>
        </w:rPr>
        <w:t> </w:t>
      </w:r>
      <w:r>
        <w:rPr/>
        <w:t>this</w:t>
      </w:r>
      <w:r>
        <w:rPr>
          <w:spacing w:val="-10"/>
        </w:rPr>
        <w:t> </w:t>
      </w:r>
      <w:r>
        <w:rPr/>
        <w:t>month </w:t>
      </w:r>
      <w:r>
        <w:rPr>
          <w:spacing w:val="2"/>
        </w:rPr>
        <w:t>to</w:t>
      </w:r>
      <w:r>
        <w:rPr>
          <w:spacing w:val="-2"/>
        </w:rPr>
        <w:t> </w:t>
      </w:r>
      <w:r>
        <w:rPr/>
        <w:t>explain</w:t>
      </w:r>
      <w:r>
        <w:rPr>
          <w:spacing w:val="-7"/>
        </w:rPr>
        <w:t> </w:t>
      </w:r>
      <w:r>
        <w:rPr/>
        <w:t>the</w:t>
      </w:r>
      <w:r>
        <w:rPr>
          <w:spacing w:val="-6"/>
        </w:rPr>
        <w:t> </w:t>
      </w:r>
      <w:r>
        <w:rPr/>
        <w:t>role</w:t>
      </w:r>
      <w:r>
        <w:rPr>
          <w:spacing w:val="-5"/>
        </w:rPr>
        <w:t> </w:t>
      </w:r>
      <w:r>
        <w:rPr/>
        <w:t>played</w:t>
      </w:r>
      <w:r>
        <w:rPr>
          <w:spacing w:val="-6"/>
        </w:rPr>
        <w:t> </w:t>
      </w:r>
      <w:r>
        <w:rPr/>
        <w:t>by</w:t>
      </w:r>
      <w:r>
        <w:rPr>
          <w:spacing w:val="-6"/>
        </w:rPr>
        <w:t> </w:t>
      </w:r>
      <w:r>
        <w:rPr/>
        <w:t>the</w:t>
      </w:r>
      <w:r>
        <w:rPr>
          <w:spacing w:val="-6"/>
        </w:rPr>
        <w:t> </w:t>
      </w:r>
      <w:r>
        <w:rPr/>
        <w:t>exchange</w:t>
      </w:r>
      <w:r>
        <w:rPr>
          <w:spacing w:val="-7"/>
        </w:rPr>
        <w:t> </w:t>
      </w:r>
      <w:r>
        <w:rPr/>
        <w:t>rate</w:t>
      </w:r>
      <w:r>
        <w:rPr>
          <w:spacing w:val="-4"/>
        </w:rPr>
        <w:t> </w:t>
      </w:r>
      <w:r>
        <w:rPr/>
        <w:t>in</w:t>
      </w:r>
      <w:r>
        <w:rPr>
          <w:spacing w:val="-7"/>
        </w:rPr>
        <w:t> </w:t>
      </w:r>
      <w:r>
        <w:rPr/>
        <w:t>a</w:t>
      </w:r>
      <w:r>
        <w:rPr>
          <w:spacing w:val="-6"/>
        </w:rPr>
        <w:t> </w:t>
      </w:r>
      <w:r>
        <w:rPr/>
        <w:t>decision</w:t>
      </w:r>
      <w:r>
        <w:rPr>
          <w:spacing w:val="-6"/>
        </w:rPr>
        <w:t> </w:t>
      </w:r>
      <w:r>
        <w:rPr>
          <w:spacing w:val="2"/>
        </w:rPr>
        <w:t>to</w:t>
      </w:r>
      <w:r>
        <w:rPr>
          <w:spacing w:val="-2"/>
        </w:rPr>
        <w:t> </w:t>
      </w:r>
      <w:r>
        <w:rPr/>
        <w:t>reduce</w:t>
      </w:r>
      <w:r>
        <w:rPr>
          <w:spacing w:val="-5"/>
        </w:rPr>
        <w:t> </w:t>
      </w:r>
      <w:r>
        <w:rPr/>
        <w:t>rates,</w:t>
      </w:r>
      <w:r>
        <w:rPr>
          <w:spacing w:val="-4"/>
        </w:rPr>
        <w:t> </w:t>
      </w:r>
      <w:r>
        <w:rPr/>
        <w:t>given</w:t>
      </w:r>
      <w:r>
        <w:rPr>
          <w:spacing w:val="-7"/>
        </w:rPr>
        <w:t> </w:t>
      </w:r>
      <w:r>
        <w:rPr/>
        <w:t>that</w:t>
      </w:r>
      <w:r>
        <w:rPr>
          <w:spacing w:val="-2"/>
        </w:rPr>
        <w:t> </w:t>
      </w:r>
      <w:r>
        <w:rPr/>
        <w:t>the</w:t>
      </w:r>
      <w:r>
        <w:rPr>
          <w:spacing w:val="-2"/>
        </w:rPr>
        <w:t> </w:t>
      </w:r>
      <w:r>
        <w:rPr>
          <w:i/>
        </w:rPr>
        <w:t>Inflation </w:t>
      </w:r>
      <w:r>
        <w:rPr>
          <w:i/>
        </w:rPr>
        <w:t>Report</w:t>
      </w:r>
      <w:r>
        <w:rPr>
          <w:i/>
          <w:spacing w:val="-15"/>
        </w:rPr>
        <w:t> </w:t>
      </w:r>
      <w:r>
        <w:rPr/>
        <w:t>was</w:t>
      </w:r>
      <w:r>
        <w:rPr>
          <w:spacing w:val="-12"/>
        </w:rPr>
        <w:t> </w:t>
      </w:r>
      <w:r>
        <w:rPr/>
        <w:t>being</w:t>
      </w:r>
      <w:r>
        <w:rPr>
          <w:spacing w:val="-12"/>
        </w:rPr>
        <w:t> </w:t>
      </w:r>
      <w:r>
        <w:rPr/>
        <w:t>published</w:t>
      </w:r>
      <w:r>
        <w:rPr>
          <w:spacing w:val="-12"/>
        </w:rPr>
        <w:t> </w:t>
      </w:r>
      <w:r>
        <w:rPr/>
        <w:t>the</w:t>
      </w:r>
      <w:r>
        <w:rPr>
          <w:spacing w:val="-12"/>
        </w:rPr>
        <w:t> </w:t>
      </w:r>
      <w:r>
        <w:rPr/>
        <w:t>following</w:t>
      </w:r>
      <w:r>
        <w:rPr>
          <w:spacing w:val="-12"/>
        </w:rPr>
        <w:t> </w:t>
      </w:r>
      <w:r>
        <w:rPr/>
        <w:t>week;</w:t>
      </w:r>
      <w:r>
        <w:rPr>
          <w:spacing w:val="37"/>
        </w:rPr>
        <w:t> </w:t>
      </w:r>
      <w:r>
        <w:rPr/>
        <w:t>the</w:t>
      </w:r>
      <w:r>
        <w:rPr>
          <w:spacing w:val="-1"/>
        </w:rPr>
        <w:t> </w:t>
      </w:r>
      <w:r>
        <w:rPr>
          <w:i/>
        </w:rPr>
        <w:t>Report</w:t>
      </w:r>
      <w:r>
        <w:rPr>
          <w:i/>
          <w:spacing w:val="-15"/>
        </w:rPr>
        <w:t> </w:t>
      </w:r>
      <w:r>
        <w:rPr/>
        <w:t>could</w:t>
      </w:r>
      <w:r>
        <w:rPr>
          <w:spacing w:val="-12"/>
        </w:rPr>
        <w:t> </w:t>
      </w:r>
      <w:r>
        <w:rPr/>
        <w:t>explain</w:t>
      </w:r>
      <w:r>
        <w:rPr>
          <w:spacing w:val="-12"/>
        </w:rPr>
        <w:t> </w:t>
      </w:r>
      <w:r>
        <w:rPr/>
        <w:t>the</w:t>
      </w:r>
      <w:r>
        <w:rPr>
          <w:spacing w:val="-12"/>
        </w:rPr>
        <w:t> </w:t>
      </w:r>
      <w:r>
        <w:rPr>
          <w:spacing w:val="-3"/>
        </w:rPr>
        <w:t>Committee’s</w:t>
      </w:r>
      <w:r>
        <w:rPr>
          <w:spacing w:val="-12"/>
        </w:rPr>
        <w:t> </w:t>
      </w:r>
      <w:r>
        <w:rPr/>
        <w:t>analysis of</w:t>
      </w:r>
      <w:r>
        <w:rPr>
          <w:spacing w:val="-5"/>
        </w:rPr>
        <w:t> </w:t>
      </w:r>
      <w:r>
        <w:rPr/>
        <w:t>the</w:t>
      </w:r>
      <w:r>
        <w:rPr>
          <w:spacing w:val="-8"/>
        </w:rPr>
        <w:t> </w:t>
      </w:r>
      <w:r>
        <w:rPr/>
        <w:t>recent</w:t>
      </w:r>
      <w:r>
        <w:rPr>
          <w:spacing w:val="-7"/>
        </w:rPr>
        <w:t> </w:t>
      </w:r>
      <w:r>
        <w:rPr/>
        <w:t>appreciation</w:t>
      </w:r>
      <w:r>
        <w:rPr>
          <w:spacing w:val="-8"/>
        </w:rPr>
        <w:t> </w:t>
      </w:r>
      <w:r>
        <w:rPr/>
        <w:t>and</w:t>
      </w:r>
      <w:r>
        <w:rPr>
          <w:spacing w:val="-9"/>
        </w:rPr>
        <w:t> </w:t>
      </w:r>
      <w:r>
        <w:rPr/>
        <w:t>make</w:t>
      </w:r>
      <w:r>
        <w:rPr>
          <w:spacing w:val="-8"/>
        </w:rPr>
        <w:t> </w:t>
      </w:r>
      <w:r>
        <w:rPr/>
        <w:t>clear</w:t>
      </w:r>
      <w:r>
        <w:rPr>
          <w:spacing w:val="-8"/>
        </w:rPr>
        <w:t> </w:t>
      </w:r>
      <w:r>
        <w:rPr/>
        <w:t>that</w:t>
      </w:r>
      <w:r>
        <w:rPr>
          <w:spacing w:val="-5"/>
        </w:rPr>
        <w:t> </w:t>
      </w:r>
      <w:r>
        <w:rPr/>
        <w:t>there</w:t>
      </w:r>
      <w:r>
        <w:rPr>
          <w:spacing w:val="-8"/>
        </w:rPr>
        <w:t> </w:t>
      </w:r>
      <w:r>
        <w:rPr/>
        <w:t>was</w:t>
      </w:r>
      <w:r>
        <w:rPr>
          <w:spacing w:val="-8"/>
        </w:rPr>
        <w:t> </w:t>
      </w:r>
      <w:r>
        <w:rPr/>
        <w:t>no</w:t>
      </w:r>
      <w:r>
        <w:rPr>
          <w:spacing w:val="-9"/>
        </w:rPr>
        <w:t> </w:t>
      </w:r>
      <w:r>
        <w:rPr/>
        <w:t>simple</w:t>
      </w:r>
      <w:r>
        <w:rPr>
          <w:spacing w:val="-8"/>
        </w:rPr>
        <w:t> </w:t>
      </w:r>
      <w:r>
        <w:rPr/>
        <w:t>rule</w:t>
      </w:r>
      <w:r>
        <w:rPr>
          <w:spacing w:val="-7"/>
        </w:rPr>
        <w:t> </w:t>
      </w:r>
      <w:r>
        <w:rPr/>
        <w:t>of</w:t>
      </w:r>
      <w:r>
        <w:rPr>
          <w:spacing w:val="-4"/>
        </w:rPr>
        <w:t> </w:t>
      </w:r>
      <w:r>
        <w:rPr/>
        <w:t>thumb</w:t>
      </w:r>
      <w:r>
        <w:rPr>
          <w:spacing w:val="-9"/>
        </w:rPr>
        <w:t> </w:t>
      </w:r>
      <w:r>
        <w:rPr/>
        <w:t>relating</w:t>
      </w:r>
      <w:r>
        <w:rPr>
          <w:spacing w:val="-6"/>
        </w:rPr>
        <w:t> </w:t>
      </w:r>
      <w:r>
        <w:rPr/>
        <w:t>changes</w:t>
      </w:r>
      <w:r>
        <w:rPr>
          <w:spacing w:val="-9"/>
        </w:rPr>
        <w:t> </w:t>
      </w:r>
      <w:r>
        <w:rPr/>
        <w:t>in the exchange rate and interest rates. That might be less easy in a non-</w:t>
      </w:r>
      <w:r>
        <w:rPr>
          <w:i/>
        </w:rPr>
        <w:t>Inflation Report</w:t>
      </w:r>
      <w:r>
        <w:rPr>
          <w:i/>
          <w:spacing w:val="-38"/>
        </w:rPr>
        <w:t> </w:t>
      </w:r>
      <w:r>
        <w:rPr/>
        <w:t>month.</w:t>
      </w:r>
    </w:p>
    <w:p>
      <w:pPr>
        <w:pStyle w:val="BodyText"/>
        <w:spacing w:line="372" w:lineRule="auto"/>
        <w:ind w:left="401" w:right="317"/>
      </w:pPr>
      <w:r>
        <w:rPr/>
        <w:t>Arguments</w:t>
      </w:r>
      <w:r>
        <w:rPr>
          <w:spacing w:val="-12"/>
        </w:rPr>
        <w:t> </w:t>
      </w:r>
      <w:r>
        <w:rPr/>
        <w:t>identified</w:t>
      </w:r>
      <w:r>
        <w:rPr>
          <w:spacing w:val="-11"/>
        </w:rPr>
        <w:t> </w:t>
      </w:r>
      <w:r>
        <w:rPr/>
        <w:t>against</w:t>
      </w:r>
      <w:r>
        <w:rPr>
          <w:spacing w:val="-7"/>
        </w:rPr>
        <w:t> </w:t>
      </w:r>
      <w:r>
        <w:rPr/>
        <w:t>reducing</w:t>
      </w:r>
      <w:r>
        <w:rPr>
          <w:spacing w:val="-10"/>
        </w:rPr>
        <w:t> </w:t>
      </w:r>
      <w:r>
        <w:rPr/>
        <w:t>rates,</w:t>
      </w:r>
      <w:r>
        <w:rPr>
          <w:spacing w:val="-10"/>
        </w:rPr>
        <w:t> </w:t>
      </w:r>
      <w:r>
        <w:rPr/>
        <w:t>in</w:t>
      </w:r>
      <w:r>
        <w:rPr>
          <w:spacing w:val="-11"/>
        </w:rPr>
        <w:t> </w:t>
      </w:r>
      <w:r>
        <w:rPr/>
        <w:t>addition</w:t>
      </w:r>
      <w:r>
        <w:rPr>
          <w:spacing w:val="-11"/>
        </w:rPr>
        <w:t> </w:t>
      </w:r>
      <w:r>
        <w:rPr>
          <w:spacing w:val="2"/>
        </w:rPr>
        <w:t>to</w:t>
      </w:r>
      <w:r>
        <w:rPr>
          <w:spacing w:val="-8"/>
        </w:rPr>
        <w:t> </w:t>
      </w:r>
      <w:r>
        <w:rPr/>
        <w:t>those</w:t>
      </w:r>
      <w:r>
        <w:rPr>
          <w:spacing w:val="-11"/>
        </w:rPr>
        <w:t> </w:t>
      </w:r>
      <w:r>
        <w:rPr/>
        <w:t>summarised</w:t>
      </w:r>
      <w:r>
        <w:rPr>
          <w:spacing w:val="-11"/>
        </w:rPr>
        <w:t> </w:t>
      </w:r>
      <w:r>
        <w:rPr/>
        <w:t>in</w:t>
      </w:r>
      <w:r>
        <w:rPr>
          <w:spacing w:val="-12"/>
        </w:rPr>
        <w:t> </w:t>
      </w:r>
      <w:r>
        <w:rPr/>
        <w:t>paragraph</w:t>
      </w:r>
      <w:r>
        <w:rPr>
          <w:spacing w:val="-11"/>
        </w:rPr>
        <w:t> </w:t>
      </w:r>
      <w:r>
        <w:rPr/>
        <w:t>31,</w:t>
      </w:r>
      <w:r>
        <w:rPr>
          <w:spacing w:val="-11"/>
        </w:rPr>
        <w:t> </w:t>
      </w:r>
      <w:r>
        <w:rPr/>
        <w:t>were as follows. There was not a pressing need </w:t>
      </w:r>
      <w:r>
        <w:rPr>
          <w:spacing w:val="2"/>
        </w:rPr>
        <w:t>to </w:t>
      </w:r>
      <w:r>
        <w:rPr/>
        <w:t>take further action at present </w:t>
      </w:r>
      <w:r>
        <w:rPr>
          <w:spacing w:val="2"/>
        </w:rPr>
        <w:t>to </w:t>
      </w:r>
      <w:r>
        <w:rPr/>
        <w:t>underpin </w:t>
      </w:r>
      <w:r>
        <w:rPr>
          <w:spacing w:val="2"/>
        </w:rPr>
        <w:t>output </w:t>
      </w:r>
      <w:r>
        <w:rPr/>
        <w:t>given that it was projected </w:t>
      </w:r>
      <w:r>
        <w:rPr>
          <w:spacing w:val="2"/>
        </w:rPr>
        <w:t>to </w:t>
      </w:r>
      <w:r>
        <w:rPr/>
        <w:t>recover towards trend, and it was in any case possible that some easing of conditions would come from sterling declining, as projected, at least in line with interest rate differentials. A cut now might therefore mean that rates had </w:t>
      </w:r>
      <w:r>
        <w:rPr>
          <w:spacing w:val="2"/>
        </w:rPr>
        <w:t>to </w:t>
      </w:r>
      <w:r>
        <w:rPr/>
        <w:t>be increased quite soon. In principle</w:t>
      </w:r>
      <w:r>
        <w:rPr>
          <w:spacing w:val="-12"/>
        </w:rPr>
        <w:t> </w:t>
      </w:r>
      <w:r>
        <w:rPr/>
        <w:t>there</w:t>
      </w:r>
      <w:r>
        <w:rPr>
          <w:spacing w:val="-11"/>
        </w:rPr>
        <w:t> </w:t>
      </w:r>
      <w:r>
        <w:rPr/>
        <w:t>should</w:t>
      </w:r>
      <w:r>
        <w:rPr>
          <w:spacing w:val="-12"/>
        </w:rPr>
        <w:t> </w:t>
      </w:r>
      <w:r>
        <w:rPr/>
        <w:t>be</w:t>
      </w:r>
      <w:r>
        <w:rPr>
          <w:spacing w:val="-11"/>
        </w:rPr>
        <w:t> </w:t>
      </w:r>
      <w:r>
        <w:rPr/>
        <w:t>no</w:t>
      </w:r>
      <w:r>
        <w:rPr>
          <w:spacing w:val="-11"/>
        </w:rPr>
        <w:t> </w:t>
      </w:r>
      <w:r>
        <w:rPr/>
        <w:t>problems</w:t>
      </w:r>
      <w:r>
        <w:rPr>
          <w:spacing w:val="-12"/>
        </w:rPr>
        <w:t> </w:t>
      </w:r>
      <w:r>
        <w:rPr/>
        <w:t>with</w:t>
      </w:r>
      <w:r>
        <w:rPr>
          <w:spacing w:val="-11"/>
        </w:rPr>
        <w:t> </w:t>
      </w:r>
      <w:r>
        <w:rPr/>
        <w:t>that.</w:t>
      </w:r>
      <w:r>
        <w:rPr>
          <w:spacing w:val="42"/>
        </w:rPr>
        <w:t> </w:t>
      </w:r>
      <w:r>
        <w:rPr/>
        <w:t>But</w:t>
      </w:r>
      <w:r>
        <w:rPr>
          <w:spacing w:val="-7"/>
        </w:rPr>
        <w:t> </w:t>
      </w:r>
      <w:r>
        <w:rPr/>
        <w:t>given</w:t>
      </w:r>
      <w:r>
        <w:rPr>
          <w:spacing w:val="-12"/>
        </w:rPr>
        <w:t> </w:t>
      </w:r>
      <w:r>
        <w:rPr/>
        <w:t>the</w:t>
      </w:r>
      <w:r>
        <w:rPr>
          <w:spacing w:val="-11"/>
        </w:rPr>
        <w:t> </w:t>
      </w:r>
      <w:r>
        <w:rPr/>
        <w:t>still</w:t>
      </w:r>
      <w:r>
        <w:rPr>
          <w:spacing w:val="-11"/>
        </w:rPr>
        <w:t> </w:t>
      </w:r>
      <w:r>
        <w:rPr/>
        <w:t>incomplete</w:t>
      </w:r>
      <w:r>
        <w:rPr>
          <w:spacing w:val="-12"/>
        </w:rPr>
        <w:t> </w:t>
      </w:r>
      <w:r>
        <w:rPr/>
        <w:t>understanding</w:t>
      </w:r>
      <w:r>
        <w:rPr>
          <w:spacing w:val="-11"/>
        </w:rPr>
        <w:t> </w:t>
      </w:r>
      <w:r>
        <w:rPr/>
        <w:t>of</w:t>
      </w:r>
      <w:r>
        <w:rPr>
          <w:spacing w:val="-8"/>
        </w:rPr>
        <w:t> </w:t>
      </w:r>
      <w:r>
        <w:rPr/>
        <w:t>the </w:t>
      </w:r>
      <w:r>
        <w:rPr>
          <w:spacing w:val="-3"/>
        </w:rPr>
        <w:t>Committee’s</w:t>
      </w:r>
      <w:r>
        <w:rPr>
          <w:spacing w:val="-13"/>
        </w:rPr>
        <w:t> </w:t>
      </w:r>
      <w:r>
        <w:rPr/>
        <w:t>monetary</w:t>
      </w:r>
      <w:r>
        <w:rPr>
          <w:spacing w:val="-12"/>
        </w:rPr>
        <w:t> </w:t>
      </w:r>
      <w:r>
        <w:rPr/>
        <w:t>policy</w:t>
      </w:r>
      <w:r>
        <w:rPr>
          <w:spacing w:val="-13"/>
        </w:rPr>
        <w:t> </w:t>
      </w:r>
      <w:r>
        <w:rPr/>
        <w:t>reaction</w:t>
      </w:r>
      <w:r>
        <w:rPr>
          <w:spacing w:val="-10"/>
        </w:rPr>
        <w:t> </w:t>
      </w:r>
      <w:r>
        <w:rPr/>
        <w:t>function,</w:t>
      </w:r>
      <w:r>
        <w:rPr>
          <w:spacing w:val="-13"/>
        </w:rPr>
        <w:t> </w:t>
      </w:r>
      <w:r>
        <w:rPr/>
        <w:t>such</w:t>
      </w:r>
      <w:r>
        <w:rPr>
          <w:spacing w:val="-12"/>
        </w:rPr>
        <w:t> </w:t>
      </w:r>
      <w:r>
        <w:rPr/>
        <w:t>a</w:t>
      </w:r>
      <w:r>
        <w:rPr>
          <w:spacing w:val="-12"/>
        </w:rPr>
        <w:t> </w:t>
      </w:r>
      <w:r>
        <w:rPr/>
        <w:t>reversal</w:t>
      </w:r>
      <w:r>
        <w:rPr>
          <w:spacing w:val="-11"/>
        </w:rPr>
        <w:t> </w:t>
      </w:r>
      <w:r>
        <w:rPr/>
        <w:t>might</w:t>
      </w:r>
      <w:r>
        <w:rPr>
          <w:spacing w:val="-9"/>
        </w:rPr>
        <w:t> </w:t>
      </w:r>
      <w:r>
        <w:rPr/>
        <w:t>adversely</w:t>
      </w:r>
      <w:r>
        <w:rPr>
          <w:spacing w:val="-12"/>
        </w:rPr>
        <w:t> </w:t>
      </w:r>
      <w:r>
        <w:rPr/>
        <w:t>affect</w:t>
      </w:r>
      <w:r>
        <w:rPr>
          <w:spacing w:val="-9"/>
        </w:rPr>
        <w:t> </w:t>
      </w:r>
      <w:r>
        <w:rPr/>
        <w:t>sentiment.</w:t>
      </w:r>
    </w:p>
    <w:p>
      <w:pPr>
        <w:pStyle w:val="BodyText"/>
        <w:spacing w:line="372" w:lineRule="auto"/>
        <w:ind w:left="401" w:right="288"/>
      </w:pPr>
      <w:r>
        <w:rPr/>
        <w:t>The uncertainties about the effects of a further reduction might also warrant caution. Whether or not rates were reduced, a statement drawing out the implications of the exchange rate for policy would be useful. If rates were left unchanged, the statement could explain that if sterling were to remain so strong then, depending on other developments in the economy, interest rates might have to be reduced in order to reduce the risks of undershooting the target. It was also argued by some that the case for a reduction would be stronger if it could sensibly be accompanied by foreign exchange intervention as well as a statement. If, however, the case for intervention could not effectively be made in current market circumstances, which was the view of some members, then the argument for an immediate reduction was weaker.</w:t>
      </w:r>
    </w:p>
    <w:p>
      <w:pPr>
        <w:pStyle w:val="BodyText"/>
        <w:rPr>
          <w:sz w:val="36"/>
        </w:rPr>
      </w:pPr>
    </w:p>
    <w:p>
      <w:pPr>
        <w:pStyle w:val="ListParagraph"/>
        <w:numPr>
          <w:ilvl w:val="0"/>
          <w:numId w:val="1"/>
        </w:numPr>
        <w:tabs>
          <w:tab w:pos="824" w:val="left" w:leader="none"/>
        </w:tabs>
        <w:spacing w:line="372" w:lineRule="auto" w:before="0" w:after="0"/>
        <w:ind w:left="401" w:right="539" w:firstLine="0"/>
        <w:jc w:val="left"/>
        <w:rPr>
          <w:sz w:val="24"/>
        </w:rPr>
      </w:pPr>
      <w:r>
        <w:rPr>
          <w:sz w:val="24"/>
        </w:rPr>
        <w:t>The Governor invited the Committee </w:t>
      </w:r>
      <w:r>
        <w:rPr>
          <w:spacing w:val="2"/>
          <w:sz w:val="24"/>
        </w:rPr>
        <w:t>to </w:t>
      </w:r>
      <w:r>
        <w:rPr>
          <w:sz w:val="24"/>
        </w:rPr>
        <w:t>vote on the proposition that the </w:t>
      </w:r>
      <w:r>
        <w:rPr>
          <w:spacing w:val="-6"/>
          <w:sz w:val="24"/>
        </w:rPr>
        <w:t>Bank’s </w:t>
      </w:r>
      <w:r>
        <w:rPr>
          <w:sz w:val="24"/>
        </w:rPr>
        <w:t>repo rate be maintained</w:t>
      </w:r>
      <w:r>
        <w:rPr>
          <w:spacing w:val="-12"/>
          <w:sz w:val="24"/>
        </w:rPr>
        <w:t> </w:t>
      </w:r>
      <w:r>
        <w:rPr>
          <w:sz w:val="24"/>
        </w:rPr>
        <w:t>at</w:t>
      </w:r>
      <w:r>
        <w:rPr>
          <w:spacing w:val="-7"/>
          <w:sz w:val="24"/>
        </w:rPr>
        <w:t> </w:t>
      </w:r>
      <w:r>
        <w:rPr>
          <w:sz w:val="24"/>
        </w:rPr>
        <w:t>5.25%.</w:t>
      </w:r>
      <w:r>
        <w:rPr>
          <w:spacing w:val="38"/>
          <w:sz w:val="24"/>
        </w:rPr>
        <w:t> </w:t>
      </w:r>
      <w:r>
        <w:rPr>
          <w:sz w:val="24"/>
        </w:rPr>
        <w:t>Five</w:t>
      </w:r>
      <w:r>
        <w:rPr>
          <w:spacing w:val="-11"/>
          <w:sz w:val="24"/>
        </w:rPr>
        <w:t> </w:t>
      </w:r>
      <w:r>
        <w:rPr>
          <w:sz w:val="24"/>
        </w:rPr>
        <w:t>members</w:t>
      </w:r>
      <w:r>
        <w:rPr>
          <w:spacing w:val="-11"/>
          <w:sz w:val="24"/>
        </w:rPr>
        <w:t> </w:t>
      </w:r>
      <w:r>
        <w:rPr>
          <w:sz w:val="24"/>
        </w:rPr>
        <w:t>of</w:t>
      </w:r>
      <w:r>
        <w:rPr>
          <w:spacing w:val="-7"/>
          <w:sz w:val="24"/>
        </w:rPr>
        <w:t> </w:t>
      </w:r>
      <w:r>
        <w:rPr>
          <w:sz w:val="24"/>
        </w:rPr>
        <w:t>the</w:t>
      </w:r>
      <w:r>
        <w:rPr>
          <w:spacing w:val="-11"/>
          <w:sz w:val="24"/>
        </w:rPr>
        <w:t> </w:t>
      </w:r>
      <w:r>
        <w:rPr>
          <w:sz w:val="24"/>
        </w:rPr>
        <w:t>Committee</w:t>
      </w:r>
      <w:r>
        <w:rPr>
          <w:spacing w:val="-11"/>
          <w:sz w:val="24"/>
        </w:rPr>
        <w:t> </w:t>
      </w:r>
      <w:r>
        <w:rPr>
          <w:sz w:val="24"/>
        </w:rPr>
        <w:t>(the</w:t>
      </w:r>
      <w:r>
        <w:rPr>
          <w:spacing w:val="-9"/>
          <w:sz w:val="24"/>
        </w:rPr>
        <w:t> </w:t>
      </w:r>
      <w:r>
        <w:rPr>
          <w:sz w:val="24"/>
        </w:rPr>
        <w:t>Governor,</w:t>
      </w:r>
      <w:r>
        <w:rPr>
          <w:spacing w:val="-11"/>
          <w:sz w:val="24"/>
        </w:rPr>
        <w:t> </w:t>
      </w:r>
      <w:r>
        <w:rPr>
          <w:sz w:val="24"/>
        </w:rPr>
        <w:t>Mervyn</w:t>
      </w:r>
      <w:r>
        <w:rPr>
          <w:spacing w:val="16"/>
          <w:sz w:val="24"/>
        </w:rPr>
        <w:t> </w:t>
      </w:r>
      <w:r>
        <w:rPr>
          <w:sz w:val="24"/>
        </w:rPr>
        <w:t>King,</w:t>
      </w:r>
      <w:r>
        <w:rPr>
          <w:spacing w:val="-11"/>
          <w:sz w:val="24"/>
        </w:rPr>
        <w:t> </w:t>
      </w:r>
      <w:r>
        <w:rPr>
          <w:sz w:val="24"/>
        </w:rPr>
        <w:t>Alan</w:t>
      </w:r>
      <w:r>
        <w:rPr>
          <w:spacing w:val="-9"/>
          <w:sz w:val="24"/>
        </w:rPr>
        <w:t> </w:t>
      </w:r>
      <w:r>
        <w:rPr>
          <w:sz w:val="24"/>
        </w:rPr>
        <w:t>Budd, Charles Goodhart and John Vickers) voted for the proposition. Four members of the Committee (David</w:t>
      </w:r>
      <w:r>
        <w:rPr>
          <w:spacing w:val="-17"/>
          <w:sz w:val="24"/>
        </w:rPr>
        <w:t> </w:t>
      </w:r>
      <w:r>
        <w:rPr>
          <w:sz w:val="24"/>
        </w:rPr>
        <w:t>Clementi,</w:t>
      </w:r>
      <w:r>
        <w:rPr>
          <w:spacing w:val="-15"/>
          <w:sz w:val="24"/>
        </w:rPr>
        <w:t> </w:t>
      </w:r>
      <w:r>
        <w:rPr>
          <w:sz w:val="24"/>
        </w:rPr>
        <w:t>Willem</w:t>
      </w:r>
      <w:r>
        <w:rPr>
          <w:spacing w:val="-11"/>
          <w:sz w:val="24"/>
        </w:rPr>
        <w:t> </w:t>
      </w:r>
      <w:r>
        <w:rPr>
          <w:sz w:val="24"/>
        </w:rPr>
        <w:t>Buiter,</w:t>
      </w:r>
      <w:r>
        <w:rPr>
          <w:spacing w:val="-14"/>
          <w:sz w:val="24"/>
        </w:rPr>
        <w:t> </w:t>
      </w:r>
      <w:r>
        <w:rPr>
          <w:sz w:val="24"/>
        </w:rPr>
        <w:t>DeAnne</w:t>
      </w:r>
      <w:r>
        <w:rPr>
          <w:spacing w:val="-10"/>
          <w:sz w:val="24"/>
        </w:rPr>
        <w:t> </w:t>
      </w:r>
      <w:r>
        <w:rPr>
          <w:sz w:val="24"/>
        </w:rPr>
        <w:t>Julius</w:t>
      </w:r>
      <w:r>
        <w:rPr>
          <w:spacing w:val="-15"/>
          <w:sz w:val="24"/>
        </w:rPr>
        <w:t> </w:t>
      </w:r>
      <w:r>
        <w:rPr>
          <w:sz w:val="24"/>
        </w:rPr>
        <w:t>and</w:t>
      </w:r>
      <w:r>
        <w:rPr>
          <w:spacing w:val="-14"/>
          <w:sz w:val="24"/>
        </w:rPr>
        <w:t> </w:t>
      </w:r>
      <w:r>
        <w:rPr>
          <w:sz w:val="24"/>
        </w:rPr>
        <w:t>Ian</w:t>
      </w:r>
      <w:r>
        <w:rPr>
          <w:spacing w:val="-15"/>
          <w:sz w:val="24"/>
        </w:rPr>
        <w:t> </w:t>
      </w:r>
      <w:r>
        <w:rPr>
          <w:sz w:val="24"/>
        </w:rPr>
        <w:t>Plenderleith)</w:t>
      </w:r>
      <w:r>
        <w:rPr>
          <w:spacing w:val="-14"/>
          <w:sz w:val="24"/>
        </w:rPr>
        <w:t> </w:t>
      </w:r>
      <w:r>
        <w:rPr>
          <w:sz w:val="24"/>
        </w:rPr>
        <w:t>voted</w:t>
      </w:r>
      <w:r>
        <w:rPr>
          <w:spacing w:val="-14"/>
          <w:sz w:val="24"/>
        </w:rPr>
        <w:t> </w:t>
      </w:r>
      <w:r>
        <w:rPr>
          <w:sz w:val="24"/>
        </w:rPr>
        <w:t>against,</w:t>
      </w:r>
      <w:r>
        <w:rPr>
          <w:spacing w:val="-11"/>
          <w:sz w:val="24"/>
        </w:rPr>
        <w:t> </w:t>
      </w:r>
      <w:r>
        <w:rPr>
          <w:sz w:val="24"/>
        </w:rPr>
        <w:t>preferring</w:t>
      </w:r>
      <w:r>
        <w:rPr>
          <w:spacing w:val="-15"/>
          <w:sz w:val="24"/>
        </w:rPr>
        <w:t> </w:t>
      </w:r>
      <w:r>
        <w:rPr>
          <w:sz w:val="24"/>
        </w:rPr>
        <w:t>a reduction of 25 basis</w:t>
      </w:r>
      <w:r>
        <w:rPr>
          <w:spacing w:val="5"/>
          <w:sz w:val="24"/>
        </w:rPr>
        <w:t> </w:t>
      </w:r>
      <w:r>
        <w:rPr>
          <w:sz w:val="24"/>
        </w:rPr>
        <w:t>points.</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ListParagraph"/>
        <w:numPr>
          <w:ilvl w:val="0"/>
          <w:numId w:val="1"/>
        </w:numPr>
        <w:tabs>
          <w:tab w:pos="824" w:val="left" w:leader="none"/>
        </w:tabs>
        <w:spacing w:line="240" w:lineRule="auto" w:before="90" w:after="0"/>
        <w:ind w:left="824" w:right="0" w:hanging="423"/>
        <w:jc w:val="left"/>
        <w:rPr>
          <w:sz w:val="24"/>
        </w:rPr>
      </w:pPr>
      <w:r>
        <w:rPr>
          <w:sz w:val="24"/>
        </w:rPr>
        <w:t>The following members were</w:t>
      </w:r>
      <w:r>
        <w:rPr>
          <w:spacing w:val="6"/>
          <w:sz w:val="24"/>
        </w:rPr>
        <w:t> </w:t>
      </w:r>
      <w:r>
        <w:rPr>
          <w:sz w:val="24"/>
        </w:rPr>
        <w:t>present:</w:t>
      </w:r>
    </w:p>
    <w:p>
      <w:pPr>
        <w:pStyle w:val="BodyText"/>
        <w:rPr>
          <w:sz w:val="26"/>
        </w:rPr>
      </w:pPr>
    </w:p>
    <w:p>
      <w:pPr>
        <w:pStyle w:val="BodyText"/>
        <w:spacing w:before="3"/>
      </w:pPr>
    </w:p>
    <w:p>
      <w:pPr>
        <w:pStyle w:val="BodyText"/>
        <w:ind w:left="195"/>
      </w:pPr>
      <w:r>
        <w:rPr/>
        <w:t>Eddie George, Governor</w:t>
      </w:r>
    </w:p>
    <w:p>
      <w:pPr>
        <w:pStyle w:val="BodyText"/>
        <w:spacing w:line="372" w:lineRule="auto" w:before="151"/>
        <w:ind w:left="195" w:right="3553"/>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 Alan</w:t>
      </w:r>
      <w:r>
        <w:rPr>
          <w:spacing w:val="1"/>
        </w:rPr>
        <w:t> </w:t>
      </w:r>
      <w:r>
        <w:rPr/>
        <w:t>Budd</w:t>
      </w:r>
    </w:p>
    <w:p>
      <w:pPr>
        <w:pStyle w:val="BodyText"/>
        <w:spacing w:line="372" w:lineRule="auto"/>
        <w:ind w:left="195" w:right="8245"/>
      </w:pPr>
      <w:r>
        <w:rPr/>
        <w:t>Willem Buiter Charles Goodhart DeAnne Julius Ian Plenderleith John Vickers</w:t>
      </w:r>
    </w:p>
    <w:p>
      <w:pPr>
        <w:pStyle w:val="BodyText"/>
        <w:spacing w:before="9"/>
        <w:rPr>
          <w:sz w:val="36"/>
        </w:rPr>
      </w:pPr>
    </w:p>
    <w:p>
      <w:pPr>
        <w:pStyle w:val="BodyText"/>
        <w:ind w:left="401"/>
      </w:pPr>
      <w:r>
        <w:rPr/>
        <w:t>Gus O’Donnell was present as the Treasury representative.</w:t>
      </w:r>
    </w:p>
    <w:p>
      <w:pPr>
        <w:spacing w:after="0"/>
        <w:sectPr>
          <w:pgSz w:w="11900" w:h="16840"/>
          <w:pgMar w:header="729" w:footer="0" w:top="1340" w:bottom="280" w:left="880" w:right="860"/>
        </w:sectPr>
      </w:pPr>
    </w:p>
    <w:p>
      <w:pPr>
        <w:pStyle w:val="BodyText"/>
        <w:spacing w:before="5"/>
        <w:rPr>
          <w:sz w:val="14"/>
        </w:rPr>
      </w:pPr>
    </w:p>
    <w:p>
      <w:pPr>
        <w:pStyle w:val="Heading1"/>
        <w:spacing w:before="90"/>
        <w:ind w:left="401"/>
      </w:pPr>
      <w:r>
        <w:rPr/>
        <w:t>ANNEX: SUMMARY OF DATA PRESENTED BY BANK STAFF</w:t>
      </w:r>
    </w:p>
    <w:p>
      <w:pPr>
        <w:pStyle w:val="BodyText"/>
        <w:rPr>
          <w:b/>
          <w:sz w:val="26"/>
        </w:rPr>
      </w:pPr>
    </w:p>
    <w:p>
      <w:pPr>
        <w:pStyle w:val="BodyText"/>
        <w:spacing w:before="10"/>
        <w:rPr>
          <w:b/>
          <w:sz w:val="23"/>
        </w:rPr>
      </w:pPr>
    </w:p>
    <w:p>
      <w:pPr>
        <w:pStyle w:val="BodyText"/>
        <w:spacing w:line="372" w:lineRule="auto"/>
        <w:ind w:left="401" w:right="302"/>
      </w:pPr>
      <w:r>
        <w:rPr/>
        <w:t>A1 This Annex summarises the analysis presented by the Bank staff to the Monetary Policy Committee on 30 April, in advance of its meeting on 5-6 May 1999. At the start of the Committee meeting itself, members were made aware of information that had subsequently become available, and that information is included in the Annex.</w:t>
      </w:r>
    </w:p>
    <w:p>
      <w:pPr>
        <w:pStyle w:val="BodyText"/>
        <w:spacing w:before="4"/>
        <w:rPr>
          <w:sz w:val="37"/>
        </w:rPr>
      </w:pPr>
    </w:p>
    <w:p>
      <w:pPr>
        <w:pStyle w:val="Heading1"/>
        <w:numPr>
          <w:ilvl w:val="0"/>
          <w:numId w:val="2"/>
        </w:numPr>
        <w:tabs>
          <w:tab w:pos="1121" w:val="left" w:leader="none"/>
          <w:tab w:pos="1122" w:val="left" w:leader="none"/>
        </w:tabs>
        <w:spacing w:line="240" w:lineRule="auto" w:before="0" w:after="0"/>
        <w:ind w:left="1121" w:right="0" w:hanging="721"/>
        <w:jc w:val="left"/>
      </w:pPr>
      <w:r>
        <w:rPr/>
        <w:t>The international</w:t>
      </w:r>
      <w:r>
        <w:rPr>
          <w:spacing w:val="3"/>
        </w:rPr>
        <w:t> </w:t>
      </w:r>
      <w:r>
        <w:rPr/>
        <w:t>economy</w:t>
      </w:r>
    </w:p>
    <w:p>
      <w:pPr>
        <w:pStyle w:val="BodyText"/>
        <w:rPr>
          <w:b/>
          <w:sz w:val="26"/>
        </w:rPr>
      </w:pPr>
    </w:p>
    <w:p>
      <w:pPr>
        <w:pStyle w:val="BodyText"/>
        <w:spacing w:before="4"/>
        <w:rPr>
          <w:b/>
          <w:sz w:val="21"/>
        </w:rPr>
      </w:pPr>
    </w:p>
    <w:p>
      <w:pPr>
        <w:pStyle w:val="BodyText"/>
        <w:spacing w:line="372" w:lineRule="auto"/>
        <w:ind w:left="401" w:right="478"/>
      </w:pPr>
      <w:r>
        <w:rPr/>
        <w:t>A2 Consensus Economics’ forecasts for GDP growth in 1999 had continued to be revised up for the United States, and down for Germany and Japan. G3 nominal effective exchange rates had moved little since the MPC’s previous meeting, though the euro had weakened further, and the volatility of the yen had decreased.</w:t>
      </w:r>
    </w:p>
    <w:p>
      <w:pPr>
        <w:pStyle w:val="BodyText"/>
        <w:rPr>
          <w:sz w:val="37"/>
        </w:rPr>
      </w:pPr>
    </w:p>
    <w:p>
      <w:pPr>
        <w:pStyle w:val="BodyText"/>
        <w:spacing w:line="372" w:lineRule="auto"/>
        <w:ind w:left="401" w:right="304"/>
      </w:pPr>
      <w:r>
        <w:rPr/>
        <w:t>A3 According </w:t>
      </w:r>
      <w:r>
        <w:rPr>
          <w:spacing w:val="2"/>
        </w:rPr>
        <w:t>to </w:t>
      </w:r>
      <w:r>
        <w:rPr/>
        <w:t>the advance estimate of US GDP in 1999 Q1, quarterly GDP growth had slowed </w:t>
      </w:r>
      <w:r>
        <w:rPr>
          <w:spacing w:val="2"/>
        </w:rPr>
        <w:t>to </w:t>
      </w:r>
      <w:r>
        <w:rPr/>
        <w:t>1.1% from 1.5% in 1998 Q4. Domestic demand had risen by 1.8%, largely due </w:t>
      </w:r>
      <w:r>
        <w:rPr>
          <w:spacing w:val="2"/>
        </w:rPr>
        <w:t>to </w:t>
      </w:r>
      <w:r>
        <w:rPr/>
        <w:t>strong consumption. Consumer confidence had increased further in April, suggesting that strong consumption</w:t>
      </w:r>
      <w:r>
        <w:rPr>
          <w:spacing w:val="-11"/>
        </w:rPr>
        <w:t> </w:t>
      </w:r>
      <w:r>
        <w:rPr/>
        <w:t>growth</w:t>
      </w:r>
      <w:r>
        <w:rPr>
          <w:spacing w:val="-11"/>
        </w:rPr>
        <w:t> </w:t>
      </w:r>
      <w:r>
        <w:rPr/>
        <w:t>would</w:t>
      </w:r>
      <w:r>
        <w:rPr>
          <w:spacing w:val="-11"/>
        </w:rPr>
        <w:t> </w:t>
      </w:r>
      <w:r>
        <w:rPr/>
        <w:t>continue.</w:t>
      </w:r>
      <w:r>
        <w:rPr>
          <w:spacing w:val="38"/>
        </w:rPr>
        <w:t> </w:t>
      </w:r>
      <w:r>
        <w:rPr/>
        <w:t>Net</w:t>
      </w:r>
      <w:r>
        <w:rPr>
          <w:spacing w:val="-7"/>
        </w:rPr>
        <w:t> </w:t>
      </w:r>
      <w:r>
        <w:rPr/>
        <w:t>exports</w:t>
      </w:r>
      <w:r>
        <w:rPr>
          <w:spacing w:val="-11"/>
        </w:rPr>
        <w:t> </w:t>
      </w:r>
      <w:r>
        <w:rPr/>
        <w:t>had</w:t>
      </w:r>
      <w:r>
        <w:rPr>
          <w:spacing w:val="-11"/>
        </w:rPr>
        <w:t> </w:t>
      </w:r>
      <w:r>
        <w:rPr/>
        <w:t>fallen</w:t>
      </w:r>
      <w:r>
        <w:rPr>
          <w:spacing w:val="-11"/>
        </w:rPr>
        <w:t> </w:t>
      </w:r>
      <w:r>
        <w:rPr/>
        <w:t>in</w:t>
      </w:r>
      <w:r>
        <w:rPr>
          <w:spacing w:val="-10"/>
        </w:rPr>
        <w:t> </w:t>
      </w:r>
      <w:r>
        <w:rPr/>
        <w:t>Q1,</w:t>
      </w:r>
      <w:r>
        <w:rPr>
          <w:spacing w:val="-11"/>
        </w:rPr>
        <w:t> </w:t>
      </w:r>
      <w:r>
        <w:rPr/>
        <w:t>partly</w:t>
      </w:r>
      <w:r>
        <w:rPr>
          <w:spacing w:val="-11"/>
        </w:rPr>
        <w:t> </w:t>
      </w:r>
      <w:r>
        <w:rPr/>
        <w:t>reflecting</w:t>
      </w:r>
      <w:r>
        <w:rPr>
          <w:spacing w:val="-9"/>
        </w:rPr>
        <w:t> </w:t>
      </w:r>
      <w:r>
        <w:rPr/>
        <w:t>the</w:t>
      </w:r>
      <w:r>
        <w:rPr>
          <w:spacing w:val="-11"/>
        </w:rPr>
        <w:t> </w:t>
      </w:r>
      <w:r>
        <w:rPr/>
        <w:t>unwinding of special factors that had boosted net exports in Q4. Industrial production had risen by </w:t>
      </w:r>
      <w:r>
        <w:rPr>
          <w:spacing w:val="3"/>
        </w:rPr>
        <w:t>only </w:t>
      </w:r>
      <w:r>
        <w:rPr/>
        <w:t>0.1% in</w:t>
      </w:r>
      <w:r>
        <w:rPr>
          <w:spacing w:val="-10"/>
        </w:rPr>
        <w:t> </w:t>
      </w:r>
      <w:r>
        <w:rPr/>
        <w:t>March,</w:t>
      </w:r>
      <w:r>
        <w:rPr>
          <w:spacing w:val="-10"/>
        </w:rPr>
        <w:t> </w:t>
      </w:r>
      <w:r>
        <w:rPr/>
        <w:t>though</w:t>
      </w:r>
      <w:r>
        <w:rPr>
          <w:spacing w:val="-10"/>
        </w:rPr>
        <w:t> </w:t>
      </w:r>
      <w:r>
        <w:rPr/>
        <w:t>the</w:t>
      </w:r>
      <w:r>
        <w:rPr>
          <w:spacing w:val="-10"/>
        </w:rPr>
        <w:t> </w:t>
      </w:r>
      <w:r>
        <w:rPr>
          <w:spacing w:val="3"/>
        </w:rPr>
        <w:t>N</w:t>
      </w:r>
      <w:r>
        <w:rPr>
          <w:spacing w:val="3"/>
          <w:sz w:val="22"/>
        </w:rPr>
        <w:t>APM</w:t>
      </w:r>
      <w:r>
        <w:rPr>
          <w:spacing w:val="-4"/>
          <w:sz w:val="22"/>
        </w:rPr>
        <w:t> </w:t>
      </w:r>
      <w:r>
        <w:rPr/>
        <w:t>index</w:t>
      </w:r>
      <w:r>
        <w:rPr>
          <w:spacing w:val="-9"/>
        </w:rPr>
        <w:t> </w:t>
      </w:r>
      <w:r>
        <w:rPr/>
        <w:t>of</w:t>
      </w:r>
      <w:r>
        <w:rPr>
          <w:spacing w:val="-6"/>
        </w:rPr>
        <w:t> </w:t>
      </w:r>
      <w:r>
        <w:rPr/>
        <w:t>industrial</w:t>
      </w:r>
      <w:r>
        <w:rPr>
          <w:spacing w:val="-10"/>
        </w:rPr>
        <w:t> </w:t>
      </w:r>
      <w:r>
        <w:rPr/>
        <w:t>confidence</w:t>
      </w:r>
      <w:r>
        <w:rPr>
          <w:spacing w:val="-10"/>
        </w:rPr>
        <w:t> </w:t>
      </w:r>
      <w:r>
        <w:rPr/>
        <w:t>had</w:t>
      </w:r>
      <w:r>
        <w:rPr>
          <w:spacing w:val="-10"/>
        </w:rPr>
        <w:t> </w:t>
      </w:r>
      <w:r>
        <w:rPr/>
        <w:t>remained</w:t>
      </w:r>
      <w:r>
        <w:rPr>
          <w:spacing w:val="-8"/>
        </w:rPr>
        <w:t> </w:t>
      </w:r>
      <w:r>
        <w:rPr/>
        <w:t>strong,</w:t>
      </w:r>
      <w:r>
        <w:rPr>
          <w:spacing w:val="-10"/>
        </w:rPr>
        <w:t> </w:t>
      </w:r>
      <w:r>
        <w:rPr/>
        <w:t>and</w:t>
      </w:r>
      <w:r>
        <w:rPr>
          <w:spacing w:val="-10"/>
        </w:rPr>
        <w:t> </w:t>
      </w:r>
      <w:r>
        <w:rPr/>
        <w:t>durable</w:t>
      </w:r>
      <w:r>
        <w:rPr>
          <w:spacing w:val="-10"/>
        </w:rPr>
        <w:t> </w:t>
      </w:r>
      <w:r>
        <w:rPr/>
        <w:t>goods </w:t>
      </w:r>
      <w:r>
        <w:rPr>
          <w:spacing w:val="3"/>
        </w:rPr>
        <w:t>orders </w:t>
      </w:r>
      <w:r>
        <w:rPr/>
        <w:t>had increased by 2.0% in March. Housing market activity had continued </w:t>
      </w:r>
      <w:r>
        <w:rPr>
          <w:spacing w:val="2"/>
        </w:rPr>
        <w:t>to </w:t>
      </w:r>
      <w:r>
        <w:rPr/>
        <w:t>be robust, though house price inflation remained moderate. Employment cost growth had decreased in 1999 Q1,</w:t>
      </w:r>
      <w:r>
        <w:rPr>
          <w:spacing w:val="-13"/>
        </w:rPr>
        <w:t> </w:t>
      </w:r>
      <w:r>
        <w:rPr/>
        <w:t>and</w:t>
      </w:r>
      <w:r>
        <w:rPr>
          <w:spacing w:val="-12"/>
        </w:rPr>
        <w:t> </w:t>
      </w:r>
      <w:r>
        <w:rPr/>
        <w:t>consumer</w:t>
      </w:r>
      <w:r>
        <w:rPr>
          <w:spacing w:val="-13"/>
        </w:rPr>
        <w:t> </w:t>
      </w:r>
      <w:r>
        <w:rPr/>
        <w:t>price</w:t>
      </w:r>
      <w:r>
        <w:rPr>
          <w:spacing w:val="-12"/>
        </w:rPr>
        <w:t> </w:t>
      </w:r>
      <w:r>
        <w:rPr/>
        <w:t>inflation</w:t>
      </w:r>
      <w:r>
        <w:rPr>
          <w:spacing w:val="-13"/>
        </w:rPr>
        <w:t> </w:t>
      </w:r>
      <w:r>
        <w:rPr/>
        <w:t>had</w:t>
      </w:r>
      <w:r>
        <w:rPr>
          <w:spacing w:val="-12"/>
        </w:rPr>
        <w:t> </w:t>
      </w:r>
      <w:r>
        <w:rPr/>
        <w:t>remained</w:t>
      </w:r>
      <w:r>
        <w:rPr>
          <w:spacing w:val="-11"/>
        </w:rPr>
        <w:t> </w:t>
      </w:r>
      <w:r>
        <w:rPr/>
        <w:t>subdued,</w:t>
      </w:r>
      <w:r>
        <w:rPr>
          <w:spacing w:val="-13"/>
        </w:rPr>
        <w:t> </w:t>
      </w:r>
      <w:r>
        <w:rPr/>
        <w:t>despite</w:t>
      </w:r>
      <w:r>
        <w:rPr>
          <w:spacing w:val="-12"/>
        </w:rPr>
        <w:t> </w:t>
      </w:r>
      <w:r>
        <w:rPr/>
        <w:t>a</w:t>
      </w:r>
      <w:r>
        <w:rPr>
          <w:spacing w:val="-13"/>
        </w:rPr>
        <w:t> </w:t>
      </w:r>
      <w:r>
        <w:rPr/>
        <w:t>further</w:t>
      </w:r>
      <w:r>
        <w:rPr>
          <w:spacing w:val="-12"/>
        </w:rPr>
        <w:t> </w:t>
      </w:r>
      <w:r>
        <w:rPr/>
        <w:t>fall</w:t>
      </w:r>
      <w:r>
        <w:rPr>
          <w:spacing w:val="-13"/>
        </w:rPr>
        <w:t> </w:t>
      </w:r>
      <w:r>
        <w:rPr/>
        <w:t>in</w:t>
      </w:r>
      <w:r>
        <w:rPr>
          <w:spacing w:val="-12"/>
        </w:rPr>
        <w:t> </w:t>
      </w:r>
      <w:r>
        <w:rPr/>
        <w:t>the</w:t>
      </w:r>
      <w:r>
        <w:rPr>
          <w:spacing w:val="-13"/>
        </w:rPr>
        <w:t> </w:t>
      </w:r>
      <w:r>
        <w:rPr/>
        <w:t>unemployment rate </w:t>
      </w:r>
      <w:r>
        <w:rPr>
          <w:spacing w:val="2"/>
        </w:rPr>
        <w:t>to </w:t>
      </w:r>
      <w:r>
        <w:rPr/>
        <w:t>4.2% in March. Since the previous MPC meeting there had been a rise in market expectations of US interest rates and in government bond yields. And though equity prices had initially</w:t>
      </w:r>
      <w:r>
        <w:rPr>
          <w:spacing w:val="-11"/>
        </w:rPr>
        <w:t> </w:t>
      </w:r>
      <w:r>
        <w:rPr/>
        <w:t>fallen,</w:t>
      </w:r>
      <w:r>
        <w:rPr>
          <w:spacing w:val="-10"/>
        </w:rPr>
        <w:t> </w:t>
      </w:r>
      <w:r>
        <w:rPr/>
        <w:t>they</w:t>
      </w:r>
      <w:r>
        <w:rPr>
          <w:spacing w:val="-11"/>
        </w:rPr>
        <w:t> </w:t>
      </w:r>
      <w:r>
        <w:rPr/>
        <w:t>had</w:t>
      </w:r>
      <w:r>
        <w:rPr>
          <w:spacing w:val="-10"/>
        </w:rPr>
        <w:t> </w:t>
      </w:r>
      <w:r>
        <w:rPr/>
        <w:t>since</w:t>
      </w:r>
      <w:r>
        <w:rPr>
          <w:spacing w:val="-11"/>
        </w:rPr>
        <w:t> </w:t>
      </w:r>
      <w:r>
        <w:rPr/>
        <w:t>recovered</w:t>
      </w:r>
      <w:r>
        <w:rPr>
          <w:spacing w:val="-8"/>
        </w:rPr>
        <w:t> </w:t>
      </w:r>
      <w:r>
        <w:rPr/>
        <w:t>strongly.</w:t>
      </w:r>
      <w:r>
        <w:rPr>
          <w:spacing w:val="39"/>
        </w:rPr>
        <w:t> </w:t>
      </w:r>
      <w:r>
        <w:rPr/>
        <w:t>US</w:t>
      </w:r>
      <w:r>
        <w:rPr>
          <w:spacing w:val="-11"/>
        </w:rPr>
        <w:t> </w:t>
      </w:r>
      <w:r>
        <w:rPr/>
        <w:t>broad</w:t>
      </w:r>
      <w:r>
        <w:rPr>
          <w:spacing w:val="-10"/>
        </w:rPr>
        <w:t> </w:t>
      </w:r>
      <w:r>
        <w:rPr/>
        <w:t>money</w:t>
      </w:r>
      <w:r>
        <w:rPr>
          <w:spacing w:val="-10"/>
        </w:rPr>
        <w:t> </w:t>
      </w:r>
      <w:r>
        <w:rPr/>
        <w:t>growth</w:t>
      </w:r>
      <w:r>
        <w:rPr>
          <w:spacing w:val="-11"/>
        </w:rPr>
        <w:t> </w:t>
      </w:r>
      <w:r>
        <w:rPr/>
        <w:t>had</w:t>
      </w:r>
      <w:r>
        <w:rPr>
          <w:spacing w:val="-10"/>
        </w:rPr>
        <w:t> </w:t>
      </w:r>
      <w:r>
        <w:rPr/>
        <w:t>continued</w:t>
      </w:r>
      <w:r>
        <w:rPr>
          <w:spacing w:val="-11"/>
        </w:rPr>
        <w:t> </w:t>
      </w:r>
      <w:r>
        <w:rPr>
          <w:spacing w:val="2"/>
        </w:rPr>
        <w:t>to</w:t>
      </w:r>
      <w:r>
        <w:rPr>
          <w:spacing w:val="-6"/>
        </w:rPr>
        <w:t> </w:t>
      </w:r>
      <w:r>
        <w:rPr/>
        <w:t>slow.</w:t>
      </w:r>
    </w:p>
    <w:p>
      <w:pPr>
        <w:pStyle w:val="BodyText"/>
        <w:spacing w:before="6"/>
        <w:rPr>
          <w:sz w:val="36"/>
        </w:rPr>
      </w:pPr>
    </w:p>
    <w:p>
      <w:pPr>
        <w:pStyle w:val="BodyText"/>
        <w:spacing w:line="372" w:lineRule="auto"/>
        <w:ind w:left="401" w:right="348"/>
      </w:pPr>
      <w:r>
        <w:rPr/>
        <w:t>A4 In the euro area, recent data releases had confirmed that GDP had risen by 0.2% in 1998 Q4. The twelve-month growth rate of industrial production had continued to slow in February, and business confidence had fallen again. Consumer confidence had also fallen in the euro area, particularly in Germany. Germany’s six Institutes had revised down their forecasts for German growth. Euro-area broad money growth had remained steady, but narrow money growth had risen strongly. This could only partly be explained by the effect of lower interest rates on money</w:t>
      </w:r>
    </w:p>
    <w:p>
      <w:pPr>
        <w:spacing w:after="0" w:line="372" w:lineRule="auto"/>
        <w:sectPr>
          <w:headerReference w:type="default" r:id="rId8"/>
          <w:pgSz w:w="11900" w:h="16840"/>
          <w:pgMar w:header="0" w:footer="0" w:top="1600" w:bottom="280" w:left="880" w:right="860"/>
        </w:sectPr>
      </w:pPr>
    </w:p>
    <w:p>
      <w:pPr>
        <w:pStyle w:val="BodyText"/>
        <w:rPr>
          <w:sz w:val="12"/>
        </w:rPr>
      </w:pPr>
    </w:p>
    <w:p>
      <w:pPr>
        <w:pStyle w:val="BodyText"/>
        <w:spacing w:line="372" w:lineRule="auto" w:before="90"/>
        <w:ind w:left="401" w:right="235"/>
      </w:pPr>
      <w:r>
        <w:rPr/>
        <w:t>holdings in some smaller countries. Euro-area price inflation had continued to be subdued, albeit with substantial differentials between member countries. The ECB had reduced interest rates by 50 basis points on April 8, though short-term euro-area interest rates had fallen by less, as the markets had already priced in much of the ECB’s rate cut. Long rates had also fallen.</w:t>
      </w:r>
    </w:p>
    <w:p>
      <w:pPr>
        <w:pStyle w:val="BodyText"/>
        <w:spacing w:before="10"/>
        <w:rPr>
          <w:sz w:val="36"/>
        </w:rPr>
      </w:pPr>
    </w:p>
    <w:p>
      <w:pPr>
        <w:pStyle w:val="BodyText"/>
        <w:spacing w:before="1"/>
        <w:ind w:left="401"/>
      </w:pPr>
      <w:r>
        <w:rPr/>
        <w:t>A5 The Bank of Japan had maintained the overnight call rate at 3 basis points, and rates on</w:t>
      </w:r>
    </w:p>
    <w:p>
      <w:pPr>
        <w:pStyle w:val="BodyText"/>
        <w:spacing w:line="372" w:lineRule="auto" w:before="151"/>
        <w:ind w:left="401" w:right="289"/>
      </w:pPr>
      <w:r>
        <w:rPr/>
        <w:t>longer-term</w:t>
      </w:r>
      <w:r>
        <w:rPr>
          <w:spacing w:val="-8"/>
        </w:rPr>
        <w:t> </w:t>
      </w:r>
      <w:r>
        <w:rPr/>
        <w:t>instruments</w:t>
      </w:r>
      <w:r>
        <w:rPr>
          <w:spacing w:val="-10"/>
        </w:rPr>
        <w:t> </w:t>
      </w:r>
      <w:r>
        <w:rPr/>
        <w:t>had</w:t>
      </w:r>
      <w:r>
        <w:rPr>
          <w:spacing w:val="-9"/>
        </w:rPr>
        <w:t> </w:t>
      </w:r>
      <w:r>
        <w:rPr/>
        <w:t>continued</w:t>
      </w:r>
      <w:r>
        <w:rPr>
          <w:spacing w:val="-9"/>
        </w:rPr>
        <w:t> </w:t>
      </w:r>
      <w:r>
        <w:rPr>
          <w:spacing w:val="2"/>
        </w:rPr>
        <w:t>to</w:t>
      </w:r>
      <w:r>
        <w:rPr>
          <w:spacing w:val="-6"/>
        </w:rPr>
        <w:t> </w:t>
      </w:r>
      <w:r>
        <w:rPr/>
        <w:t>decline.</w:t>
      </w:r>
      <w:r>
        <w:rPr>
          <w:spacing w:val="42"/>
        </w:rPr>
        <w:t> </w:t>
      </w:r>
      <w:r>
        <w:rPr/>
        <w:t>Low</w:t>
      </w:r>
      <w:r>
        <w:rPr>
          <w:spacing w:val="-10"/>
        </w:rPr>
        <w:t> </w:t>
      </w:r>
      <w:r>
        <w:rPr>
          <w:spacing w:val="3"/>
        </w:rPr>
        <w:t>overnight</w:t>
      </w:r>
      <w:r>
        <w:rPr>
          <w:spacing w:val="-5"/>
        </w:rPr>
        <w:t> </w:t>
      </w:r>
      <w:r>
        <w:rPr/>
        <w:t>rates</w:t>
      </w:r>
      <w:r>
        <w:rPr>
          <w:spacing w:val="-8"/>
        </w:rPr>
        <w:t> </w:t>
      </w:r>
      <w:r>
        <w:rPr/>
        <w:t>had</w:t>
      </w:r>
      <w:r>
        <w:rPr>
          <w:spacing w:val="-9"/>
        </w:rPr>
        <w:t> </w:t>
      </w:r>
      <w:r>
        <w:rPr/>
        <w:t>resulted</w:t>
      </w:r>
      <w:r>
        <w:rPr>
          <w:spacing w:val="-8"/>
        </w:rPr>
        <w:t> </w:t>
      </w:r>
      <w:r>
        <w:rPr/>
        <w:t>in</w:t>
      </w:r>
      <w:r>
        <w:rPr>
          <w:spacing w:val="-9"/>
        </w:rPr>
        <w:t> </w:t>
      </w:r>
      <w:r>
        <w:rPr/>
        <w:t>funds</w:t>
      </w:r>
      <w:r>
        <w:rPr>
          <w:spacing w:val="-10"/>
        </w:rPr>
        <w:t> </w:t>
      </w:r>
      <w:r>
        <w:rPr/>
        <w:t>being withdrawn</w:t>
      </w:r>
      <w:r>
        <w:rPr>
          <w:spacing w:val="-11"/>
        </w:rPr>
        <w:t> </w:t>
      </w:r>
      <w:r>
        <w:rPr/>
        <w:t>from</w:t>
      </w:r>
      <w:r>
        <w:rPr>
          <w:spacing w:val="-11"/>
        </w:rPr>
        <w:t> </w:t>
      </w:r>
      <w:r>
        <w:rPr/>
        <w:t>the</w:t>
      </w:r>
      <w:r>
        <w:rPr>
          <w:spacing w:val="-10"/>
        </w:rPr>
        <w:t> </w:t>
      </w:r>
      <w:r>
        <w:rPr/>
        <w:t>call</w:t>
      </w:r>
      <w:r>
        <w:rPr>
          <w:spacing w:val="-11"/>
        </w:rPr>
        <w:t> </w:t>
      </w:r>
      <w:r>
        <w:rPr/>
        <w:t>market,</w:t>
      </w:r>
      <w:r>
        <w:rPr>
          <w:spacing w:val="-6"/>
        </w:rPr>
        <w:t> </w:t>
      </w:r>
      <w:r>
        <w:rPr/>
        <w:t>which</w:t>
      </w:r>
      <w:r>
        <w:rPr>
          <w:spacing w:val="-11"/>
        </w:rPr>
        <w:t> </w:t>
      </w:r>
      <w:r>
        <w:rPr/>
        <w:t>might</w:t>
      </w:r>
      <w:r>
        <w:rPr>
          <w:spacing w:val="-6"/>
        </w:rPr>
        <w:t> </w:t>
      </w:r>
      <w:r>
        <w:rPr/>
        <w:t>have</w:t>
      </w:r>
      <w:r>
        <w:rPr>
          <w:spacing w:val="-11"/>
        </w:rPr>
        <w:t> </w:t>
      </w:r>
      <w:r>
        <w:rPr/>
        <w:t>explained</w:t>
      </w:r>
      <w:r>
        <w:rPr>
          <w:spacing w:val="-10"/>
        </w:rPr>
        <w:t> </w:t>
      </w:r>
      <w:r>
        <w:rPr/>
        <w:t>the</w:t>
      </w:r>
      <w:r>
        <w:rPr>
          <w:spacing w:val="-11"/>
        </w:rPr>
        <w:t> </w:t>
      </w:r>
      <w:r>
        <w:rPr/>
        <w:t>rise</w:t>
      </w:r>
      <w:r>
        <w:rPr>
          <w:spacing w:val="-9"/>
        </w:rPr>
        <w:t> </w:t>
      </w:r>
      <w:r>
        <w:rPr/>
        <w:t>in</w:t>
      </w:r>
      <w:r>
        <w:rPr>
          <w:spacing w:val="-10"/>
        </w:rPr>
        <w:t> </w:t>
      </w:r>
      <w:r>
        <w:rPr/>
        <w:t>deposit</w:t>
      </w:r>
      <w:r>
        <w:rPr>
          <w:spacing w:val="-7"/>
        </w:rPr>
        <w:t> </w:t>
      </w:r>
      <w:r>
        <w:rPr/>
        <w:t>money</w:t>
      </w:r>
      <w:r>
        <w:rPr>
          <w:spacing w:val="-10"/>
        </w:rPr>
        <w:t> </w:t>
      </w:r>
      <w:r>
        <w:rPr/>
        <w:t>(up</w:t>
      </w:r>
      <w:r>
        <w:rPr>
          <w:spacing w:val="-9"/>
        </w:rPr>
        <w:t> </w:t>
      </w:r>
      <w:r>
        <w:rPr/>
        <w:t>9.4%</w:t>
      </w:r>
      <w:r>
        <w:rPr>
          <w:spacing w:val="-11"/>
        </w:rPr>
        <w:t> </w:t>
      </w:r>
      <w:r>
        <w:rPr/>
        <w:t>in the year </w:t>
      </w:r>
      <w:r>
        <w:rPr>
          <w:spacing w:val="2"/>
        </w:rPr>
        <w:t>to </w:t>
      </w:r>
      <w:r>
        <w:rPr/>
        <w:t>March). After rising in 1998, the growth of cash in circulation appeared </w:t>
      </w:r>
      <w:r>
        <w:rPr>
          <w:spacing w:val="2"/>
        </w:rPr>
        <w:t>to </w:t>
      </w:r>
      <w:r>
        <w:rPr/>
        <w:t>have stabilised, and the risk premium on Japanese interbank borrowing had fallen </w:t>
      </w:r>
      <w:r>
        <w:rPr>
          <w:spacing w:val="2"/>
        </w:rPr>
        <w:t>to </w:t>
      </w:r>
      <w:r>
        <w:rPr/>
        <w:t>near zero, possibly because of perceptions of increased financial market stability. The annual rate of decline of bank lending</w:t>
      </w:r>
      <w:r>
        <w:rPr>
          <w:spacing w:val="-19"/>
        </w:rPr>
        <w:t> </w:t>
      </w:r>
      <w:r>
        <w:rPr/>
        <w:t>and</w:t>
      </w:r>
      <w:r>
        <w:rPr>
          <w:spacing w:val="-18"/>
        </w:rPr>
        <w:t> </w:t>
      </w:r>
      <w:r>
        <w:rPr/>
        <w:t>bankruptcies</w:t>
      </w:r>
      <w:r>
        <w:rPr>
          <w:spacing w:val="-18"/>
        </w:rPr>
        <w:t> </w:t>
      </w:r>
      <w:r>
        <w:rPr/>
        <w:t>had</w:t>
      </w:r>
      <w:r>
        <w:rPr>
          <w:spacing w:val="-18"/>
        </w:rPr>
        <w:t> </w:t>
      </w:r>
      <w:r>
        <w:rPr/>
        <w:t>continued</w:t>
      </w:r>
      <w:r>
        <w:rPr>
          <w:spacing w:val="-18"/>
        </w:rPr>
        <w:t> </w:t>
      </w:r>
      <w:r>
        <w:rPr>
          <w:spacing w:val="2"/>
        </w:rPr>
        <w:t>to</w:t>
      </w:r>
      <w:r>
        <w:rPr>
          <w:spacing w:val="-15"/>
        </w:rPr>
        <w:t> </w:t>
      </w:r>
      <w:r>
        <w:rPr/>
        <w:t>diminish,</w:t>
      </w:r>
      <w:r>
        <w:rPr>
          <w:spacing w:val="-18"/>
        </w:rPr>
        <w:t> </w:t>
      </w:r>
      <w:r>
        <w:rPr/>
        <w:t>perhaps</w:t>
      </w:r>
      <w:r>
        <w:rPr>
          <w:spacing w:val="-18"/>
        </w:rPr>
        <w:t> </w:t>
      </w:r>
      <w:r>
        <w:rPr/>
        <w:t>reflecting</w:t>
      </w:r>
      <w:r>
        <w:rPr>
          <w:spacing w:val="-17"/>
        </w:rPr>
        <w:t> </w:t>
      </w:r>
      <w:r>
        <w:rPr/>
        <w:t>government</w:t>
      </w:r>
      <w:r>
        <w:rPr>
          <w:spacing w:val="-15"/>
        </w:rPr>
        <w:t> </w:t>
      </w:r>
      <w:r>
        <w:rPr/>
        <w:t>policy</w:t>
      </w:r>
      <w:r>
        <w:rPr>
          <w:spacing w:val="-18"/>
        </w:rPr>
        <w:t> </w:t>
      </w:r>
      <w:r>
        <w:rPr/>
        <w:t>measures aimed at small firms. However, the value of bankruptcies had reached a new monthly record in March, and unemployment had risen </w:t>
      </w:r>
      <w:r>
        <w:rPr>
          <w:spacing w:val="2"/>
        </w:rPr>
        <w:t>to </w:t>
      </w:r>
      <w:r>
        <w:rPr/>
        <w:t>4.8%. Inventory levels had continued </w:t>
      </w:r>
      <w:r>
        <w:rPr>
          <w:spacing w:val="2"/>
        </w:rPr>
        <w:t>to </w:t>
      </w:r>
      <w:r>
        <w:rPr/>
        <w:t>fall, and though industrial production had increased by 2.2% in March, most of this rise was </w:t>
      </w:r>
      <w:r>
        <w:rPr>
          <w:spacing w:val="3"/>
        </w:rPr>
        <w:t>offset </w:t>
      </w:r>
      <w:r>
        <w:rPr/>
        <w:t>by downward revisions </w:t>
      </w:r>
      <w:r>
        <w:rPr>
          <w:spacing w:val="2"/>
        </w:rPr>
        <w:t>to </w:t>
      </w:r>
      <w:r>
        <w:rPr/>
        <w:t>earlier months. New construction </w:t>
      </w:r>
      <w:r>
        <w:rPr>
          <w:spacing w:val="3"/>
        </w:rPr>
        <w:t>orders </w:t>
      </w:r>
      <w:r>
        <w:rPr/>
        <w:t>had risen by 5% in the year </w:t>
      </w:r>
      <w:r>
        <w:rPr>
          <w:spacing w:val="2"/>
        </w:rPr>
        <w:t>to </w:t>
      </w:r>
      <w:r>
        <w:rPr/>
        <w:t>March, suggesting that the fiscal stimulus measures were taking effect. But private demand had remained weak. This, together with reduced imports of erratics, had resulted in continued falls in</w:t>
      </w:r>
      <w:r>
        <w:rPr>
          <w:spacing w:val="-19"/>
        </w:rPr>
        <w:t> </w:t>
      </w:r>
      <w:r>
        <w:rPr/>
        <w:t>imports.</w:t>
      </w:r>
    </w:p>
    <w:p>
      <w:pPr>
        <w:pStyle w:val="BodyText"/>
        <w:spacing w:line="269" w:lineRule="exact"/>
        <w:ind w:left="401"/>
      </w:pPr>
      <w:r>
        <w:rPr/>
        <w:t>Consumer prices had fallen by 0.4% in the year to March.</w:t>
      </w:r>
    </w:p>
    <w:p>
      <w:pPr>
        <w:pStyle w:val="BodyText"/>
        <w:rPr>
          <w:sz w:val="26"/>
        </w:rPr>
      </w:pPr>
    </w:p>
    <w:p>
      <w:pPr>
        <w:pStyle w:val="BodyText"/>
        <w:spacing w:before="3"/>
      </w:pPr>
    </w:p>
    <w:p>
      <w:pPr>
        <w:pStyle w:val="BodyText"/>
        <w:spacing w:line="372" w:lineRule="auto"/>
        <w:ind w:left="401" w:right="349"/>
      </w:pPr>
      <w:r>
        <w:rPr/>
        <w:t>A6 Spreads on government bonds in emerging markets </w:t>
      </w:r>
      <w:r>
        <w:rPr>
          <w:spacing w:val="3"/>
        </w:rPr>
        <w:t>over </w:t>
      </w:r>
      <w:r>
        <w:rPr/>
        <w:t>US Treasuries had continued to narrow </w:t>
      </w:r>
      <w:r>
        <w:rPr>
          <w:spacing w:val="3"/>
        </w:rPr>
        <w:t>over </w:t>
      </w:r>
      <w:r>
        <w:rPr/>
        <w:t>the month, and a number of major emerging market currencies had appreciated. Emerging market foreign currency financing had risen in 1999 Q1 </w:t>
      </w:r>
      <w:r>
        <w:rPr>
          <w:spacing w:val="3"/>
        </w:rPr>
        <w:t>owing </w:t>
      </w:r>
      <w:r>
        <w:rPr>
          <w:spacing w:val="2"/>
        </w:rPr>
        <w:t>to </w:t>
      </w:r>
      <w:r>
        <w:rPr/>
        <w:t>increased bond financing</w:t>
      </w:r>
      <w:r>
        <w:rPr>
          <w:spacing w:val="-13"/>
        </w:rPr>
        <w:t> </w:t>
      </w:r>
      <w:r>
        <w:rPr/>
        <w:t>in</w:t>
      </w:r>
      <w:r>
        <w:rPr>
          <w:spacing w:val="-12"/>
        </w:rPr>
        <w:t> </w:t>
      </w:r>
      <w:r>
        <w:rPr/>
        <w:t>Latin</w:t>
      </w:r>
      <w:r>
        <w:rPr>
          <w:spacing w:val="-13"/>
        </w:rPr>
        <w:t> </w:t>
      </w:r>
      <w:r>
        <w:rPr/>
        <w:t>America</w:t>
      </w:r>
      <w:r>
        <w:rPr>
          <w:spacing w:val="-12"/>
        </w:rPr>
        <w:t> </w:t>
      </w:r>
      <w:r>
        <w:rPr/>
        <w:t>and</w:t>
      </w:r>
      <w:r>
        <w:rPr>
          <w:spacing w:val="-13"/>
        </w:rPr>
        <w:t> </w:t>
      </w:r>
      <w:r>
        <w:rPr/>
        <w:t>Asia.</w:t>
      </w:r>
      <w:r>
        <w:rPr>
          <w:spacing w:val="36"/>
        </w:rPr>
        <w:t> </w:t>
      </w:r>
      <w:r>
        <w:rPr/>
        <w:t>However,</w:t>
      </w:r>
      <w:r>
        <w:rPr>
          <w:spacing w:val="-13"/>
        </w:rPr>
        <w:t> </w:t>
      </w:r>
      <w:r>
        <w:rPr/>
        <w:t>the</w:t>
      </w:r>
      <w:r>
        <w:rPr>
          <w:spacing w:val="-12"/>
        </w:rPr>
        <w:t> </w:t>
      </w:r>
      <w:r>
        <w:rPr/>
        <w:t>Institute</w:t>
      </w:r>
      <w:r>
        <w:rPr>
          <w:spacing w:val="-11"/>
        </w:rPr>
        <w:t> </w:t>
      </w:r>
      <w:r>
        <w:rPr/>
        <w:t>of</w:t>
      </w:r>
      <w:r>
        <w:rPr>
          <w:spacing w:val="-9"/>
        </w:rPr>
        <w:t> </w:t>
      </w:r>
      <w:r>
        <w:rPr/>
        <w:t>International</w:t>
      </w:r>
      <w:r>
        <w:rPr>
          <w:spacing w:val="-11"/>
        </w:rPr>
        <w:t> </w:t>
      </w:r>
      <w:r>
        <w:rPr/>
        <w:t>Finance</w:t>
      </w:r>
      <w:r>
        <w:rPr>
          <w:spacing w:val="-12"/>
        </w:rPr>
        <w:t> </w:t>
      </w:r>
      <w:r>
        <w:rPr/>
        <w:t>had</w:t>
      </w:r>
      <w:r>
        <w:rPr>
          <w:spacing w:val="-12"/>
        </w:rPr>
        <w:t> </w:t>
      </w:r>
      <w:r>
        <w:rPr/>
        <w:t>projected that total net external financing of emerging markets would fall in 1999 </w:t>
      </w:r>
      <w:r>
        <w:rPr>
          <w:spacing w:val="3"/>
        </w:rPr>
        <w:t>overall. </w:t>
      </w:r>
      <w:r>
        <w:rPr/>
        <w:t>On balance though, Consensus Economics’ forecasts for emerging market growth had been revised up since February.</w:t>
      </w:r>
    </w:p>
    <w:p>
      <w:pPr>
        <w:pStyle w:val="BodyText"/>
        <w:spacing w:before="3"/>
        <w:rPr>
          <w:sz w:val="37"/>
        </w:rPr>
      </w:pPr>
    </w:p>
    <w:p>
      <w:pPr>
        <w:pStyle w:val="Heading1"/>
        <w:numPr>
          <w:ilvl w:val="0"/>
          <w:numId w:val="2"/>
        </w:numPr>
        <w:tabs>
          <w:tab w:pos="1121" w:val="left" w:leader="none"/>
          <w:tab w:pos="1122" w:val="left" w:leader="none"/>
        </w:tabs>
        <w:spacing w:line="240" w:lineRule="auto" w:before="0" w:after="0"/>
        <w:ind w:left="1121" w:right="0" w:hanging="721"/>
        <w:jc w:val="left"/>
      </w:pPr>
      <w:r>
        <w:rPr>
          <w:spacing w:val="2"/>
        </w:rPr>
        <w:t>Monetary </w:t>
      </w:r>
      <w:r>
        <w:rPr/>
        <w:t>and financial</w:t>
      </w:r>
      <w:r>
        <w:rPr>
          <w:spacing w:val="7"/>
        </w:rPr>
        <w:t> </w:t>
      </w:r>
      <w:r>
        <w:rPr/>
        <w:t>conditions</w:t>
      </w:r>
    </w:p>
    <w:p>
      <w:pPr>
        <w:pStyle w:val="BodyText"/>
        <w:rPr>
          <w:b/>
          <w:sz w:val="26"/>
        </w:rPr>
      </w:pPr>
    </w:p>
    <w:p>
      <w:pPr>
        <w:pStyle w:val="BodyText"/>
        <w:spacing w:before="3"/>
        <w:rPr>
          <w:b/>
          <w:sz w:val="34"/>
        </w:rPr>
      </w:pPr>
    </w:p>
    <w:p>
      <w:pPr>
        <w:pStyle w:val="BodyText"/>
        <w:spacing w:line="372" w:lineRule="auto" w:before="1"/>
        <w:ind w:left="401" w:right="333"/>
      </w:pPr>
      <w:r>
        <w:rPr/>
        <w:t>A7 Notes and coin had grown by 0.7% in April (after adjusting for the introduction of the new £2 and 50 pence coins). The strong flow pushed the twelve-month growth rate to 5.7%: a</w:t>
      </w:r>
    </w:p>
    <w:p>
      <w:pPr>
        <w:spacing w:after="0" w:line="372" w:lineRule="auto"/>
        <w:sectPr>
          <w:headerReference w:type="default" r:id="rId9"/>
          <w:pgSz w:w="11900" w:h="16840"/>
          <w:pgMar w:header="729" w:footer="0" w:top="1340" w:bottom="280" w:left="880" w:right="860"/>
          <w:pgNumType w:start="2"/>
        </w:sectPr>
      </w:pPr>
    </w:p>
    <w:p>
      <w:pPr>
        <w:pStyle w:val="BodyText"/>
        <w:rPr>
          <w:sz w:val="12"/>
        </w:rPr>
      </w:pPr>
    </w:p>
    <w:p>
      <w:pPr>
        <w:pStyle w:val="BodyText"/>
        <w:spacing w:line="372" w:lineRule="auto" w:before="90"/>
        <w:ind w:left="401" w:right="690" w:hanging="1"/>
      </w:pPr>
      <w:r>
        <w:rPr/>
        <w:t>seven-month high. The three and six-month annualised growth rates were both higher than the twelve-month growth rate.</w:t>
      </w:r>
    </w:p>
    <w:p>
      <w:pPr>
        <w:pStyle w:val="BodyText"/>
        <w:spacing w:before="8"/>
        <w:rPr>
          <w:sz w:val="20"/>
        </w:rPr>
      </w:pPr>
    </w:p>
    <w:p>
      <w:pPr>
        <w:pStyle w:val="BodyText"/>
        <w:spacing w:line="372" w:lineRule="auto" w:before="1"/>
        <w:ind w:left="401"/>
      </w:pPr>
      <w:r>
        <w:rPr/>
        <w:t>A8 M4 had grown by £2.9 billion in March. The twelve-month growth rate was 6.9%, the lowest since June 1995.</w:t>
      </w:r>
    </w:p>
    <w:p>
      <w:pPr>
        <w:pStyle w:val="BodyText"/>
        <w:spacing w:before="8"/>
        <w:rPr>
          <w:sz w:val="20"/>
        </w:rPr>
      </w:pPr>
    </w:p>
    <w:p>
      <w:pPr>
        <w:pStyle w:val="BodyText"/>
        <w:spacing w:line="372" w:lineRule="auto"/>
        <w:ind w:left="401" w:right="304"/>
      </w:pPr>
      <w:r>
        <w:rPr/>
        <w:t>A9 M4 lending had increased by £6.7 billion in March, though this strong growth had been in part affected</w:t>
      </w:r>
      <w:r>
        <w:rPr>
          <w:spacing w:val="-12"/>
        </w:rPr>
        <w:t> </w:t>
      </w:r>
      <w:r>
        <w:rPr/>
        <w:t>by</w:t>
      </w:r>
      <w:r>
        <w:rPr>
          <w:spacing w:val="-11"/>
        </w:rPr>
        <w:t> </w:t>
      </w:r>
      <w:r>
        <w:rPr/>
        <w:t>temporary</w:t>
      </w:r>
      <w:r>
        <w:rPr>
          <w:spacing w:val="-11"/>
        </w:rPr>
        <w:t> </w:t>
      </w:r>
      <w:r>
        <w:rPr/>
        <w:t>lending</w:t>
      </w:r>
      <w:r>
        <w:rPr>
          <w:spacing w:val="-12"/>
        </w:rPr>
        <w:t> </w:t>
      </w:r>
      <w:r>
        <w:rPr/>
        <w:t>(£1</w:t>
      </w:r>
      <w:r>
        <w:rPr>
          <w:spacing w:val="-9"/>
        </w:rPr>
        <w:t> </w:t>
      </w:r>
      <w:r>
        <w:rPr/>
        <w:t>billion)</w:t>
      </w:r>
      <w:r>
        <w:rPr>
          <w:spacing w:val="-12"/>
        </w:rPr>
        <w:t> </w:t>
      </w:r>
      <w:r>
        <w:rPr>
          <w:spacing w:val="2"/>
        </w:rPr>
        <w:t>to</w:t>
      </w:r>
      <w:r>
        <w:rPr>
          <w:spacing w:val="-7"/>
        </w:rPr>
        <w:t> </w:t>
      </w:r>
      <w:r>
        <w:rPr/>
        <w:t>the</w:t>
      </w:r>
      <w:r>
        <w:rPr>
          <w:spacing w:val="-11"/>
        </w:rPr>
        <w:t> </w:t>
      </w:r>
      <w:r>
        <w:rPr/>
        <w:t>company</w:t>
      </w:r>
      <w:r>
        <w:rPr>
          <w:spacing w:val="-11"/>
        </w:rPr>
        <w:t> </w:t>
      </w:r>
      <w:r>
        <w:rPr/>
        <w:t>handling</w:t>
      </w:r>
      <w:r>
        <w:rPr>
          <w:spacing w:val="-12"/>
        </w:rPr>
        <w:t> </w:t>
      </w:r>
      <w:r>
        <w:rPr/>
        <w:t>the</w:t>
      </w:r>
      <w:r>
        <w:rPr>
          <w:spacing w:val="-11"/>
        </w:rPr>
        <w:t> </w:t>
      </w:r>
      <w:r>
        <w:rPr/>
        <w:t>securitisation</w:t>
      </w:r>
      <w:r>
        <w:rPr>
          <w:spacing w:val="-11"/>
        </w:rPr>
        <w:t> </w:t>
      </w:r>
      <w:r>
        <w:rPr/>
        <w:t>of</w:t>
      </w:r>
      <w:r>
        <w:rPr>
          <w:spacing w:val="-8"/>
        </w:rPr>
        <w:t> </w:t>
      </w:r>
      <w:r>
        <w:rPr/>
        <w:t>part</w:t>
      </w:r>
      <w:r>
        <w:rPr>
          <w:spacing w:val="-7"/>
        </w:rPr>
        <w:t> </w:t>
      </w:r>
      <w:r>
        <w:rPr/>
        <w:t>of</w:t>
      </w:r>
      <w:r>
        <w:rPr>
          <w:spacing w:val="-7"/>
        </w:rPr>
        <w:t> </w:t>
      </w:r>
      <w:r>
        <w:rPr/>
        <w:t>the Student Loans book. Excluding this effect, the twelve-month growth rate (excluding securitisations) had been 7.3% compared with 7.0% in February. Despite the strong growth in March,</w:t>
      </w:r>
      <w:r>
        <w:rPr>
          <w:spacing w:val="-11"/>
        </w:rPr>
        <w:t> </w:t>
      </w:r>
      <w:r>
        <w:rPr/>
        <w:t>the</w:t>
      </w:r>
      <w:r>
        <w:rPr>
          <w:spacing w:val="-10"/>
        </w:rPr>
        <w:t> </w:t>
      </w:r>
      <w:r>
        <w:rPr/>
        <w:t>trend</w:t>
      </w:r>
      <w:r>
        <w:rPr>
          <w:spacing w:val="-10"/>
        </w:rPr>
        <w:t> </w:t>
      </w:r>
      <w:r>
        <w:rPr/>
        <w:t>decline</w:t>
      </w:r>
      <w:r>
        <w:rPr>
          <w:spacing w:val="-10"/>
        </w:rPr>
        <w:t> </w:t>
      </w:r>
      <w:r>
        <w:rPr/>
        <w:t>in</w:t>
      </w:r>
      <w:r>
        <w:rPr>
          <w:spacing w:val="-10"/>
        </w:rPr>
        <w:t> </w:t>
      </w:r>
      <w:r>
        <w:rPr/>
        <w:t>M4</w:t>
      </w:r>
      <w:r>
        <w:rPr>
          <w:spacing w:val="-11"/>
        </w:rPr>
        <w:t> </w:t>
      </w:r>
      <w:r>
        <w:rPr/>
        <w:t>lending</w:t>
      </w:r>
      <w:r>
        <w:rPr>
          <w:spacing w:val="-10"/>
        </w:rPr>
        <w:t> </w:t>
      </w:r>
      <w:r>
        <w:rPr/>
        <w:t>seen</w:t>
      </w:r>
      <w:r>
        <w:rPr>
          <w:spacing w:val="-10"/>
        </w:rPr>
        <w:t> </w:t>
      </w:r>
      <w:r>
        <w:rPr>
          <w:spacing w:val="3"/>
        </w:rPr>
        <w:t>over</w:t>
      </w:r>
      <w:r>
        <w:rPr>
          <w:spacing w:val="-6"/>
        </w:rPr>
        <w:t> </w:t>
      </w:r>
      <w:r>
        <w:rPr/>
        <w:t>the</w:t>
      </w:r>
      <w:r>
        <w:rPr>
          <w:spacing w:val="-10"/>
        </w:rPr>
        <w:t> </w:t>
      </w:r>
      <w:r>
        <w:rPr/>
        <w:t>past</w:t>
      </w:r>
      <w:r>
        <w:rPr>
          <w:spacing w:val="-7"/>
        </w:rPr>
        <w:t> </w:t>
      </w:r>
      <w:r>
        <w:rPr/>
        <w:t>six</w:t>
      </w:r>
      <w:r>
        <w:rPr>
          <w:spacing w:val="-10"/>
        </w:rPr>
        <w:t> </w:t>
      </w:r>
      <w:r>
        <w:rPr/>
        <w:t>months</w:t>
      </w:r>
      <w:r>
        <w:rPr>
          <w:spacing w:val="-10"/>
        </w:rPr>
        <w:t> </w:t>
      </w:r>
      <w:r>
        <w:rPr/>
        <w:t>seemed</w:t>
      </w:r>
      <w:r>
        <w:rPr>
          <w:spacing w:val="-10"/>
        </w:rPr>
        <w:t> </w:t>
      </w:r>
      <w:r>
        <w:rPr/>
        <w:t>likely</w:t>
      </w:r>
      <w:r>
        <w:rPr>
          <w:spacing w:val="-10"/>
        </w:rPr>
        <w:t> </w:t>
      </w:r>
      <w:r>
        <w:rPr>
          <w:spacing w:val="2"/>
        </w:rPr>
        <w:t>to</w:t>
      </w:r>
      <w:r>
        <w:rPr>
          <w:spacing w:val="-7"/>
        </w:rPr>
        <w:t> </w:t>
      </w:r>
      <w:r>
        <w:rPr/>
        <w:t>continue:</w:t>
      </w:r>
      <w:r>
        <w:rPr>
          <w:spacing w:val="-10"/>
        </w:rPr>
        <w:t> </w:t>
      </w:r>
      <w:r>
        <w:rPr/>
        <w:t>the annualised three and six-month growth rates (6.6% and 6.0% respectively) remained below the twelve-month</w:t>
      </w:r>
      <w:r>
        <w:rPr>
          <w:spacing w:val="3"/>
        </w:rPr>
        <w:t> </w:t>
      </w:r>
      <w:r>
        <w:rPr/>
        <w:t>rate.</w:t>
      </w:r>
    </w:p>
    <w:p>
      <w:pPr>
        <w:pStyle w:val="BodyText"/>
        <w:spacing w:before="6"/>
        <w:rPr>
          <w:sz w:val="20"/>
        </w:rPr>
      </w:pPr>
    </w:p>
    <w:p>
      <w:pPr>
        <w:pStyle w:val="BodyText"/>
        <w:spacing w:line="372" w:lineRule="auto" w:before="1"/>
        <w:ind w:left="401" w:right="341"/>
      </w:pPr>
      <w:r>
        <w:rPr/>
        <w:t>A10 Households’ M4 had increased by £0.9 billion in March. The twelve -month growth rate had been 6.5%. The annualised three-month growth rate for 1999 Q1 had been 3.8%: the lowest since 1994 Q2. The weakness in the first quarter may in part have reflected the increased concentration of</w:t>
      </w:r>
      <w:r>
        <w:rPr>
          <w:spacing w:val="-11"/>
        </w:rPr>
        <w:t> </w:t>
      </w:r>
      <w:r>
        <w:rPr/>
        <w:t>income</w:t>
      </w:r>
      <w:r>
        <w:rPr>
          <w:spacing w:val="-15"/>
        </w:rPr>
        <w:t> </w:t>
      </w:r>
      <w:r>
        <w:rPr/>
        <w:t>tax</w:t>
      </w:r>
      <w:r>
        <w:rPr>
          <w:spacing w:val="-14"/>
        </w:rPr>
        <w:t> </w:t>
      </w:r>
      <w:r>
        <w:rPr/>
        <w:t>payments</w:t>
      </w:r>
      <w:r>
        <w:rPr>
          <w:spacing w:val="-15"/>
        </w:rPr>
        <w:t> </w:t>
      </w:r>
      <w:r>
        <w:rPr/>
        <w:t>in</w:t>
      </w:r>
      <w:r>
        <w:rPr>
          <w:spacing w:val="-14"/>
        </w:rPr>
        <w:t> </w:t>
      </w:r>
      <w:r>
        <w:rPr/>
        <w:t>that</w:t>
      </w:r>
      <w:r>
        <w:rPr>
          <w:spacing w:val="-11"/>
        </w:rPr>
        <w:t> </w:t>
      </w:r>
      <w:r>
        <w:rPr/>
        <w:t>quarter</w:t>
      </w:r>
      <w:r>
        <w:rPr>
          <w:spacing w:val="-15"/>
        </w:rPr>
        <w:t> </w:t>
      </w:r>
      <w:r>
        <w:rPr/>
        <w:t>following</w:t>
      </w:r>
      <w:r>
        <w:rPr>
          <w:spacing w:val="-14"/>
        </w:rPr>
        <w:t> </w:t>
      </w:r>
      <w:r>
        <w:rPr/>
        <w:t>the</w:t>
      </w:r>
      <w:r>
        <w:rPr>
          <w:spacing w:val="-14"/>
        </w:rPr>
        <w:t> </w:t>
      </w:r>
      <w:r>
        <w:rPr/>
        <w:t>introduction</w:t>
      </w:r>
      <w:r>
        <w:rPr>
          <w:spacing w:val="-15"/>
        </w:rPr>
        <w:t> </w:t>
      </w:r>
      <w:r>
        <w:rPr/>
        <w:t>of</w:t>
      </w:r>
      <w:r>
        <w:rPr>
          <w:spacing w:val="-11"/>
        </w:rPr>
        <w:t> </w:t>
      </w:r>
      <w:r>
        <w:rPr/>
        <w:t>self</w:t>
      </w:r>
      <w:r>
        <w:rPr>
          <w:spacing w:val="-38"/>
        </w:rPr>
        <w:t> </w:t>
      </w:r>
      <w:r>
        <w:rPr/>
        <w:t>-assessment.</w:t>
      </w:r>
      <w:r>
        <w:rPr>
          <w:spacing w:val="33"/>
        </w:rPr>
        <w:t> </w:t>
      </w:r>
      <w:r>
        <w:rPr/>
        <w:t>Additionally, the March figure had been depressed by an </w:t>
      </w:r>
      <w:r>
        <w:rPr>
          <w:spacing w:val="3"/>
        </w:rPr>
        <w:t>outflow </w:t>
      </w:r>
      <w:r>
        <w:rPr/>
        <w:t>of funds into PEPs: retail unit trust sales had totalled a record £1.8 billion (seasonally adjusted). Households’ M4 lending had grown by £3.9 billion</w:t>
      </w:r>
      <w:r>
        <w:rPr>
          <w:spacing w:val="-15"/>
        </w:rPr>
        <w:t> </w:t>
      </w:r>
      <w:r>
        <w:rPr/>
        <w:t>in</w:t>
      </w:r>
      <w:r>
        <w:rPr>
          <w:spacing w:val="-15"/>
        </w:rPr>
        <w:t> </w:t>
      </w:r>
      <w:r>
        <w:rPr/>
        <w:t>March.</w:t>
      </w:r>
      <w:r>
        <w:rPr>
          <w:spacing w:val="30"/>
        </w:rPr>
        <w:t> </w:t>
      </w:r>
      <w:r>
        <w:rPr/>
        <w:t>Total</w:t>
      </w:r>
      <w:r>
        <w:rPr>
          <w:spacing w:val="-14"/>
        </w:rPr>
        <w:t> </w:t>
      </w:r>
      <w:r>
        <w:rPr/>
        <w:t>lending</w:t>
      </w:r>
      <w:r>
        <w:rPr>
          <w:spacing w:val="-15"/>
        </w:rPr>
        <w:t> </w:t>
      </w:r>
      <w:r>
        <w:rPr>
          <w:spacing w:val="2"/>
        </w:rPr>
        <w:t>to</w:t>
      </w:r>
      <w:r>
        <w:rPr>
          <w:spacing w:val="-11"/>
        </w:rPr>
        <w:t> </w:t>
      </w:r>
      <w:r>
        <w:rPr/>
        <w:t>individuals</w:t>
      </w:r>
      <w:r>
        <w:rPr>
          <w:spacing w:val="-15"/>
        </w:rPr>
        <w:t> </w:t>
      </w:r>
      <w:r>
        <w:rPr/>
        <w:t>(excluding</w:t>
      </w:r>
      <w:r>
        <w:rPr>
          <w:spacing w:val="-13"/>
        </w:rPr>
        <w:t> </w:t>
      </w:r>
      <w:r>
        <w:rPr/>
        <w:t>lending</w:t>
      </w:r>
      <w:r>
        <w:rPr>
          <w:spacing w:val="-15"/>
        </w:rPr>
        <w:t> </w:t>
      </w:r>
      <w:r>
        <w:rPr>
          <w:spacing w:val="2"/>
        </w:rPr>
        <w:t>to</w:t>
      </w:r>
      <w:r>
        <w:rPr>
          <w:spacing w:val="-11"/>
        </w:rPr>
        <w:t> </w:t>
      </w:r>
      <w:r>
        <w:rPr/>
        <w:t>unincorporated</w:t>
      </w:r>
      <w:r>
        <w:rPr>
          <w:spacing w:val="-15"/>
        </w:rPr>
        <w:t> </w:t>
      </w:r>
      <w:r>
        <w:rPr/>
        <w:t>businesses,</w:t>
      </w:r>
      <w:r>
        <w:rPr>
          <w:spacing w:val="-15"/>
        </w:rPr>
        <w:t> </w:t>
      </w:r>
      <w:r>
        <w:rPr/>
        <w:t>but including lending by a number of non-M4 institutions) had increased by £4.4 billion (0.8%) in March, reflecting a strong increase in secured</w:t>
      </w:r>
      <w:r>
        <w:rPr>
          <w:spacing w:val="6"/>
        </w:rPr>
        <w:t> </w:t>
      </w:r>
      <w:r>
        <w:rPr/>
        <w:t>lending.</w:t>
      </w:r>
    </w:p>
    <w:p>
      <w:pPr>
        <w:pStyle w:val="BodyText"/>
        <w:spacing w:before="4"/>
        <w:rPr>
          <w:sz w:val="20"/>
        </w:rPr>
      </w:pPr>
    </w:p>
    <w:p>
      <w:pPr>
        <w:pStyle w:val="BodyText"/>
        <w:spacing w:line="372" w:lineRule="auto"/>
        <w:ind w:left="401" w:right="281"/>
      </w:pPr>
      <w:r>
        <w:rPr/>
        <w:t>A11 Private Non-Financial Corporations’ (P </w:t>
      </w:r>
      <w:r>
        <w:rPr>
          <w:spacing w:val="-5"/>
          <w:sz w:val="22"/>
        </w:rPr>
        <w:t>NFC</w:t>
      </w:r>
      <w:r>
        <w:rPr>
          <w:spacing w:val="-5"/>
        </w:rPr>
        <w:t>s’) </w:t>
      </w:r>
      <w:r>
        <w:rPr/>
        <w:t>M4 had grown by £2.4 billion in March. The strong growth in March was reflected in the figures for 1999 Q1. The twelve-month growth rate in 1999</w:t>
      </w:r>
      <w:r>
        <w:rPr>
          <w:spacing w:val="-8"/>
        </w:rPr>
        <w:t> </w:t>
      </w:r>
      <w:r>
        <w:rPr/>
        <w:t>Q1</w:t>
      </w:r>
      <w:r>
        <w:rPr>
          <w:spacing w:val="-7"/>
        </w:rPr>
        <w:t> </w:t>
      </w:r>
      <w:r>
        <w:rPr/>
        <w:t>had</w:t>
      </w:r>
      <w:r>
        <w:rPr>
          <w:spacing w:val="-7"/>
        </w:rPr>
        <w:t> </w:t>
      </w:r>
      <w:r>
        <w:rPr/>
        <w:t>been</w:t>
      </w:r>
      <w:r>
        <w:rPr>
          <w:spacing w:val="-7"/>
        </w:rPr>
        <w:t> </w:t>
      </w:r>
      <w:r>
        <w:rPr/>
        <w:t>9.2%,</w:t>
      </w:r>
      <w:r>
        <w:rPr>
          <w:spacing w:val="-7"/>
        </w:rPr>
        <w:t> </w:t>
      </w:r>
      <w:r>
        <w:rPr/>
        <w:t>the</w:t>
      </w:r>
      <w:r>
        <w:rPr>
          <w:spacing w:val="-8"/>
        </w:rPr>
        <w:t> </w:t>
      </w:r>
      <w:r>
        <w:rPr/>
        <w:t>highest</w:t>
      </w:r>
      <w:r>
        <w:rPr>
          <w:spacing w:val="-2"/>
        </w:rPr>
        <w:t> </w:t>
      </w:r>
      <w:r>
        <w:rPr/>
        <w:t>since</w:t>
      </w:r>
      <w:r>
        <w:rPr>
          <w:spacing w:val="-8"/>
        </w:rPr>
        <w:t> </w:t>
      </w:r>
      <w:r>
        <w:rPr/>
        <w:t>1996</w:t>
      </w:r>
      <w:r>
        <w:rPr>
          <w:spacing w:val="-7"/>
        </w:rPr>
        <w:t> </w:t>
      </w:r>
      <w:r>
        <w:rPr/>
        <w:t>Q4.</w:t>
      </w:r>
      <w:r>
        <w:rPr>
          <w:spacing w:val="46"/>
        </w:rPr>
        <w:t> </w:t>
      </w:r>
      <w:r>
        <w:rPr>
          <w:spacing w:val="3"/>
        </w:rPr>
        <w:t>P</w:t>
      </w:r>
      <w:r>
        <w:rPr>
          <w:spacing w:val="3"/>
          <w:sz w:val="22"/>
        </w:rPr>
        <w:t>NFC</w:t>
      </w:r>
      <w:r>
        <w:rPr>
          <w:spacing w:val="3"/>
        </w:rPr>
        <w:t>s’</w:t>
      </w:r>
      <w:r>
        <w:rPr>
          <w:spacing w:val="-33"/>
        </w:rPr>
        <w:t> </w:t>
      </w:r>
      <w:r>
        <w:rPr/>
        <w:t>M4</w:t>
      </w:r>
      <w:r>
        <w:rPr>
          <w:spacing w:val="-7"/>
        </w:rPr>
        <w:t> </w:t>
      </w:r>
      <w:r>
        <w:rPr/>
        <w:t>lending</w:t>
      </w:r>
      <w:r>
        <w:rPr>
          <w:spacing w:val="-7"/>
        </w:rPr>
        <w:t> </w:t>
      </w:r>
      <w:r>
        <w:rPr/>
        <w:t>had</w:t>
      </w:r>
      <w:r>
        <w:rPr>
          <w:spacing w:val="-7"/>
        </w:rPr>
        <w:t> </w:t>
      </w:r>
      <w:r>
        <w:rPr/>
        <w:t>grown</w:t>
      </w:r>
      <w:r>
        <w:rPr>
          <w:spacing w:val="-8"/>
        </w:rPr>
        <w:t> </w:t>
      </w:r>
      <w:r>
        <w:rPr/>
        <w:t>by</w:t>
      </w:r>
      <w:r>
        <w:rPr>
          <w:spacing w:val="-7"/>
        </w:rPr>
        <w:t> </w:t>
      </w:r>
      <w:r>
        <w:rPr/>
        <w:t>£1.4</w:t>
      </w:r>
      <w:r>
        <w:rPr>
          <w:spacing w:val="-7"/>
        </w:rPr>
        <w:t> </w:t>
      </w:r>
      <w:r>
        <w:rPr/>
        <w:t>billion in March. This flow had been somewhat stronger than the monthly average for 1999 Q1 (£0.9 billion).</w:t>
      </w:r>
      <w:r>
        <w:rPr>
          <w:spacing w:val="34"/>
        </w:rPr>
        <w:t> </w:t>
      </w:r>
      <w:r>
        <w:rPr>
          <w:spacing w:val="2"/>
        </w:rPr>
        <w:t>P</w:t>
      </w:r>
      <w:r>
        <w:rPr>
          <w:spacing w:val="2"/>
          <w:sz w:val="22"/>
        </w:rPr>
        <w:t>NFC</w:t>
      </w:r>
      <w:r>
        <w:rPr>
          <w:spacing w:val="2"/>
        </w:rPr>
        <w:t>s’</w:t>
      </w:r>
      <w:r>
        <w:rPr>
          <w:spacing w:val="-36"/>
        </w:rPr>
        <w:t> </w:t>
      </w:r>
      <w:r>
        <w:rPr/>
        <w:t>sterling</w:t>
      </w:r>
      <w:r>
        <w:rPr>
          <w:spacing w:val="-12"/>
        </w:rPr>
        <w:t> </w:t>
      </w:r>
      <w:r>
        <w:rPr/>
        <w:t>capital</w:t>
      </w:r>
      <w:r>
        <w:rPr>
          <w:spacing w:val="-13"/>
        </w:rPr>
        <w:t> </w:t>
      </w:r>
      <w:r>
        <w:rPr/>
        <w:t>market</w:t>
      </w:r>
      <w:r>
        <w:rPr>
          <w:spacing w:val="-9"/>
        </w:rPr>
        <w:t> </w:t>
      </w:r>
      <w:r>
        <w:rPr/>
        <w:t>issues</w:t>
      </w:r>
      <w:r>
        <w:rPr>
          <w:spacing w:val="-13"/>
        </w:rPr>
        <w:t> </w:t>
      </w:r>
      <w:r>
        <w:rPr/>
        <w:t>had</w:t>
      </w:r>
      <w:r>
        <w:rPr>
          <w:spacing w:val="-12"/>
        </w:rPr>
        <w:t> </w:t>
      </w:r>
      <w:r>
        <w:rPr/>
        <w:t>risen</w:t>
      </w:r>
      <w:r>
        <w:rPr>
          <w:spacing w:val="-12"/>
        </w:rPr>
        <w:t> </w:t>
      </w:r>
      <w:r>
        <w:rPr/>
        <w:t>from</w:t>
      </w:r>
      <w:r>
        <w:rPr>
          <w:spacing w:val="-12"/>
        </w:rPr>
        <w:t> </w:t>
      </w:r>
      <w:r>
        <w:rPr/>
        <w:t>£2.4</w:t>
      </w:r>
      <w:r>
        <w:rPr>
          <w:spacing w:val="-13"/>
        </w:rPr>
        <w:t> </w:t>
      </w:r>
      <w:r>
        <w:rPr/>
        <w:t>billion</w:t>
      </w:r>
      <w:r>
        <w:rPr>
          <w:spacing w:val="-13"/>
        </w:rPr>
        <w:t> </w:t>
      </w:r>
      <w:r>
        <w:rPr/>
        <w:t>in</w:t>
      </w:r>
      <w:r>
        <w:rPr>
          <w:spacing w:val="-12"/>
        </w:rPr>
        <w:t> </w:t>
      </w:r>
      <w:r>
        <w:rPr/>
        <w:t>1998</w:t>
      </w:r>
      <w:r>
        <w:rPr>
          <w:spacing w:val="-13"/>
        </w:rPr>
        <w:t> </w:t>
      </w:r>
      <w:r>
        <w:rPr/>
        <w:t>Q4</w:t>
      </w:r>
      <w:r>
        <w:rPr>
          <w:spacing w:val="-13"/>
        </w:rPr>
        <w:t> </w:t>
      </w:r>
      <w:r>
        <w:rPr>
          <w:spacing w:val="2"/>
        </w:rPr>
        <w:t>to</w:t>
      </w:r>
      <w:r>
        <w:rPr>
          <w:spacing w:val="-9"/>
        </w:rPr>
        <w:t> </w:t>
      </w:r>
      <w:r>
        <w:rPr/>
        <w:t>£6.1</w:t>
      </w:r>
      <w:r>
        <w:rPr>
          <w:spacing w:val="-12"/>
        </w:rPr>
        <w:t> </w:t>
      </w:r>
      <w:r>
        <w:rPr/>
        <w:t>billion in 1999</w:t>
      </w:r>
      <w:r>
        <w:rPr>
          <w:spacing w:val="3"/>
        </w:rPr>
        <w:t> </w:t>
      </w:r>
      <w:r>
        <w:rPr/>
        <w:t>Q1.</w:t>
      </w:r>
    </w:p>
    <w:p>
      <w:pPr>
        <w:pStyle w:val="BodyText"/>
        <w:spacing w:before="7"/>
        <w:rPr>
          <w:sz w:val="20"/>
        </w:rPr>
      </w:pPr>
    </w:p>
    <w:p>
      <w:pPr>
        <w:pStyle w:val="BodyText"/>
        <w:spacing w:line="372" w:lineRule="auto"/>
        <w:ind w:left="401" w:right="227"/>
      </w:pPr>
      <w:r>
        <w:rPr/>
        <w:t>A12 Other Financial Corporations’ (OFCs’) M4 had fallen by £0.5 billion in March. The total flow in 1999 Q1 was -£3.1 billion, the first negative flow since 1993 Q2. The twelve-month growth rate had fallen sharply in 1999 Q1 to 6.6%, compared with 15.6% in 1998 Q4. OFCs’ M4 lending had increased by £1.3 billion in March, though this had been inflated by the temporary lending to the</w:t>
      </w:r>
    </w:p>
    <w:p>
      <w:pPr>
        <w:spacing w:after="0" w:line="372" w:lineRule="auto"/>
        <w:sectPr>
          <w:pgSz w:w="11900" w:h="16840"/>
          <w:pgMar w:header="729" w:footer="0" w:top="1340" w:bottom="280" w:left="880" w:right="860"/>
        </w:sectPr>
      </w:pPr>
    </w:p>
    <w:p>
      <w:pPr>
        <w:pStyle w:val="BodyText"/>
        <w:rPr>
          <w:sz w:val="12"/>
        </w:rPr>
      </w:pPr>
    </w:p>
    <w:p>
      <w:pPr>
        <w:pStyle w:val="BodyText"/>
        <w:spacing w:line="372" w:lineRule="auto" w:before="90"/>
        <w:ind w:left="401" w:right="294"/>
      </w:pPr>
      <w:r>
        <w:rPr/>
        <w:t>company handling the securitisation of part of the Student Loans book. Even without adjusting for this lending, the twelve-month growth rate in 1999 Q1 had been 8.4%, less than half the 17.5% annual growth rate in 1998 Q1.</w:t>
      </w:r>
    </w:p>
    <w:p>
      <w:pPr>
        <w:pStyle w:val="BodyText"/>
        <w:spacing w:before="8"/>
        <w:rPr>
          <w:sz w:val="20"/>
        </w:rPr>
      </w:pPr>
    </w:p>
    <w:p>
      <w:pPr>
        <w:pStyle w:val="BodyText"/>
        <w:spacing w:line="372" w:lineRule="auto"/>
        <w:ind w:left="401" w:right="29"/>
      </w:pPr>
      <w:r>
        <w:rPr/>
        <w:t>A13 Turning to price indicators of monetary conditions, there had been little reaction of short-term interest rate expectations (as measured by the near-term short sterling futures contracts) to the 25 basis point reduction in the official repo rate on April 8. Nominal forward rates had increased over the period since the April MPC meeting, with the rise concentrated at the short end of the</w:t>
      </w:r>
    </w:p>
    <w:p>
      <w:pPr>
        <w:pStyle w:val="BodyText"/>
        <w:spacing w:line="274" w:lineRule="exact"/>
        <w:ind w:left="401"/>
      </w:pPr>
      <w:r>
        <w:rPr/>
        <w:t>zero-coupon gilts yield curve. Analysis of bank and building society variable interest rates</w:t>
      </w:r>
    </w:p>
    <w:p>
      <w:pPr>
        <w:pStyle w:val="BodyText"/>
        <w:spacing w:line="372" w:lineRule="auto" w:before="151"/>
        <w:ind w:left="401"/>
      </w:pPr>
      <w:r>
        <w:rPr/>
        <w:t>indicated</w:t>
      </w:r>
      <w:r>
        <w:rPr>
          <w:spacing w:val="-11"/>
        </w:rPr>
        <w:t> </w:t>
      </w:r>
      <w:r>
        <w:rPr/>
        <w:t>that</w:t>
      </w:r>
      <w:r>
        <w:rPr>
          <w:spacing w:val="-6"/>
        </w:rPr>
        <w:t> </w:t>
      </w:r>
      <w:r>
        <w:rPr/>
        <w:t>the</w:t>
      </w:r>
      <w:r>
        <w:rPr>
          <w:spacing w:val="-10"/>
        </w:rPr>
        <w:t> </w:t>
      </w:r>
      <w:r>
        <w:rPr/>
        <w:t>25</w:t>
      </w:r>
      <w:r>
        <w:rPr>
          <w:spacing w:val="-10"/>
        </w:rPr>
        <w:t> </w:t>
      </w:r>
      <w:r>
        <w:rPr/>
        <w:t>basis</w:t>
      </w:r>
      <w:r>
        <w:rPr>
          <w:spacing w:val="-10"/>
        </w:rPr>
        <w:t> </w:t>
      </w:r>
      <w:r>
        <w:rPr/>
        <w:t>point</w:t>
      </w:r>
      <w:r>
        <w:rPr>
          <w:spacing w:val="-6"/>
        </w:rPr>
        <w:t> </w:t>
      </w:r>
      <w:r>
        <w:rPr/>
        <w:t>reduction</w:t>
      </w:r>
      <w:r>
        <w:rPr>
          <w:spacing w:val="-8"/>
        </w:rPr>
        <w:t> </w:t>
      </w:r>
      <w:r>
        <w:rPr/>
        <w:t>in</w:t>
      </w:r>
      <w:r>
        <w:rPr>
          <w:spacing w:val="-10"/>
        </w:rPr>
        <w:t> </w:t>
      </w:r>
      <w:r>
        <w:rPr/>
        <w:t>the</w:t>
      </w:r>
      <w:r>
        <w:rPr>
          <w:spacing w:val="-10"/>
        </w:rPr>
        <w:t> </w:t>
      </w:r>
      <w:r>
        <w:rPr>
          <w:spacing w:val="3"/>
        </w:rPr>
        <w:t>official</w:t>
      </w:r>
      <w:r>
        <w:rPr>
          <w:spacing w:val="-6"/>
        </w:rPr>
        <w:t> </w:t>
      </w:r>
      <w:r>
        <w:rPr/>
        <w:t>repo</w:t>
      </w:r>
      <w:r>
        <w:rPr>
          <w:spacing w:val="-9"/>
        </w:rPr>
        <w:t> </w:t>
      </w:r>
      <w:r>
        <w:rPr/>
        <w:t>rate</w:t>
      </w:r>
      <w:r>
        <w:rPr>
          <w:spacing w:val="-8"/>
        </w:rPr>
        <w:t> </w:t>
      </w:r>
      <w:r>
        <w:rPr/>
        <w:t>on</w:t>
      </w:r>
      <w:r>
        <w:rPr>
          <w:spacing w:val="-6"/>
        </w:rPr>
        <w:t> </w:t>
      </w:r>
      <w:r>
        <w:rPr/>
        <w:t>8</w:t>
      </w:r>
      <w:r>
        <w:rPr>
          <w:spacing w:val="-10"/>
        </w:rPr>
        <w:t> </w:t>
      </w:r>
      <w:r>
        <w:rPr/>
        <w:t>April</w:t>
      </w:r>
      <w:r>
        <w:rPr>
          <w:spacing w:val="-10"/>
        </w:rPr>
        <w:t> </w:t>
      </w:r>
      <w:r>
        <w:rPr/>
        <w:t>had</w:t>
      </w:r>
      <w:r>
        <w:rPr>
          <w:spacing w:val="-10"/>
        </w:rPr>
        <w:t> </w:t>
      </w:r>
      <w:r>
        <w:rPr/>
        <w:t>been</w:t>
      </w:r>
      <w:r>
        <w:rPr>
          <w:spacing w:val="-10"/>
        </w:rPr>
        <w:t> </w:t>
      </w:r>
      <w:r>
        <w:rPr>
          <w:spacing w:val="3"/>
        </w:rPr>
        <w:t>only</w:t>
      </w:r>
      <w:r>
        <w:rPr>
          <w:spacing w:val="-6"/>
        </w:rPr>
        <w:t> </w:t>
      </w:r>
      <w:r>
        <w:rPr/>
        <w:t>partially passed through </w:t>
      </w:r>
      <w:r>
        <w:rPr>
          <w:spacing w:val="2"/>
        </w:rPr>
        <w:t>to </w:t>
      </w:r>
      <w:r>
        <w:rPr/>
        <w:t>standard variable rate (SVR) mortgages and savings</w:t>
      </w:r>
      <w:r>
        <w:rPr>
          <w:spacing w:val="6"/>
        </w:rPr>
        <w:t> </w:t>
      </w:r>
      <w:r>
        <w:rPr/>
        <w:t>rates.</w:t>
      </w:r>
    </w:p>
    <w:p>
      <w:pPr>
        <w:pStyle w:val="BodyText"/>
        <w:spacing w:before="9"/>
        <w:rPr>
          <w:sz w:val="20"/>
        </w:rPr>
      </w:pPr>
    </w:p>
    <w:p>
      <w:pPr>
        <w:pStyle w:val="BodyText"/>
        <w:spacing w:line="372" w:lineRule="auto"/>
        <w:ind w:left="401" w:right="433"/>
      </w:pPr>
      <w:r>
        <w:rPr/>
        <w:t>A14 Implied real forward interest rates, derived from index-linked gilts, had risen on the month, particularly</w:t>
      </w:r>
      <w:r>
        <w:rPr>
          <w:spacing w:val="-13"/>
        </w:rPr>
        <w:t> </w:t>
      </w:r>
      <w:r>
        <w:rPr/>
        <w:t>following</w:t>
      </w:r>
      <w:r>
        <w:rPr>
          <w:spacing w:val="-13"/>
        </w:rPr>
        <w:t> </w:t>
      </w:r>
      <w:r>
        <w:rPr/>
        <w:t>the</w:t>
      </w:r>
      <w:r>
        <w:rPr>
          <w:spacing w:val="-13"/>
        </w:rPr>
        <w:t> </w:t>
      </w:r>
      <w:r>
        <w:rPr/>
        <w:t>announcement</w:t>
      </w:r>
      <w:r>
        <w:rPr>
          <w:spacing w:val="-9"/>
        </w:rPr>
        <w:t> </w:t>
      </w:r>
      <w:r>
        <w:rPr/>
        <w:t>of</w:t>
      </w:r>
      <w:r>
        <w:rPr>
          <w:spacing w:val="-9"/>
        </w:rPr>
        <w:t> </w:t>
      </w:r>
      <w:r>
        <w:rPr/>
        <w:t>the</w:t>
      </w:r>
      <w:r>
        <w:rPr>
          <w:spacing w:val="-13"/>
        </w:rPr>
        <w:t> </w:t>
      </w:r>
      <w:r>
        <w:rPr/>
        <w:t>results</w:t>
      </w:r>
      <w:r>
        <w:rPr>
          <w:spacing w:val="-12"/>
        </w:rPr>
        <w:t> </w:t>
      </w:r>
      <w:r>
        <w:rPr/>
        <w:t>of</w:t>
      </w:r>
      <w:r>
        <w:rPr>
          <w:spacing w:val="-9"/>
        </w:rPr>
        <w:t> </w:t>
      </w:r>
      <w:r>
        <w:rPr/>
        <w:t>the</w:t>
      </w:r>
      <w:r>
        <w:rPr>
          <w:spacing w:val="-12"/>
        </w:rPr>
        <w:t> </w:t>
      </w:r>
      <w:r>
        <w:rPr/>
        <w:t>index-linked</w:t>
      </w:r>
      <w:r>
        <w:rPr>
          <w:spacing w:val="-12"/>
        </w:rPr>
        <w:t> </w:t>
      </w:r>
      <w:r>
        <w:rPr/>
        <w:t>gilt</w:t>
      </w:r>
      <w:r>
        <w:rPr>
          <w:spacing w:val="-9"/>
        </w:rPr>
        <w:t> </w:t>
      </w:r>
      <w:r>
        <w:rPr/>
        <w:t>auction</w:t>
      </w:r>
      <w:r>
        <w:rPr>
          <w:spacing w:val="-13"/>
        </w:rPr>
        <w:t> </w:t>
      </w:r>
      <w:r>
        <w:rPr/>
        <w:t>on</w:t>
      </w:r>
      <w:r>
        <w:rPr>
          <w:spacing w:val="-9"/>
        </w:rPr>
        <w:t> </w:t>
      </w:r>
      <w:r>
        <w:rPr/>
        <w:t>28</w:t>
      </w:r>
      <w:r>
        <w:rPr>
          <w:spacing w:val="-19"/>
        </w:rPr>
        <w:t> </w:t>
      </w:r>
      <w:r>
        <w:rPr/>
        <w:t>April.</w:t>
      </w:r>
    </w:p>
    <w:p>
      <w:pPr>
        <w:pStyle w:val="BodyText"/>
        <w:spacing w:before="9"/>
        <w:rPr>
          <w:sz w:val="20"/>
        </w:rPr>
      </w:pPr>
    </w:p>
    <w:p>
      <w:pPr>
        <w:pStyle w:val="BodyText"/>
        <w:spacing w:line="372" w:lineRule="auto"/>
        <w:ind w:left="401" w:right="235"/>
      </w:pPr>
      <w:r>
        <w:rPr/>
        <w:t>A15 Turning to measures of inflation expectations, the rise in real forward rates had been reflected in a tick down in longer-term inflation forward rates, as derived by a comparison of yields on nominal and index-linked gilts. Survey-based measures of RPIX inflation expectations were broadly unchanged at 2.2%-2.3% for 1999 and 2000. Data from a Consensus Economics survey in April, measuring longer-term inflation expectations, showed that inflation expectations over the period 2001-04 had risen slightly since the previous survey in October 1998.</w:t>
      </w:r>
    </w:p>
    <w:p>
      <w:pPr>
        <w:pStyle w:val="BodyText"/>
        <w:spacing w:before="6"/>
        <w:rPr>
          <w:sz w:val="20"/>
        </w:rPr>
      </w:pPr>
    </w:p>
    <w:p>
      <w:pPr>
        <w:pStyle w:val="BodyText"/>
        <w:spacing w:line="372" w:lineRule="auto" w:before="1"/>
        <w:ind w:left="401" w:right="380"/>
      </w:pPr>
      <w:r>
        <w:rPr/>
        <w:t>A16 Equity indices had risen sharply in April with the F</w:t>
      </w:r>
      <w:r>
        <w:rPr>
          <w:sz w:val="22"/>
        </w:rPr>
        <w:t>T-SE </w:t>
      </w:r>
      <w:r>
        <w:rPr/>
        <w:t>100 and All-Share indices reaching new record highs, but they had fallen below their peak by the time of the May MPC meeting. The F</w:t>
      </w:r>
      <w:r>
        <w:rPr>
          <w:sz w:val="22"/>
        </w:rPr>
        <w:t>T-SE </w:t>
      </w:r>
      <w:r>
        <w:rPr/>
        <w:t>All-Share index had risen by 0.3% since the April MPC meeting and by 11.5% since the February </w:t>
      </w:r>
      <w:r>
        <w:rPr>
          <w:i/>
        </w:rPr>
        <w:t>Inflation Report</w:t>
      </w:r>
      <w:r>
        <w:rPr/>
        <w:t>.</w:t>
      </w:r>
    </w:p>
    <w:p>
      <w:pPr>
        <w:pStyle w:val="BodyText"/>
        <w:spacing w:before="7"/>
        <w:rPr>
          <w:sz w:val="20"/>
        </w:rPr>
      </w:pPr>
    </w:p>
    <w:p>
      <w:pPr>
        <w:pStyle w:val="BodyText"/>
        <w:spacing w:line="372" w:lineRule="auto"/>
        <w:ind w:left="401" w:right="301"/>
      </w:pPr>
      <w:r>
        <w:rPr/>
        <w:t>A17</w:t>
      </w:r>
      <w:r>
        <w:rPr>
          <w:spacing w:val="43"/>
        </w:rPr>
        <w:t> </w:t>
      </w:r>
      <w:r>
        <w:rPr/>
        <w:t>Turning</w:t>
      </w:r>
      <w:r>
        <w:rPr>
          <w:spacing w:val="-6"/>
        </w:rPr>
        <w:t> </w:t>
      </w:r>
      <w:r>
        <w:rPr>
          <w:spacing w:val="2"/>
        </w:rPr>
        <w:t>to</w:t>
      </w:r>
      <w:r>
        <w:rPr>
          <w:spacing w:val="-4"/>
        </w:rPr>
        <w:t> </w:t>
      </w:r>
      <w:r>
        <w:rPr/>
        <w:t>the</w:t>
      </w:r>
      <w:r>
        <w:rPr>
          <w:spacing w:val="-8"/>
        </w:rPr>
        <w:t> </w:t>
      </w:r>
      <w:r>
        <w:rPr/>
        <w:t>exchange</w:t>
      </w:r>
      <w:r>
        <w:rPr>
          <w:spacing w:val="-8"/>
        </w:rPr>
        <w:t> </w:t>
      </w:r>
      <w:r>
        <w:rPr/>
        <w:t>rate,</w:t>
      </w:r>
      <w:r>
        <w:rPr>
          <w:spacing w:val="-6"/>
        </w:rPr>
        <w:t> </w:t>
      </w:r>
      <w:r>
        <w:rPr>
          <w:spacing w:val="-3"/>
        </w:rPr>
        <w:t>sterling’s</w:t>
      </w:r>
      <w:r>
        <w:rPr>
          <w:spacing w:val="-9"/>
        </w:rPr>
        <w:t> </w:t>
      </w:r>
      <w:r>
        <w:rPr/>
        <w:t>effective</w:t>
      </w:r>
      <w:r>
        <w:rPr>
          <w:spacing w:val="-8"/>
        </w:rPr>
        <w:t> </w:t>
      </w:r>
      <w:r>
        <w:rPr/>
        <w:t>exchange</w:t>
      </w:r>
      <w:r>
        <w:rPr>
          <w:spacing w:val="-8"/>
        </w:rPr>
        <w:t> </w:t>
      </w:r>
      <w:r>
        <w:rPr/>
        <w:t>rate</w:t>
      </w:r>
      <w:r>
        <w:rPr>
          <w:spacing w:val="-6"/>
        </w:rPr>
        <w:t> </w:t>
      </w:r>
      <w:r>
        <w:rPr/>
        <w:t>had</w:t>
      </w:r>
      <w:r>
        <w:rPr>
          <w:spacing w:val="-8"/>
        </w:rPr>
        <w:t> </w:t>
      </w:r>
      <w:r>
        <w:rPr/>
        <w:t>appreciated</w:t>
      </w:r>
      <w:r>
        <w:rPr>
          <w:spacing w:val="-8"/>
        </w:rPr>
        <w:t> </w:t>
      </w:r>
      <w:r>
        <w:rPr/>
        <w:t>by</w:t>
      </w:r>
      <w:r>
        <w:rPr>
          <w:spacing w:val="-8"/>
        </w:rPr>
        <w:t> </w:t>
      </w:r>
      <w:r>
        <w:rPr/>
        <w:t>2.8%</w:t>
      </w:r>
      <w:r>
        <w:rPr>
          <w:spacing w:val="-8"/>
        </w:rPr>
        <w:t> </w:t>
      </w:r>
      <w:r>
        <w:rPr/>
        <w:t>since the April MPC meeting. This reflected an appreciation of 3.1% against the euro and 2% against the US dollar. A decomposition based on the UIP identity implied that around half of this appreciation was accounted for by </w:t>
      </w:r>
      <w:r>
        <w:rPr>
          <w:spacing w:val="-4"/>
        </w:rPr>
        <w:t>‘monetary</w:t>
      </w:r>
      <w:r>
        <w:rPr>
          <w:spacing w:val="7"/>
        </w:rPr>
        <w:t> </w:t>
      </w:r>
      <w:r>
        <w:rPr>
          <w:spacing w:val="-6"/>
        </w:rPr>
        <w:t>news’.</w:t>
      </w:r>
    </w:p>
    <w:p>
      <w:pPr>
        <w:spacing w:after="0" w:line="372" w:lineRule="auto"/>
        <w:sectPr>
          <w:pgSz w:w="11900" w:h="16840"/>
          <w:pgMar w:header="729" w:footer="0" w:top="1340" w:bottom="280" w:left="880" w:right="860"/>
        </w:sectPr>
      </w:pPr>
    </w:p>
    <w:p>
      <w:pPr>
        <w:pStyle w:val="BodyText"/>
        <w:spacing w:before="4"/>
        <w:rPr>
          <w:sz w:val="12"/>
        </w:rPr>
      </w:pPr>
    </w:p>
    <w:p>
      <w:pPr>
        <w:pStyle w:val="Heading1"/>
        <w:numPr>
          <w:ilvl w:val="0"/>
          <w:numId w:val="2"/>
        </w:numPr>
        <w:tabs>
          <w:tab w:pos="1121" w:val="left" w:leader="none"/>
          <w:tab w:pos="1122" w:val="left" w:leader="none"/>
        </w:tabs>
        <w:spacing w:line="240" w:lineRule="auto" w:before="90" w:after="0"/>
        <w:ind w:left="1121" w:right="0" w:hanging="721"/>
        <w:jc w:val="left"/>
      </w:pPr>
      <w:r>
        <w:rPr/>
        <w:t>Demand and</w:t>
      </w:r>
      <w:r>
        <w:rPr>
          <w:spacing w:val="3"/>
        </w:rPr>
        <w:t> </w:t>
      </w:r>
      <w:r>
        <w:rPr/>
        <w:t>output</w:t>
      </w:r>
    </w:p>
    <w:p>
      <w:pPr>
        <w:pStyle w:val="BodyText"/>
        <w:rPr>
          <w:b/>
          <w:sz w:val="26"/>
        </w:rPr>
      </w:pPr>
    </w:p>
    <w:p>
      <w:pPr>
        <w:pStyle w:val="BodyText"/>
        <w:spacing w:before="10"/>
        <w:rPr>
          <w:b/>
          <w:sz w:val="23"/>
        </w:rPr>
      </w:pPr>
    </w:p>
    <w:p>
      <w:pPr>
        <w:pStyle w:val="BodyText"/>
        <w:spacing w:line="372" w:lineRule="auto" w:before="1"/>
        <w:ind w:left="401" w:right="333"/>
      </w:pPr>
      <w:r>
        <w:rPr/>
        <w:t>A18 The preliminary ONS estimate of GDP growth in 1999 Q1 had been 0.1%, the same as in 1998 Q4. The annual rate of growth had fallen to 0.7%, the lowest rate since 1992. Service sector output had grown by 0.4% in Q1, compared with 0.5% in 1998 Q4. Within services, distribution output growth had picked up to 0.6% in Q1 from 0.1% in Q4 and had been implicitly offset by slower growth in other services. The ONS press release had suggested that there had been a small decline in manufacturing output in Q1 and a sharp decline in utilities output, but that construction and agricultural output had increased in Q1. Volatile energy output was likely to have reduced GDP in Q1.</w:t>
      </w:r>
    </w:p>
    <w:p>
      <w:pPr>
        <w:pStyle w:val="BodyText"/>
        <w:spacing w:before="8"/>
        <w:rPr>
          <w:sz w:val="36"/>
        </w:rPr>
      </w:pPr>
    </w:p>
    <w:p>
      <w:pPr>
        <w:pStyle w:val="BodyText"/>
        <w:spacing w:line="372" w:lineRule="auto"/>
        <w:ind w:left="401" w:right="481"/>
      </w:pPr>
      <w:r>
        <w:rPr/>
        <w:t>A19 Manufacturing output had fallen by 0.8% in the three months to February but growth had been strong in, for example, electrical industries. Engineering new orders had been positive in February; home new orders had risen by 9.9% in the three months to February and export orders had risen by 5.2%.</w:t>
      </w:r>
    </w:p>
    <w:p>
      <w:pPr>
        <w:pStyle w:val="BodyText"/>
        <w:rPr>
          <w:sz w:val="37"/>
        </w:rPr>
      </w:pPr>
    </w:p>
    <w:p>
      <w:pPr>
        <w:pStyle w:val="BodyText"/>
        <w:spacing w:line="372" w:lineRule="auto"/>
        <w:ind w:left="401" w:right="501"/>
      </w:pPr>
      <w:r>
        <w:rPr/>
        <w:t>A20 On the expenditure side of the National Accounts, retail sales had grown by 0.4% in March compared with a fall of 0.3% in February, and by 1.1% in Q1 following a fall of -0.2% in Q4.</w:t>
      </w:r>
    </w:p>
    <w:p>
      <w:pPr>
        <w:pStyle w:val="BodyText"/>
        <w:spacing w:line="372" w:lineRule="auto"/>
        <w:ind w:left="401" w:right="528"/>
      </w:pPr>
      <w:r>
        <w:rPr/>
        <w:t>Annual growth had risen to 1.9% in March and had been 1.5% in Q1. Annual growth in car registrations had been 3% in Q1 and 95% in the year to March, following the move to bi-annual registrations. Although the new seasonal pattern had been unknown, it was possible that underlying spending on vehicles had fallen between Q4 and Q1.</w:t>
      </w:r>
    </w:p>
    <w:p>
      <w:pPr>
        <w:pStyle w:val="BodyText"/>
        <w:spacing w:before="9"/>
        <w:rPr>
          <w:sz w:val="36"/>
        </w:rPr>
      </w:pPr>
    </w:p>
    <w:p>
      <w:pPr>
        <w:pStyle w:val="BodyText"/>
        <w:spacing w:line="372" w:lineRule="auto" w:before="1"/>
        <w:ind w:left="401" w:right="256"/>
      </w:pPr>
      <w:r>
        <w:rPr/>
        <w:t>A21 The March CBI Distributive Trades survey had shown a pick-up in expected sales in April, and was subsequently confirmed by the April survey. The GfK consumer confidence balance had been +1.7 in April compared to +1.6 in March, and the M</w:t>
      </w:r>
      <w:r>
        <w:rPr>
          <w:sz w:val="20"/>
        </w:rPr>
        <w:t>ORI </w:t>
      </w:r>
      <w:r>
        <w:rPr/>
        <w:t>indicator had risen sharply towards 0 in March, in line with the GfK measure of general confidence.</w:t>
      </w:r>
    </w:p>
    <w:p>
      <w:pPr>
        <w:pStyle w:val="BodyText"/>
        <w:spacing w:before="10"/>
        <w:rPr>
          <w:sz w:val="36"/>
        </w:rPr>
      </w:pPr>
    </w:p>
    <w:p>
      <w:pPr>
        <w:pStyle w:val="BodyText"/>
        <w:spacing w:line="372" w:lineRule="auto" w:before="1"/>
        <w:ind w:left="401" w:right="250"/>
      </w:pPr>
      <w:r>
        <w:rPr/>
        <w:t>A22 Both the Halifax and Nationwide house price indices had shown small rises in April (0.2% and 0.1% respectively). Regional data from the Halifax Building Society showed house price inflation had continued to slow in London and the South East in 1999 Q1. But recent survey evidence from the Royal Institute of Chartered Surveyors (R</w:t>
      </w:r>
      <w:r>
        <w:rPr>
          <w:sz w:val="20"/>
        </w:rPr>
        <w:t>ICS</w:t>
      </w:r>
      <w:r>
        <w:rPr/>
        <w:t>) had indicated a strong turnaround in March in house price inflation in London and the South East.</w:t>
      </w:r>
    </w:p>
    <w:p>
      <w:pPr>
        <w:spacing w:after="0" w:line="372" w:lineRule="auto"/>
        <w:sectPr>
          <w:pgSz w:w="11900" w:h="16840"/>
          <w:pgMar w:header="729" w:footer="0" w:top="1340" w:bottom="280" w:left="880" w:right="860"/>
        </w:sectPr>
      </w:pPr>
    </w:p>
    <w:p>
      <w:pPr>
        <w:pStyle w:val="BodyText"/>
        <w:rPr>
          <w:sz w:val="20"/>
        </w:rPr>
      </w:pPr>
    </w:p>
    <w:p>
      <w:pPr>
        <w:pStyle w:val="BodyText"/>
        <w:spacing w:before="1"/>
        <w:rPr>
          <w:sz w:val="29"/>
        </w:rPr>
      </w:pPr>
    </w:p>
    <w:p>
      <w:pPr>
        <w:pStyle w:val="BodyText"/>
        <w:spacing w:line="372" w:lineRule="auto" w:before="90"/>
        <w:ind w:left="401" w:right="294"/>
      </w:pPr>
      <w:r>
        <w:rPr/>
        <w:t>A23 Housing activity indicators had picked up. In March loan approvals had risen by 13% and net lending by 36%. The HBF site visits and net reservations had been positive for three months and particulars delivered had risen by 6% in March. R</w:t>
      </w:r>
      <w:r>
        <w:rPr>
          <w:sz w:val="20"/>
        </w:rPr>
        <w:t>ICS </w:t>
      </w:r>
      <w:r>
        <w:rPr/>
        <w:t>sales growth had risen in Q1. The number of properties on estate agents’ books had been at an historic low.</w:t>
      </w:r>
    </w:p>
    <w:p>
      <w:pPr>
        <w:pStyle w:val="BodyText"/>
        <w:rPr>
          <w:sz w:val="37"/>
        </w:rPr>
      </w:pPr>
    </w:p>
    <w:p>
      <w:pPr>
        <w:pStyle w:val="BodyText"/>
        <w:spacing w:line="372" w:lineRule="auto"/>
        <w:ind w:left="401" w:right="503"/>
      </w:pPr>
      <w:r>
        <w:rPr/>
        <w:t>A24 The P</w:t>
      </w:r>
      <w:r>
        <w:rPr>
          <w:sz w:val="22"/>
        </w:rPr>
        <w:t>SNCR </w:t>
      </w:r>
      <w:r>
        <w:rPr/>
        <w:t>had been £7.4 billion in March. The P</w:t>
      </w:r>
      <w:r>
        <w:rPr>
          <w:sz w:val="22"/>
        </w:rPr>
        <w:t>SNB </w:t>
      </w:r>
      <w:r>
        <w:rPr/>
        <w:t>had been £4.1 billion. For the financial year 1998/99 the </w:t>
      </w:r>
      <w:r>
        <w:rPr>
          <w:spacing w:val="2"/>
        </w:rPr>
        <w:t>P</w:t>
      </w:r>
      <w:r>
        <w:rPr>
          <w:spacing w:val="2"/>
          <w:sz w:val="22"/>
        </w:rPr>
        <w:t>SNCR </w:t>
      </w:r>
      <w:r>
        <w:rPr/>
        <w:t>had been -£7.4 billion, the first surplus since 1990/91. The surplus</w:t>
      </w:r>
      <w:r>
        <w:rPr>
          <w:spacing w:val="-12"/>
        </w:rPr>
        <w:t> </w:t>
      </w:r>
      <w:r>
        <w:rPr/>
        <w:t>had</w:t>
      </w:r>
      <w:r>
        <w:rPr>
          <w:spacing w:val="-11"/>
        </w:rPr>
        <w:t> </w:t>
      </w:r>
      <w:r>
        <w:rPr/>
        <w:t>been</w:t>
      </w:r>
      <w:r>
        <w:rPr>
          <w:spacing w:val="-11"/>
        </w:rPr>
        <w:t> </w:t>
      </w:r>
      <w:r>
        <w:rPr/>
        <w:t>£2.2</w:t>
      </w:r>
      <w:r>
        <w:rPr>
          <w:spacing w:val="-12"/>
        </w:rPr>
        <w:t> </w:t>
      </w:r>
      <w:r>
        <w:rPr/>
        <w:t>billion</w:t>
      </w:r>
      <w:r>
        <w:rPr>
          <w:spacing w:val="-11"/>
        </w:rPr>
        <w:t> </w:t>
      </w:r>
      <w:r>
        <w:rPr/>
        <w:t>higher</w:t>
      </w:r>
      <w:r>
        <w:rPr>
          <w:spacing w:val="-11"/>
        </w:rPr>
        <w:t> </w:t>
      </w:r>
      <w:r>
        <w:rPr/>
        <w:t>than</w:t>
      </w:r>
      <w:r>
        <w:rPr>
          <w:spacing w:val="-11"/>
        </w:rPr>
        <w:t> </w:t>
      </w:r>
      <w:r>
        <w:rPr/>
        <w:t>in</w:t>
      </w:r>
      <w:r>
        <w:rPr>
          <w:spacing w:val="-12"/>
        </w:rPr>
        <w:t> </w:t>
      </w:r>
      <w:r>
        <w:rPr/>
        <w:t>the</w:t>
      </w:r>
      <w:r>
        <w:rPr>
          <w:spacing w:val="-11"/>
        </w:rPr>
        <w:t> </w:t>
      </w:r>
      <w:r>
        <w:rPr/>
        <w:t>Budget,</w:t>
      </w:r>
      <w:r>
        <w:rPr>
          <w:spacing w:val="-7"/>
        </w:rPr>
        <w:t> </w:t>
      </w:r>
      <w:r>
        <w:rPr/>
        <w:t>with</w:t>
      </w:r>
      <w:r>
        <w:rPr>
          <w:spacing w:val="-12"/>
        </w:rPr>
        <w:t> </w:t>
      </w:r>
      <w:r>
        <w:rPr/>
        <w:t>£1.3</w:t>
      </w:r>
      <w:r>
        <w:rPr>
          <w:spacing w:val="-11"/>
        </w:rPr>
        <w:t> </w:t>
      </w:r>
      <w:r>
        <w:rPr/>
        <w:t>billion</w:t>
      </w:r>
      <w:r>
        <w:rPr>
          <w:spacing w:val="-11"/>
        </w:rPr>
        <w:t> </w:t>
      </w:r>
      <w:r>
        <w:rPr/>
        <w:t>lower</w:t>
      </w:r>
      <w:r>
        <w:rPr>
          <w:spacing w:val="-11"/>
        </w:rPr>
        <w:t> </w:t>
      </w:r>
      <w:r>
        <w:rPr/>
        <w:t>spending</w:t>
      </w:r>
      <w:r>
        <w:rPr>
          <w:spacing w:val="-12"/>
        </w:rPr>
        <w:t> </w:t>
      </w:r>
      <w:r>
        <w:rPr/>
        <w:t>and</w:t>
      </w:r>
      <w:r>
        <w:rPr>
          <w:spacing w:val="-11"/>
        </w:rPr>
        <w:t> </w:t>
      </w:r>
      <w:r>
        <w:rPr/>
        <w:t>£0.8 billion higher</w:t>
      </w:r>
      <w:r>
        <w:rPr>
          <w:spacing w:val="2"/>
        </w:rPr>
        <w:t> </w:t>
      </w:r>
      <w:r>
        <w:rPr/>
        <w:t>receipts.</w:t>
      </w:r>
    </w:p>
    <w:p>
      <w:pPr>
        <w:pStyle w:val="BodyText"/>
        <w:spacing w:before="11"/>
        <w:rPr>
          <w:sz w:val="36"/>
        </w:rPr>
      </w:pPr>
    </w:p>
    <w:p>
      <w:pPr>
        <w:pStyle w:val="BodyText"/>
        <w:spacing w:line="372" w:lineRule="auto"/>
        <w:ind w:left="401" w:right="333"/>
      </w:pPr>
      <w:r>
        <w:rPr/>
        <w:t>A25 Surveys had provided evidence on investment in Q1. The BCC Survey of manufacturers had shown</w:t>
      </w:r>
      <w:r>
        <w:rPr>
          <w:spacing w:val="-14"/>
        </w:rPr>
        <w:t> </w:t>
      </w:r>
      <w:r>
        <w:rPr/>
        <w:t>a</w:t>
      </w:r>
      <w:r>
        <w:rPr>
          <w:spacing w:val="-14"/>
        </w:rPr>
        <w:t> </w:t>
      </w:r>
      <w:r>
        <w:rPr/>
        <w:t>slight</w:t>
      </w:r>
      <w:r>
        <w:rPr>
          <w:spacing w:val="-11"/>
        </w:rPr>
        <w:t> </w:t>
      </w:r>
      <w:r>
        <w:rPr/>
        <w:t>improvement,</w:t>
      </w:r>
      <w:r>
        <w:rPr>
          <w:spacing w:val="-10"/>
        </w:rPr>
        <w:t> </w:t>
      </w:r>
      <w:r>
        <w:rPr/>
        <w:t>with</w:t>
      </w:r>
      <w:r>
        <w:rPr>
          <w:spacing w:val="-14"/>
        </w:rPr>
        <w:t> </w:t>
      </w:r>
      <w:r>
        <w:rPr/>
        <w:t>a</w:t>
      </w:r>
      <w:r>
        <w:rPr>
          <w:spacing w:val="-14"/>
        </w:rPr>
        <w:t> </w:t>
      </w:r>
      <w:r>
        <w:rPr/>
        <w:t>balance</w:t>
      </w:r>
      <w:r>
        <w:rPr>
          <w:spacing w:val="-14"/>
        </w:rPr>
        <w:t> </w:t>
      </w:r>
      <w:r>
        <w:rPr/>
        <w:t>of</w:t>
      </w:r>
      <w:r>
        <w:rPr>
          <w:spacing w:val="-10"/>
        </w:rPr>
        <w:t> </w:t>
      </w:r>
      <w:r>
        <w:rPr/>
        <w:t>+4%</w:t>
      </w:r>
      <w:r>
        <w:rPr>
          <w:spacing w:val="-14"/>
        </w:rPr>
        <w:t> </w:t>
      </w:r>
      <w:r>
        <w:rPr/>
        <w:t>increasing</w:t>
      </w:r>
      <w:r>
        <w:rPr>
          <w:spacing w:val="-14"/>
        </w:rPr>
        <w:t> </w:t>
      </w:r>
      <w:r>
        <w:rPr/>
        <w:t>investment</w:t>
      </w:r>
      <w:r>
        <w:rPr>
          <w:spacing w:val="-10"/>
        </w:rPr>
        <w:t> </w:t>
      </w:r>
      <w:r>
        <w:rPr/>
        <w:t>in</w:t>
      </w:r>
      <w:r>
        <w:rPr>
          <w:spacing w:val="-14"/>
        </w:rPr>
        <w:t> </w:t>
      </w:r>
      <w:r>
        <w:rPr/>
        <w:t>plant</w:t>
      </w:r>
      <w:r>
        <w:rPr>
          <w:spacing w:val="-11"/>
        </w:rPr>
        <w:t> </w:t>
      </w:r>
      <w:r>
        <w:rPr/>
        <w:t>and</w:t>
      </w:r>
      <w:r>
        <w:rPr>
          <w:spacing w:val="-14"/>
        </w:rPr>
        <w:t> </w:t>
      </w:r>
      <w:r>
        <w:rPr/>
        <w:t>machinery. But the CBI investment intentions balance had fallen slightly </w:t>
      </w:r>
      <w:r>
        <w:rPr>
          <w:spacing w:val="2"/>
        </w:rPr>
        <w:t>to </w:t>
      </w:r>
      <w:r>
        <w:rPr/>
        <w:t>-29%. The BCC services investment intentions balance had remained above its average at +18% in Q1. Data on imports of capital goods and the production of investment goods had suggested increases in equipment investment in Q1. The new </w:t>
      </w:r>
      <w:r>
        <w:rPr>
          <w:spacing w:val="3"/>
        </w:rPr>
        <w:t>orders </w:t>
      </w:r>
      <w:r>
        <w:rPr/>
        <w:t>data had contrasted with the </w:t>
      </w:r>
      <w:r>
        <w:rPr>
          <w:spacing w:val="-3"/>
        </w:rPr>
        <w:t>C</w:t>
      </w:r>
      <w:r>
        <w:rPr>
          <w:spacing w:val="-3"/>
          <w:sz w:val="20"/>
        </w:rPr>
        <w:t>IPS </w:t>
      </w:r>
      <w:r>
        <w:rPr/>
        <w:t>Construction survey index which</w:t>
      </w:r>
      <w:r>
        <w:rPr>
          <w:spacing w:val="-9"/>
        </w:rPr>
        <w:t> </w:t>
      </w:r>
      <w:r>
        <w:rPr/>
        <w:t>had</w:t>
      </w:r>
      <w:r>
        <w:rPr>
          <w:spacing w:val="-8"/>
        </w:rPr>
        <w:t> </w:t>
      </w:r>
      <w:r>
        <w:rPr/>
        <w:t>risen</w:t>
      </w:r>
      <w:r>
        <w:rPr>
          <w:spacing w:val="-7"/>
        </w:rPr>
        <w:t> </w:t>
      </w:r>
      <w:r>
        <w:rPr>
          <w:spacing w:val="2"/>
        </w:rPr>
        <w:t>to</w:t>
      </w:r>
      <w:r>
        <w:rPr>
          <w:spacing w:val="-4"/>
        </w:rPr>
        <w:t> </w:t>
      </w:r>
      <w:r>
        <w:rPr/>
        <w:t>57.4</w:t>
      </w:r>
      <w:r>
        <w:rPr>
          <w:spacing w:val="-8"/>
        </w:rPr>
        <w:t> </w:t>
      </w:r>
      <w:r>
        <w:rPr/>
        <w:t>in</w:t>
      </w:r>
      <w:r>
        <w:rPr>
          <w:spacing w:val="-8"/>
        </w:rPr>
        <w:t> </w:t>
      </w:r>
      <w:r>
        <w:rPr/>
        <w:t>April,</w:t>
      </w:r>
      <w:r>
        <w:rPr>
          <w:spacing w:val="-9"/>
        </w:rPr>
        <w:t> </w:t>
      </w:r>
      <w:r>
        <w:rPr/>
        <w:t>the</w:t>
      </w:r>
      <w:r>
        <w:rPr>
          <w:spacing w:val="-8"/>
        </w:rPr>
        <w:t> </w:t>
      </w:r>
      <w:r>
        <w:rPr/>
        <w:t>third</w:t>
      </w:r>
      <w:r>
        <w:rPr>
          <w:spacing w:val="-8"/>
        </w:rPr>
        <w:t> </w:t>
      </w:r>
      <w:r>
        <w:rPr/>
        <w:t>consecutive</w:t>
      </w:r>
      <w:r>
        <w:rPr>
          <w:spacing w:val="-8"/>
        </w:rPr>
        <w:t> </w:t>
      </w:r>
      <w:r>
        <w:rPr/>
        <w:t>rise</w:t>
      </w:r>
      <w:r>
        <w:rPr>
          <w:spacing w:val="-7"/>
        </w:rPr>
        <w:t> </w:t>
      </w:r>
      <w:r>
        <w:rPr/>
        <w:t>in</w:t>
      </w:r>
      <w:r>
        <w:rPr>
          <w:spacing w:val="-8"/>
        </w:rPr>
        <w:t> </w:t>
      </w:r>
      <w:r>
        <w:rPr/>
        <w:t>activity.</w:t>
      </w:r>
      <w:r>
        <w:rPr>
          <w:spacing w:val="43"/>
        </w:rPr>
        <w:t> </w:t>
      </w:r>
      <w:r>
        <w:rPr/>
        <w:t>The</w:t>
      </w:r>
      <w:r>
        <w:rPr>
          <w:spacing w:val="-6"/>
        </w:rPr>
        <w:t> </w:t>
      </w:r>
      <w:r>
        <w:rPr/>
        <w:t>C</w:t>
      </w:r>
      <w:r>
        <w:rPr>
          <w:sz w:val="20"/>
        </w:rPr>
        <w:t>IPS</w:t>
      </w:r>
      <w:r>
        <w:rPr>
          <w:spacing w:val="1"/>
          <w:sz w:val="20"/>
        </w:rPr>
        <w:t> </w:t>
      </w:r>
      <w:r>
        <w:rPr/>
        <w:t>survey</w:t>
      </w:r>
      <w:r>
        <w:rPr>
          <w:spacing w:val="-9"/>
        </w:rPr>
        <w:t> </w:t>
      </w:r>
      <w:r>
        <w:rPr/>
        <w:t>had</w:t>
      </w:r>
      <w:r>
        <w:rPr>
          <w:spacing w:val="-8"/>
        </w:rPr>
        <w:t> </w:t>
      </w:r>
      <w:r>
        <w:rPr/>
        <w:t>shown increases in all sectors, </w:t>
      </w:r>
      <w:r>
        <w:rPr>
          <w:spacing w:val="3"/>
        </w:rPr>
        <w:t>other </w:t>
      </w:r>
      <w:r>
        <w:rPr/>
        <w:t>than civil engineering. Housing had been particularly strong, with 2.9% growth in private housing starts in the three months </w:t>
      </w:r>
      <w:r>
        <w:rPr>
          <w:spacing w:val="2"/>
        </w:rPr>
        <w:t>to </w:t>
      </w:r>
      <w:r>
        <w:rPr/>
        <w:t>February and 3.3% growth in completions.</w:t>
      </w:r>
    </w:p>
    <w:p>
      <w:pPr>
        <w:pStyle w:val="BodyText"/>
        <w:spacing w:before="7"/>
        <w:rPr>
          <w:sz w:val="36"/>
        </w:rPr>
      </w:pPr>
    </w:p>
    <w:p>
      <w:pPr>
        <w:pStyle w:val="BodyText"/>
        <w:spacing w:line="372" w:lineRule="auto"/>
        <w:ind w:left="401" w:right="392"/>
      </w:pPr>
      <w:r>
        <w:rPr/>
        <w:t>A26 The </w:t>
      </w:r>
      <w:r>
        <w:rPr>
          <w:spacing w:val="-6"/>
        </w:rPr>
        <w:t>Bank’s </w:t>
      </w:r>
      <w:r>
        <w:rPr/>
        <w:t>regional Agents had conducted a survey of their contacts on the effect of the Millennium</w:t>
      </w:r>
      <w:r>
        <w:rPr>
          <w:spacing w:val="-21"/>
        </w:rPr>
        <w:t> </w:t>
      </w:r>
      <w:r>
        <w:rPr/>
        <w:t>on</w:t>
      </w:r>
      <w:r>
        <w:rPr>
          <w:spacing w:val="-17"/>
        </w:rPr>
        <w:t> </w:t>
      </w:r>
      <w:r>
        <w:rPr/>
        <w:t>investment</w:t>
      </w:r>
      <w:r>
        <w:rPr>
          <w:spacing w:val="-16"/>
        </w:rPr>
        <w:t> </w:t>
      </w:r>
      <w:r>
        <w:rPr/>
        <w:t>spending</w:t>
      </w:r>
      <w:r>
        <w:rPr>
          <w:spacing w:val="-21"/>
        </w:rPr>
        <w:t> </w:t>
      </w:r>
      <w:r>
        <w:rPr/>
        <w:t>and</w:t>
      </w:r>
      <w:r>
        <w:rPr>
          <w:spacing w:val="-20"/>
        </w:rPr>
        <w:t> </w:t>
      </w:r>
      <w:r>
        <w:rPr/>
        <w:t>stocks.</w:t>
      </w:r>
      <w:r>
        <w:rPr>
          <w:spacing w:val="20"/>
        </w:rPr>
        <w:t> </w:t>
      </w:r>
      <w:r>
        <w:rPr/>
        <w:t>Millennium</w:t>
      </w:r>
      <w:r>
        <w:rPr>
          <w:spacing w:val="-20"/>
        </w:rPr>
        <w:t> </w:t>
      </w:r>
      <w:r>
        <w:rPr/>
        <w:t>investment</w:t>
      </w:r>
      <w:r>
        <w:rPr>
          <w:spacing w:val="-17"/>
        </w:rPr>
        <w:t> </w:t>
      </w:r>
      <w:r>
        <w:rPr/>
        <w:t>spending</w:t>
      </w:r>
      <w:r>
        <w:rPr>
          <w:spacing w:val="-20"/>
        </w:rPr>
        <w:t> </w:t>
      </w:r>
      <w:r>
        <w:rPr/>
        <w:t>had</w:t>
      </w:r>
      <w:r>
        <w:rPr>
          <w:spacing w:val="-20"/>
        </w:rPr>
        <w:t> </w:t>
      </w:r>
      <w:r>
        <w:rPr/>
        <w:t>already</w:t>
      </w:r>
      <w:r>
        <w:rPr>
          <w:spacing w:val="-20"/>
        </w:rPr>
        <w:t> </w:t>
      </w:r>
      <w:r>
        <w:rPr/>
        <w:t>been carried</w:t>
      </w:r>
      <w:r>
        <w:rPr>
          <w:spacing w:val="-8"/>
        </w:rPr>
        <w:t> </w:t>
      </w:r>
      <w:r>
        <w:rPr>
          <w:spacing w:val="2"/>
        </w:rPr>
        <w:t>out</w:t>
      </w:r>
      <w:r>
        <w:rPr>
          <w:spacing w:val="-2"/>
        </w:rPr>
        <w:t> </w:t>
      </w:r>
      <w:r>
        <w:rPr/>
        <w:t>by</w:t>
      </w:r>
      <w:r>
        <w:rPr>
          <w:spacing w:val="-8"/>
        </w:rPr>
        <w:t> </w:t>
      </w:r>
      <w:r>
        <w:rPr/>
        <w:t>92%</w:t>
      </w:r>
      <w:r>
        <w:rPr>
          <w:spacing w:val="-7"/>
        </w:rPr>
        <w:t> </w:t>
      </w:r>
      <w:r>
        <w:rPr/>
        <w:t>of</w:t>
      </w:r>
      <w:r>
        <w:rPr>
          <w:spacing w:val="-3"/>
        </w:rPr>
        <w:t> </w:t>
      </w:r>
      <w:r>
        <w:rPr/>
        <w:t>contacts</w:t>
      </w:r>
      <w:r>
        <w:rPr>
          <w:spacing w:val="-7"/>
        </w:rPr>
        <w:t> </w:t>
      </w:r>
      <w:r>
        <w:rPr/>
        <w:t>and,</w:t>
      </w:r>
      <w:r>
        <w:rPr>
          <w:spacing w:val="-7"/>
        </w:rPr>
        <w:t> </w:t>
      </w:r>
      <w:r>
        <w:rPr/>
        <w:t>of</w:t>
      </w:r>
      <w:r>
        <w:rPr>
          <w:spacing w:val="-3"/>
        </w:rPr>
        <w:t> </w:t>
      </w:r>
      <w:r>
        <w:rPr/>
        <w:t>these,</w:t>
      </w:r>
      <w:r>
        <w:rPr>
          <w:spacing w:val="-7"/>
        </w:rPr>
        <w:t> </w:t>
      </w:r>
      <w:r>
        <w:rPr/>
        <w:t>40%</w:t>
      </w:r>
      <w:r>
        <w:rPr>
          <w:spacing w:val="-7"/>
        </w:rPr>
        <w:t> </w:t>
      </w:r>
      <w:r>
        <w:rPr/>
        <w:t>intended</w:t>
      </w:r>
      <w:r>
        <w:rPr>
          <w:spacing w:val="-7"/>
        </w:rPr>
        <w:t> </w:t>
      </w:r>
      <w:r>
        <w:rPr>
          <w:spacing w:val="2"/>
        </w:rPr>
        <w:t>to</w:t>
      </w:r>
      <w:r>
        <w:rPr>
          <w:spacing w:val="-3"/>
        </w:rPr>
        <w:t> </w:t>
      </w:r>
      <w:r>
        <w:rPr/>
        <w:t>spend</w:t>
      </w:r>
      <w:r>
        <w:rPr>
          <w:spacing w:val="-7"/>
        </w:rPr>
        <w:t> </w:t>
      </w:r>
      <w:r>
        <w:rPr/>
        <w:t>more</w:t>
      </w:r>
      <w:r>
        <w:rPr>
          <w:spacing w:val="-7"/>
        </w:rPr>
        <w:t> </w:t>
      </w:r>
      <w:r>
        <w:rPr/>
        <w:t>before</w:t>
      </w:r>
      <w:r>
        <w:rPr>
          <w:spacing w:val="-7"/>
        </w:rPr>
        <w:t> </w:t>
      </w:r>
      <w:r>
        <w:rPr/>
        <w:t>the</w:t>
      </w:r>
      <w:r>
        <w:rPr>
          <w:spacing w:val="-7"/>
        </w:rPr>
        <w:t> </w:t>
      </w:r>
      <w:r>
        <w:rPr/>
        <w:t>Millennium. This</w:t>
      </w:r>
      <w:r>
        <w:rPr>
          <w:spacing w:val="-8"/>
        </w:rPr>
        <w:t> </w:t>
      </w:r>
      <w:r>
        <w:rPr/>
        <w:t>had</w:t>
      </w:r>
      <w:r>
        <w:rPr>
          <w:spacing w:val="-9"/>
        </w:rPr>
        <w:t> </w:t>
      </w:r>
      <w:r>
        <w:rPr/>
        <w:t>mainly</w:t>
      </w:r>
      <w:r>
        <w:rPr>
          <w:spacing w:val="-8"/>
        </w:rPr>
        <w:t> </w:t>
      </w:r>
      <w:r>
        <w:rPr/>
        <w:t>been</w:t>
      </w:r>
      <w:r>
        <w:rPr>
          <w:spacing w:val="-9"/>
        </w:rPr>
        <w:t> </w:t>
      </w:r>
      <w:r>
        <w:rPr/>
        <w:t>related</w:t>
      </w:r>
      <w:r>
        <w:rPr>
          <w:spacing w:val="-7"/>
        </w:rPr>
        <w:t> </w:t>
      </w:r>
      <w:r>
        <w:rPr>
          <w:spacing w:val="2"/>
        </w:rPr>
        <w:t>to</w:t>
      </w:r>
      <w:r>
        <w:rPr>
          <w:spacing w:val="-5"/>
        </w:rPr>
        <w:t> </w:t>
      </w:r>
      <w:r>
        <w:rPr/>
        <w:t>IT</w:t>
      </w:r>
      <w:r>
        <w:rPr>
          <w:spacing w:val="-7"/>
        </w:rPr>
        <w:t> </w:t>
      </w:r>
      <w:r>
        <w:rPr/>
        <w:t>systems</w:t>
      </w:r>
      <w:r>
        <w:rPr>
          <w:spacing w:val="-9"/>
        </w:rPr>
        <w:t> </w:t>
      </w:r>
      <w:r>
        <w:rPr/>
        <w:t>and</w:t>
      </w:r>
      <w:r>
        <w:rPr>
          <w:spacing w:val="-9"/>
        </w:rPr>
        <w:t> </w:t>
      </w:r>
      <w:r>
        <w:rPr/>
        <w:t>the</w:t>
      </w:r>
      <w:r>
        <w:rPr>
          <w:spacing w:val="-9"/>
        </w:rPr>
        <w:t> </w:t>
      </w:r>
      <w:r>
        <w:rPr/>
        <w:t>Year-2000</w:t>
      </w:r>
      <w:r>
        <w:rPr>
          <w:spacing w:val="-7"/>
        </w:rPr>
        <w:t> </w:t>
      </w:r>
      <w:r>
        <w:rPr/>
        <w:t>problem</w:t>
      </w:r>
      <w:r>
        <w:rPr>
          <w:spacing w:val="-9"/>
        </w:rPr>
        <w:t> </w:t>
      </w:r>
      <w:r>
        <w:rPr/>
        <w:t>and,</w:t>
      </w:r>
      <w:r>
        <w:rPr>
          <w:spacing w:val="-9"/>
        </w:rPr>
        <w:t> </w:t>
      </w:r>
      <w:r>
        <w:rPr/>
        <w:t>generally,</w:t>
      </w:r>
      <w:r>
        <w:rPr>
          <w:spacing w:val="-8"/>
        </w:rPr>
        <w:t> </w:t>
      </w:r>
      <w:r>
        <w:rPr/>
        <w:t>those</w:t>
      </w:r>
      <w:r>
        <w:rPr>
          <w:spacing w:val="-9"/>
        </w:rPr>
        <w:t> </w:t>
      </w:r>
      <w:r>
        <w:rPr/>
        <w:t>who had not increased spending had modern systems already. 65% of investment had been additional, 38% had been brought forward (including replacing systems early rather than tampering with existing systems) and 13% had displaced </w:t>
      </w:r>
      <w:r>
        <w:rPr>
          <w:spacing w:val="3"/>
        </w:rPr>
        <w:t>other </w:t>
      </w:r>
      <w:r>
        <w:rPr/>
        <w:t>investment. Of investment yet </w:t>
      </w:r>
      <w:r>
        <w:rPr>
          <w:spacing w:val="2"/>
        </w:rPr>
        <w:t>to </w:t>
      </w:r>
      <w:r>
        <w:rPr/>
        <w:t>be undertaken, 44% would be additional and 23% would be brought forward. Many contacts had not yet made a decision</w:t>
      </w:r>
      <w:r>
        <w:rPr>
          <w:spacing w:val="-10"/>
        </w:rPr>
        <w:t> </w:t>
      </w:r>
      <w:r>
        <w:rPr/>
        <w:t>on</w:t>
      </w:r>
      <w:r>
        <w:rPr>
          <w:spacing w:val="-6"/>
        </w:rPr>
        <w:t> </w:t>
      </w:r>
      <w:r>
        <w:rPr/>
        <w:t>Millennium</w:t>
      </w:r>
      <w:r>
        <w:rPr>
          <w:spacing w:val="-10"/>
        </w:rPr>
        <w:t> </w:t>
      </w:r>
      <w:r>
        <w:rPr/>
        <w:t>stocks,</w:t>
      </w:r>
      <w:r>
        <w:rPr>
          <w:spacing w:val="-9"/>
        </w:rPr>
        <w:t> </w:t>
      </w:r>
      <w:r>
        <w:rPr/>
        <w:t>but</w:t>
      </w:r>
      <w:r>
        <w:rPr>
          <w:spacing w:val="-6"/>
        </w:rPr>
        <w:t> </w:t>
      </w:r>
      <w:r>
        <w:rPr/>
        <w:t>24%</w:t>
      </w:r>
      <w:r>
        <w:rPr>
          <w:spacing w:val="-10"/>
        </w:rPr>
        <w:t> </w:t>
      </w:r>
      <w:r>
        <w:rPr/>
        <w:t>planned</w:t>
      </w:r>
      <w:r>
        <w:rPr>
          <w:spacing w:val="-10"/>
        </w:rPr>
        <w:t> </w:t>
      </w:r>
      <w:r>
        <w:rPr>
          <w:spacing w:val="2"/>
        </w:rPr>
        <w:t>to</w:t>
      </w:r>
      <w:r>
        <w:rPr>
          <w:spacing w:val="-5"/>
        </w:rPr>
        <w:t> </w:t>
      </w:r>
      <w:r>
        <w:rPr/>
        <w:t>increase</w:t>
      </w:r>
      <w:r>
        <w:rPr>
          <w:spacing w:val="-10"/>
        </w:rPr>
        <w:t> </w:t>
      </w:r>
      <w:r>
        <w:rPr/>
        <w:t>stocks</w:t>
      </w:r>
      <w:r>
        <w:rPr>
          <w:spacing w:val="-10"/>
        </w:rPr>
        <w:t> </w:t>
      </w:r>
      <w:r>
        <w:rPr/>
        <w:t>and</w:t>
      </w:r>
      <w:r>
        <w:rPr>
          <w:spacing w:val="-9"/>
        </w:rPr>
        <w:t> </w:t>
      </w:r>
      <w:r>
        <w:rPr/>
        <w:t>4%</w:t>
      </w:r>
      <w:r>
        <w:rPr>
          <w:spacing w:val="-10"/>
        </w:rPr>
        <w:t> </w:t>
      </w:r>
      <w:r>
        <w:rPr/>
        <w:t>already</w:t>
      </w:r>
      <w:r>
        <w:rPr>
          <w:spacing w:val="-10"/>
        </w:rPr>
        <w:t> </w:t>
      </w:r>
      <w:r>
        <w:rPr/>
        <w:t>had.</w:t>
      </w:r>
      <w:r>
        <w:rPr>
          <w:spacing w:val="41"/>
        </w:rPr>
        <w:t> </w:t>
      </w:r>
      <w:r>
        <w:rPr/>
        <w:t>Retailers had expected strong demand for food and alcohol but there had been no expectation of</w:t>
      </w:r>
      <w:r>
        <w:rPr>
          <w:spacing w:val="-42"/>
        </w:rPr>
        <w:t> </w:t>
      </w:r>
      <w:r>
        <w:rPr/>
        <w:t>food</w:t>
      </w:r>
    </w:p>
    <w:p>
      <w:pPr>
        <w:spacing w:after="0" w:line="372" w:lineRule="auto"/>
        <w:sectPr>
          <w:pgSz w:w="11900" w:h="16840"/>
          <w:pgMar w:header="729" w:footer="0" w:top="1340" w:bottom="280" w:left="880" w:right="860"/>
        </w:sectPr>
      </w:pPr>
    </w:p>
    <w:p>
      <w:pPr>
        <w:pStyle w:val="BodyText"/>
        <w:rPr>
          <w:sz w:val="12"/>
        </w:rPr>
      </w:pPr>
    </w:p>
    <w:p>
      <w:pPr>
        <w:pStyle w:val="BodyText"/>
        <w:spacing w:line="372" w:lineRule="auto" w:before="90"/>
        <w:ind w:left="401"/>
      </w:pPr>
      <w:r>
        <w:rPr/>
        <w:t>shortages. Some manufacturers would be increasing stocks of finished goods to meet demand or disruption to supply.</w:t>
      </w:r>
    </w:p>
    <w:p>
      <w:pPr>
        <w:pStyle w:val="BodyText"/>
        <w:rPr>
          <w:sz w:val="37"/>
        </w:rPr>
      </w:pPr>
    </w:p>
    <w:p>
      <w:pPr>
        <w:pStyle w:val="BodyText"/>
        <w:spacing w:line="372" w:lineRule="auto"/>
        <w:ind w:left="401" w:right="411"/>
      </w:pPr>
      <w:r>
        <w:rPr/>
        <w:t>A27 The CBI Industrial Trends reported stock balance had risen </w:t>
      </w:r>
      <w:r>
        <w:rPr>
          <w:spacing w:val="2"/>
        </w:rPr>
        <w:t>to </w:t>
      </w:r>
      <w:r>
        <w:rPr/>
        <w:t>-2, compared with -14, in Q4 but stocks had still been reported </w:t>
      </w:r>
      <w:r>
        <w:rPr>
          <w:spacing w:val="2"/>
        </w:rPr>
        <w:t>to </w:t>
      </w:r>
      <w:r>
        <w:rPr/>
        <w:t>be more than adequate in Q1. The rise in retail sales in Q1 may</w:t>
      </w:r>
      <w:r>
        <w:rPr>
          <w:spacing w:val="-10"/>
        </w:rPr>
        <w:t> </w:t>
      </w:r>
      <w:r>
        <w:rPr/>
        <w:t>have</w:t>
      </w:r>
      <w:r>
        <w:rPr>
          <w:spacing w:val="-9"/>
        </w:rPr>
        <w:t> </w:t>
      </w:r>
      <w:r>
        <w:rPr/>
        <w:t>further</w:t>
      </w:r>
      <w:r>
        <w:rPr>
          <w:spacing w:val="-9"/>
        </w:rPr>
        <w:t> </w:t>
      </w:r>
      <w:r>
        <w:rPr/>
        <w:t>reduced</w:t>
      </w:r>
      <w:r>
        <w:rPr>
          <w:spacing w:val="-7"/>
        </w:rPr>
        <w:t> </w:t>
      </w:r>
      <w:r>
        <w:rPr/>
        <w:t>retail</w:t>
      </w:r>
      <w:r>
        <w:rPr>
          <w:spacing w:val="-7"/>
        </w:rPr>
        <w:t> </w:t>
      </w:r>
      <w:r>
        <w:rPr/>
        <w:t>stocks</w:t>
      </w:r>
      <w:r>
        <w:rPr>
          <w:spacing w:val="-9"/>
        </w:rPr>
        <w:t> </w:t>
      </w:r>
      <w:r>
        <w:rPr/>
        <w:t>with</w:t>
      </w:r>
      <w:r>
        <w:rPr>
          <w:spacing w:val="-9"/>
        </w:rPr>
        <w:t> </w:t>
      </w:r>
      <w:r>
        <w:rPr/>
        <w:t>a</w:t>
      </w:r>
      <w:r>
        <w:rPr>
          <w:spacing w:val="-10"/>
        </w:rPr>
        <w:t> </w:t>
      </w:r>
      <w:r>
        <w:rPr/>
        <w:t>relatively</w:t>
      </w:r>
      <w:r>
        <w:rPr>
          <w:spacing w:val="-7"/>
        </w:rPr>
        <w:t> </w:t>
      </w:r>
      <w:r>
        <w:rPr/>
        <w:t>low</w:t>
      </w:r>
      <w:r>
        <w:rPr>
          <w:spacing w:val="-9"/>
        </w:rPr>
        <w:t> </w:t>
      </w:r>
      <w:r>
        <w:rPr/>
        <w:t>+15</w:t>
      </w:r>
      <w:r>
        <w:rPr>
          <w:spacing w:val="-9"/>
        </w:rPr>
        <w:t> </w:t>
      </w:r>
      <w:r>
        <w:rPr/>
        <w:t>balance</w:t>
      </w:r>
      <w:r>
        <w:rPr>
          <w:spacing w:val="-9"/>
        </w:rPr>
        <w:t> </w:t>
      </w:r>
      <w:r>
        <w:rPr/>
        <w:t>of</w:t>
      </w:r>
      <w:r>
        <w:rPr>
          <w:spacing w:val="-5"/>
        </w:rPr>
        <w:t> </w:t>
      </w:r>
      <w:r>
        <w:rPr/>
        <w:t>CBI</w:t>
      </w:r>
      <w:r>
        <w:rPr>
          <w:spacing w:val="-9"/>
        </w:rPr>
        <w:t> </w:t>
      </w:r>
      <w:r>
        <w:rPr/>
        <w:t>retailers</w:t>
      </w:r>
      <w:r>
        <w:rPr>
          <w:spacing w:val="-7"/>
        </w:rPr>
        <w:t> </w:t>
      </w:r>
      <w:r>
        <w:rPr/>
        <w:t>reporting more than adequate stocks in</w:t>
      </w:r>
      <w:r>
        <w:rPr>
          <w:spacing w:val="7"/>
        </w:rPr>
        <w:t> </w:t>
      </w:r>
      <w:r>
        <w:rPr/>
        <w:t>March.</w:t>
      </w:r>
    </w:p>
    <w:p>
      <w:pPr>
        <w:pStyle w:val="BodyText"/>
        <w:rPr>
          <w:sz w:val="37"/>
        </w:rPr>
      </w:pPr>
    </w:p>
    <w:p>
      <w:pPr>
        <w:pStyle w:val="BodyText"/>
        <w:spacing w:line="372" w:lineRule="auto"/>
        <w:ind w:left="401" w:right="352"/>
      </w:pPr>
      <w:r>
        <w:rPr/>
        <w:t>A28</w:t>
      </w:r>
      <w:r>
        <w:rPr>
          <w:spacing w:val="38"/>
        </w:rPr>
        <w:t> </w:t>
      </w:r>
      <w:r>
        <w:rPr/>
        <w:t>The</w:t>
      </w:r>
      <w:r>
        <w:rPr>
          <w:spacing w:val="-9"/>
        </w:rPr>
        <w:t> </w:t>
      </w:r>
      <w:r>
        <w:rPr/>
        <w:t>goods</w:t>
      </w:r>
      <w:r>
        <w:rPr>
          <w:spacing w:val="-10"/>
        </w:rPr>
        <w:t> </w:t>
      </w:r>
      <w:r>
        <w:rPr/>
        <w:t>and</w:t>
      </w:r>
      <w:r>
        <w:rPr>
          <w:spacing w:val="-11"/>
        </w:rPr>
        <w:t> </w:t>
      </w:r>
      <w:r>
        <w:rPr/>
        <w:t>services</w:t>
      </w:r>
      <w:r>
        <w:rPr>
          <w:spacing w:val="-10"/>
        </w:rPr>
        <w:t> </w:t>
      </w:r>
      <w:r>
        <w:rPr/>
        <w:t>trade</w:t>
      </w:r>
      <w:r>
        <w:rPr>
          <w:spacing w:val="-11"/>
        </w:rPr>
        <w:t> </w:t>
      </w:r>
      <w:r>
        <w:rPr/>
        <w:t>deficit</w:t>
      </w:r>
      <w:r>
        <w:rPr>
          <w:spacing w:val="-6"/>
        </w:rPr>
        <w:t> </w:t>
      </w:r>
      <w:r>
        <w:rPr/>
        <w:t>had</w:t>
      </w:r>
      <w:r>
        <w:rPr>
          <w:spacing w:val="-11"/>
        </w:rPr>
        <w:t> </w:t>
      </w:r>
      <w:r>
        <w:rPr/>
        <w:t>narrowed</w:t>
      </w:r>
      <w:r>
        <w:rPr>
          <w:spacing w:val="-10"/>
        </w:rPr>
        <w:t> </w:t>
      </w:r>
      <w:r>
        <w:rPr/>
        <w:t>slightly</w:t>
      </w:r>
      <w:r>
        <w:rPr>
          <w:spacing w:val="-11"/>
        </w:rPr>
        <w:t> </w:t>
      </w:r>
      <w:r>
        <w:rPr>
          <w:spacing w:val="2"/>
        </w:rPr>
        <w:t>to</w:t>
      </w:r>
      <w:r>
        <w:rPr>
          <w:spacing w:val="-7"/>
        </w:rPr>
        <w:t> </w:t>
      </w:r>
      <w:r>
        <w:rPr/>
        <w:t>£2.6</w:t>
      </w:r>
      <w:r>
        <w:rPr>
          <w:spacing w:val="-10"/>
        </w:rPr>
        <w:t> </w:t>
      </w:r>
      <w:r>
        <w:rPr/>
        <w:t>billion</w:t>
      </w:r>
      <w:r>
        <w:rPr>
          <w:spacing w:val="-11"/>
        </w:rPr>
        <w:t> </w:t>
      </w:r>
      <w:r>
        <w:rPr/>
        <w:t>in</w:t>
      </w:r>
      <w:r>
        <w:rPr>
          <w:spacing w:val="-10"/>
        </w:rPr>
        <w:t> </w:t>
      </w:r>
      <w:r>
        <w:rPr/>
        <w:t>February</w:t>
      </w:r>
      <w:r>
        <w:rPr>
          <w:spacing w:val="-11"/>
        </w:rPr>
        <w:t> </w:t>
      </w:r>
      <w:r>
        <w:rPr/>
        <w:t>because of a narrowing of the goods deficit; the services balance had been unchanged. Exports and imports of goods had risen in February. The EU goods deficit had widened in February </w:t>
      </w:r>
      <w:r>
        <w:rPr>
          <w:spacing w:val="2"/>
        </w:rPr>
        <w:t>to </w:t>
      </w:r>
      <w:r>
        <w:rPr/>
        <w:t>£1 billion from £0.7 billion in January, but the </w:t>
      </w:r>
      <w:r>
        <w:rPr>
          <w:spacing w:val="5"/>
        </w:rPr>
        <w:t>non-EU </w:t>
      </w:r>
      <w:r>
        <w:rPr/>
        <w:t>goods deficit had narrowed sharply in both February and March. Excluding </w:t>
      </w:r>
      <w:r>
        <w:rPr>
          <w:spacing w:val="2"/>
        </w:rPr>
        <w:t>oil </w:t>
      </w:r>
      <w:r>
        <w:rPr/>
        <w:t>and erratics, export volumes </w:t>
      </w:r>
      <w:r>
        <w:rPr>
          <w:spacing w:val="2"/>
        </w:rPr>
        <w:t>to </w:t>
      </w:r>
      <w:r>
        <w:rPr/>
        <w:t>the non-EU had risen by 8.7% in February and 5.4% in March, but exports </w:t>
      </w:r>
      <w:r>
        <w:rPr>
          <w:spacing w:val="2"/>
        </w:rPr>
        <w:t>to </w:t>
      </w:r>
      <w:r>
        <w:rPr/>
        <w:t>the EU had fallen by 3.3% in February. The rise in exports</w:t>
      </w:r>
      <w:r>
        <w:rPr>
          <w:spacing w:val="-10"/>
        </w:rPr>
        <w:t> </w:t>
      </w:r>
      <w:r>
        <w:rPr>
          <w:spacing w:val="2"/>
        </w:rPr>
        <w:t>to</w:t>
      </w:r>
      <w:r>
        <w:rPr>
          <w:spacing w:val="-6"/>
        </w:rPr>
        <w:t> </w:t>
      </w:r>
      <w:r>
        <w:rPr/>
        <w:t>the</w:t>
      </w:r>
      <w:r>
        <w:rPr>
          <w:spacing w:val="-10"/>
        </w:rPr>
        <w:t> </w:t>
      </w:r>
      <w:r>
        <w:rPr>
          <w:spacing w:val="2"/>
        </w:rPr>
        <w:t>non-EU</w:t>
      </w:r>
      <w:r>
        <w:rPr>
          <w:spacing w:val="-9"/>
        </w:rPr>
        <w:t> </w:t>
      </w:r>
      <w:r>
        <w:rPr/>
        <w:t>had</w:t>
      </w:r>
      <w:r>
        <w:rPr>
          <w:spacing w:val="-10"/>
        </w:rPr>
        <w:t> </w:t>
      </w:r>
      <w:r>
        <w:rPr/>
        <w:t>been</w:t>
      </w:r>
      <w:r>
        <w:rPr>
          <w:spacing w:val="-10"/>
        </w:rPr>
        <w:t> </w:t>
      </w:r>
      <w:r>
        <w:rPr/>
        <w:t>fairly</w:t>
      </w:r>
      <w:r>
        <w:rPr>
          <w:spacing w:val="-10"/>
        </w:rPr>
        <w:t> </w:t>
      </w:r>
      <w:r>
        <w:rPr/>
        <w:t>widespread</w:t>
      </w:r>
      <w:r>
        <w:rPr>
          <w:spacing w:val="-10"/>
        </w:rPr>
        <w:t> </w:t>
      </w:r>
      <w:r>
        <w:rPr/>
        <w:t>including</w:t>
      </w:r>
      <w:r>
        <w:rPr>
          <w:spacing w:val="-10"/>
        </w:rPr>
        <w:t> </w:t>
      </w:r>
      <w:r>
        <w:rPr/>
        <w:t>rises</w:t>
      </w:r>
      <w:r>
        <w:rPr>
          <w:spacing w:val="-8"/>
        </w:rPr>
        <w:t> </w:t>
      </w:r>
      <w:r>
        <w:rPr>
          <w:spacing w:val="2"/>
        </w:rPr>
        <w:t>to</w:t>
      </w:r>
      <w:r>
        <w:rPr>
          <w:spacing w:val="-6"/>
        </w:rPr>
        <w:t> </w:t>
      </w:r>
      <w:r>
        <w:rPr/>
        <w:t>the</w:t>
      </w:r>
      <w:r>
        <w:rPr>
          <w:spacing w:val="-10"/>
        </w:rPr>
        <w:t> </w:t>
      </w:r>
      <w:r>
        <w:rPr/>
        <w:t>US,</w:t>
      </w:r>
      <w:r>
        <w:rPr>
          <w:spacing w:val="-10"/>
        </w:rPr>
        <w:t> </w:t>
      </w:r>
      <w:r>
        <w:rPr/>
        <w:t>Asia</w:t>
      </w:r>
      <w:r>
        <w:rPr>
          <w:spacing w:val="-10"/>
        </w:rPr>
        <w:t> </w:t>
      </w:r>
      <w:r>
        <w:rPr/>
        <w:t>and</w:t>
      </w:r>
      <w:r>
        <w:rPr>
          <w:spacing w:val="-10"/>
        </w:rPr>
        <w:t> </w:t>
      </w:r>
      <w:r>
        <w:rPr/>
        <w:t>oil-exporting countries.</w:t>
      </w:r>
    </w:p>
    <w:p>
      <w:pPr>
        <w:pStyle w:val="BodyText"/>
        <w:spacing w:before="8"/>
        <w:rPr>
          <w:sz w:val="36"/>
        </w:rPr>
      </w:pPr>
    </w:p>
    <w:p>
      <w:pPr>
        <w:pStyle w:val="BodyText"/>
        <w:spacing w:line="372" w:lineRule="auto"/>
        <w:ind w:left="401" w:right="257"/>
      </w:pPr>
      <w:r>
        <w:rPr/>
        <w:t>A29 Some surveys had provided evidence for the </w:t>
      </w:r>
      <w:r>
        <w:rPr>
          <w:spacing w:val="3"/>
        </w:rPr>
        <w:t>outlook </w:t>
      </w:r>
      <w:r>
        <w:rPr/>
        <w:t>in Q2. The BCC home sales, CBI reported </w:t>
      </w:r>
      <w:r>
        <w:rPr>
          <w:spacing w:val="3"/>
        </w:rPr>
        <w:t>output, </w:t>
      </w:r>
      <w:r>
        <w:rPr/>
        <w:t>and </w:t>
      </w:r>
      <w:r>
        <w:rPr>
          <w:spacing w:val="-5"/>
        </w:rPr>
        <w:t>C</w:t>
      </w:r>
      <w:r>
        <w:rPr>
          <w:spacing w:val="-5"/>
          <w:sz w:val="20"/>
        </w:rPr>
        <w:t>IPS </w:t>
      </w:r>
      <w:r>
        <w:rPr>
          <w:spacing w:val="3"/>
        </w:rPr>
        <w:t>output </w:t>
      </w:r>
      <w:r>
        <w:rPr/>
        <w:t>survey balances appeared </w:t>
      </w:r>
      <w:r>
        <w:rPr>
          <w:spacing w:val="2"/>
        </w:rPr>
        <w:t>to </w:t>
      </w:r>
      <w:r>
        <w:rPr/>
        <w:t>have bottomed </w:t>
      </w:r>
      <w:r>
        <w:rPr>
          <w:spacing w:val="2"/>
        </w:rPr>
        <w:t>out </w:t>
      </w:r>
      <w:r>
        <w:rPr/>
        <w:t>but had still been negative. CBI and BCC domestic and export </w:t>
      </w:r>
      <w:r>
        <w:rPr>
          <w:spacing w:val="3"/>
        </w:rPr>
        <w:t>orders </w:t>
      </w:r>
      <w:r>
        <w:rPr/>
        <w:t>had picked up but remained low. The CBI April</w:t>
      </w:r>
      <w:r>
        <w:rPr>
          <w:spacing w:val="-10"/>
        </w:rPr>
        <w:t> </w:t>
      </w:r>
      <w:r>
        <w:rPr/>
        <w:t>survey</w:t>
      </w:r>
      <w:r>
        <w:rPr>
          <w:spacing w:val="-10"/>
        </w:rPr>
        <w:t> </w:t>
      </w:r>
      <w:r>
        <w:rPr/>
        <w:t>had</w:t>
      </w:r>
      <w:r>
        <w:rPr>
          <w:spacing w:val="-10"/>
        </w:rPr>
        <w:t> </w:t>
      </w:r>
      <w:r>
        <w:rPr/>
        <w:t>shown</w:t>
      </w:r>
      <w:r>
        <w:rPr>
          <w:spacing w:val="-10"/>
        </w:rPr>
        <w:t> </w:t>
      </w:r>
      <w:r>
        <w:rPr/>
        <w:t>a</w:t>
      </w:r>
      <w:r>
        <w:rPr>
          <w:spacing w:val="-9"/>
        </w:rPr>
        <w:t> </w:t>
      </w:r>
      <w:r>
        <w:rPr/>
        <w:t>loss</w:t>
      </w:r>
      <w:r>
        <w:rPr>
          <w:spacing w:val="-10"/>
        </w:rPr>
        <w:t> </w:t>
      </w:r>
      <w:r>
        <w:rPr/>
        <w:t>of</w:t>
      </w:r>
      <w:r>
        <w:rPr>
          <w:spacing w:val="-6"/>
        </w:rPr>
        <w:t> </w:t>
      </w:r>
      <w:r>
        <w:rPr/>
        <w:t>momentum</w:t>
      </w:r>
      <w:r>
        <w:rPr>
          <w:spacing w:val="-10"/>
        </w:rPr>
        <w:t> </w:t>
      </w:r>
      <w:r>
        <w:rPr/>
        <w:t>in</w:t>
      </w:r>
      <w:r>
        <w:rPr>
          <w:spacing w:val="-9"/>
        </w:rPr>
        <w:t> </w:t>
      </w:r>
      <w:r>
        <w:rPr/>
        <w:t>the</w:t>
      </w:r>
      <w:r>
        <w:rPr>
          <w:spacing w:val="-10"/>
        </w:rPr>
        <w:t> </w:t>
      </w:r>
      <w:r>
        <w:rPr/>
        <w:t>recovery</w:t>
      </w:r>
      <w:r>
        <w:rPr>
          <w:spacing w:val="-8"/>
        </w:rPr>
        <w:t> </w:t>
      </w:r>
      <w:r>
        <w:rPr/>
        <w:t>of</w:t>
      </w:r>
      <w:r>
        <w:rPr>
          <w:spacing w:val="-6"/>
        </w:rPr>
        <w:t> </w:t>
      </w:r>
      <w:r>
        <w:rPr/>
        <w:t>export</w:t>
      </w:r>
      <w:r>
        <w:rPr>
          <w:spacing w:val="-6"/>
        </w:rPr>
        <w:t> </w:t>
      </w:r>
      <w:r>
        <w:rPr>
          <w:spacing w:val="3"/>
        </w:rPr>
        <w:t>orders,</w:t>
      </w:r>
      <w:r>
        <w:rPr>
          <w:spacing w:val="-5"/>
        </w:rPr>
        <w:t> </w:t>
      </w:r>
      <w:r>
        <w:rPr/>
        <w:t>which</w:t>
      </w:r>
      <w:r>
        <w:rPr>
          <w:spacing w:val="-10"/>
        </w:rPr>
        <w:t> </w:t>
      </w:r>
      <w:r>
        <w:rPr/>
        <w:t>may</w:t>
      </w:r>
      <w:r>
        <w:rPr>
          <w:spacing w:val="-10"/>
        </w:rPr>
        <w:t> </w:t>
      </w:r>
      <w:r>
        <w:rPr/>
        <w:t>have</w:t>
      </w:r>
      <w:r>
        <w:rPr>
          <w:spacing w:val="-10"/>
        </w:rPr>
        <w:t> </w:t>
      </w:r>
      <w:r>
        <w:rPr/>
        <w:t>been related </w:t>
      </w:r>
      <w:r>
        <w:rPr>
          <w:spacing w:val="2"/>
        </w:rPr>
        <w:t>to </w:t>
      </w:r>
      <w:r>
        <w:rPr>
          <w:spacing w:val="-3"/>
        </w:rPr>
        <w:t>sterling’s </w:t>
      </w:r>
      <w:r>
        <w:rPr/>
        <w:t>resilience and the European slowdown. The BCC home sales and </w:t>
      </w:r>
      <w:r>
        <w:rPr>
          <w:spacing w:val="2"/>
        </w:rPr>
        <w:t>C</w:t>
      </w:r>
      <w:r>
        <w:rPr>
          <w:spacing w:val="2"/>
          <w:sz w:val="20"/>
        </w:rPr>
        <w:t>IPS </w:t>
      </w:r>
      <w:r>
        <w:rPr/>
        <w:t>business activity surveys had also suggested that the service sector slowdown may have been close </w:t>
      </w:r>
      <w:r>
        <w:rPr>
          <w:spacing w:val="2"/>
        </w:rPr>
        <w:t>to </w:t>
      </w:r>
      <w:r>
        <w:rPr/>
        <w:t>its trough. CBI business </w:t>
      </w:r>
      <w:r>
        <w:rPr>
          <w:spacing w:val="3"/>
        </w:rPr>
        <w:t>optimism </w:t>
      </w:r>
      <w:r>
        <w:rPr/>
        <w:t>had risen sharply </w:t>
      </w:r>
      <w:r>
        <w:rPr>
          <w:spacing w:val="2"/>
        </w:rPr>
        <w:t>to </w:t>
      </w:r>
      <w:r>
        <w:rPr/>
        <w:t>-6 in April compared with -40 in March; this may have suggested a trough in GDP, but the relationship between the two had not been particularly close in recent</w:t>
      </w:r>
      <w:r>
        <w:rPr>
          <w:spacing w:val="7"/>
        </w:rPr>
        <w:t> </w:t>
      </w:r>
      <w:r>
        <w:rPr/>
        <w:t>quarters.</w:t>
      </w:r>
    </w:p>
    <w:p>
      <w:pPr>
        <w:pStyle w:val="BodyText"/>
        <w:spacing w:before="2"/>
        <w:rPr>
          <w:sz w:val="37"/>
        </w:rPr>
      </w:pPr>
    </w:p>
    <w:p>
      <w:pPr>
        <w:pStyle w:val="Heading1"/>
        <w:numPr>
          <w:ilvl w:val="0"/>
          <w:numId w:val="2"/>
        </w:numPr>
        <w:tabs>
          <w:tab w:pos="1121" w:val="left" w:leader="none"/>
          <w:tab w:pos="1122" w:val="left" w:leader="none"/>
        </w:tabs>
        <w:spacing w:line="240" w:lineRule="auto" w:before="0" w:after="0"/>
        <w:ind w:left="1121" w:right="0" w:hanging="721"/>
        <w:jc w:val="left"/>
      </w:pPr>
      <w:r>
        <w:rPr/>
        <w:t>The labour</w:t>
      </w:r>
      <w:r>
        <w:rPr>
          <w:spacing w:val="3"/>
        </w:rPr>
        <w:t> </w:t>
      </w:r>
      <w:r>
        <w:rPr/>
        <w:t>market</w:t>
      </w:r>
    </w:p>
    <w:p>
      <w:pPr>
        <w:pStyle w:val="BodyText"/>
        <w:rPr>
          <w:b/>
          <w:sz w:val="26"/>
        </w:rPr>
      </w:pPr>
    </w:p>
    <w:p>
      <w:pPr>
        <w:pStyle w:val="BodyText"/>
        <w:spacing w:before="10"/>
        <w:rPr>
          <w:b/>
          <w:sz w:val="23"/>
        </w:rPr>
      </w:pPr>
    </w:p>
    <w:p>
      <w:pPr>
        <w:pStyle w:val="BodyText"/>
        <w:spacing w:line="372" w:lineRule="auto"/>
        <w:ind w:left="401" w:right="294"/>
      </w:pPr>
      <w:r>
        <w:rPr/>
        <w:t>A30 LFS employment had grown by 80,000 (0.3%) in the three months to February, compared with the previous three months. Workforce jobs data for the final quarter of 1998 had been revised downwards, further widening the gap with the LFS measure in growth rate terms. The absolute rise in LFS employment had been evenly split between full-time and part-time: full-time</w:t>
      </w:r>
    </w:p>
    <w:p>
      <w:pPr>
        <w:spacing w:after="0" w:line="372" w:lineRule="auto"/>
        <w:sectPr>
          <w:pgSz w:w="11900" w:h="16840"/>
          <w:pgMar w:header="729" w:footer="0" w:top="1340" w:bottom="280" w:left="880" w:right="860"/>
        </w:sectPr>
      </w:pPr>
    </w:p>
    <w:p>
      <w:pPr>
        <w:pStyle w:val="BodyText"/>
        <w:rPr>
          <w:sz w:val="12"/>
        </w:rPr>
      </w:pPr>
    </w:p>
    <w:p>
      <w:pPr>
        <w:pStyle w:val="BodyText"/>
        <w:spacing w:line="372" w:lineRule="auto" w:before="90"/>
        <w:ind w:left="401" w:right="401"/>
      </w:pPr>
      <w:r>
        <w:rPr/>
        <w:t>employment had increased by 44,000 (0.2%) in the three months </w:t>
      </w:r>
      <w:r>
        <w:rPr>
          <w:spacing w:val="2"/>
        </w:rPr>
        <w:t>to </w:t>
      </w:r>
      <w:r>
        <w:rPr/>
        <w:t>February and </w:t>
      </w:r>
      <w:r>
        <w:rPr>
          <w:spacing w:val="3"/>
        </w:rPr>
        <w:t>part-time </w:t>
      </w:r>
      <w:r>
        <w:rPr/>
        <w:t>employment</w:t>
      </w:r>
      <w:r>
        <w:rPr>
          <w:spacing w:val="-4"/>
        </w:rPr>
        <w:t> </w:t>
      </w:r>
      <w:r>
        <w:rPr/>
        <w:t>by</w:t>
      </w:r>
      <w:r>
        <w:rPr>
          <w:spacing w:val="-7"/>
        </w:rPr>
        <w:t> </w:t>
      </w:r>
      <w:r>
        <w:rPr/>
        <w:t>38,000</w:t>
      </w:r>
      <w:r>
        <w:rPr>
          <w:spacing w:val="-8"/>
        </w:rPr>
        <w:t> </w:t>
      </w:r>
      <w:r>
        <w:rPr/>
        <w:t>(0.6%).</w:t>
      </w:r>
      <w:r>
        <w:rPr>
          <w:spacing w:val="47"/>
        </w:rPr>
        <w:t> </w:t>
      </w:r>
      <w:r>
        <w:rPr/>
        <w:t>Total</w:t>
      </w:r>
      <w:r>
        <w:rPr>
          <w:spacing w:val="-6"/>
        </w:rPr>
        <w:t> </w:t>
      </w:r>
      <w:r>
        <w:rPr/>
        <w:t>hours</w:t>
      </w:r>
      <w:r>
        <w:rPr>
          <w:spacing w:val="-7"/>
        </w:rPr>
        <w:t> </w:t>
      </w:r>
      <w:r>
        <w:rPr/>
        <w:t>worked</w:t>
      </w:r>
      <w:r>
        <w:rPr>
          <w:spacing w:val="-8"/>
        </w:rPr>
        <w:t> </w:t>
      </w:r>
      <w:r>
        <w:rPr/>
        <w:t>had</w:t>
      </w:r>
      <w:r>
        <w:rPr>
          <w:spacing w:val="-7"/>
        </w:rPr>
        <w:t> </w:t>
      </w:r>
      <w:r>
        <w:rPr/>
        <w:t>been</w:t>
      </w:r>
      <w:r>
        <w:rPr>
          <w:spacing w:val="-8"/>
        </w:rPr>
        <w:t> </w:t>
      </w:r>
      <w:r>
        <w:rPr/>
        <w:t>flat</w:t>
      </w:r>
      <w:r>
        <w:rPr>
          <w:spacing w:val="-3"/>
        </w:rPr>
        <w:t> </w:t>
      </w:r>
      <w:r>
        <w:rPr/>
        <w:t>in</w:t>
      </w:r>
      <w:r>
        <w:rPr>
          <w:spacing w:val="-8"/>
        </w:rPr>
        <w:t> </w:t>
      </w:r>
      <w:r>
        <w:rPr/>
        <w:t>the</w:t>
      </w:r>
      <w:r>
        <w:rPr>
          <w:spacing w:val="-7"/>
        </w:rPr>
        <w:t> </w:t>
      </w:r>
      <w:r>
        <w:rPr/>
        <w:t>three</w:t>
      </w:r>
      <w:r>
        <w:rPr>
          <w:spacing w:val="-8"/>
        </w:rPr>
        <w:t> </w:t>
      </w:r>
      <w:r>
        <w:rPr/>
        <w:t>months</w:t>
      </w:r>
      <w:r>
        <w:rPr>
          <w:spacing w:val="-7"/>
        </w:rPr>
        <w:t> </w:t>
      </w:r>
      <w:r>
        <w:rPr>
          <w:spacing w:val="2"/>
        </w:rPr>
        <w:t>to</w:t>
      </w:r>
      <w:r>
        <w:rPr>
          <w:spacing w:val="-3"/>
        </w:rPr>
        <w:t> </w:t>
      </w:r>
      <w:r>
        <w:rPr/>
        <w:t>February, and average hours worked per person had fallen by 0.2%. The recent expansion in employment had</w:t>
      </w:r>
      <w:r>
        <w:rPr>
          <w:spacing w:val="-11"/>
        </w:rPr>
        <w:t> </w:t>
      </w:r>
      <w:r>
        <w:rPr/>
        <w:t>been</w:t>
      </w:r>
      <w:r>
        <w:rPr>
          <w:spacing w:val="-11"/>
        </w:rPr>
        <w:t> </w:t>
      </w:r>
      <w:r>
        <w:rPr>
          <w:spacing w:val="3"/>
        </w:rPr>
        <w:t>offset</w:t>
      </w:r>
      <w:r>
        <w:rPr>
          <w:spacing w:val="-7"/>
        </w:rPr>
        <w:t> </w:t>
      </w:r>
      <w:r>
        <w:rPr/>
        <w:t>by</w:t>
      </w:r>
      <w:r>
        <w:rPr>
          <w:spacing w:val="-11"/>
        </w:rPr>
        <w:t> </w:t>
      </w:r>
      <w:r>
        <w:rPr/>
        <w:t>a</w:t>
      </w:r>
      <w:r>
        <w:rPr>
          <w:spacing w:val="-11"/>
        </w:rPr>
        <w:t> </w:t>
      </w:r>
      <w:r>
        <w:rPr/>
        <w:t>decline</w:t>
      </w:r>
      <w:r>
        <w:rPr>
          <w:spacing w:val="-11"/>
        </w:rPr>
        <w:t> </w:t>
      </w:r>
      <w:r>
        <w:rPr/>
        <w:t>in</w:t>
      </w:r>
      <w:r>
        <w:rPr>
          <w:spacing w:val="-10"/>
        </w:rPr>
        <w:t> </w:t>
      </w:r>
      <w:r>
        <w:rPr/>
        <w:t>average</w:t>
      </w:r>
      <w:r>
        <w:rPr>
          <w:spacing w:val="-11"/>
        </w:rPr>
        <w:t> </w:t>
      </w:r>
      <w:r>
        <w:rPr/>
        <w:t>hours</w:t>
      </w:r>
      <w:r>
        <w:rPr>
          <w:spacing w:val="-11"/>
        </w:rPr>
        <w:t> </w:t>
      </w:r>
      <w:r>
        <w:rPr/>
        <w:t>worked</w:t>
      </w:r>
      <w:r>
        <w:rPr>
          <w:spacing w:val="-11"/>
        </w:rPr>
        <w:t> </w:t>
      </w:r>
      <w:r>
        <w:rPr/>
        <w:t>per</w:t>
      </w:r>
      <w:r>
        <w:rPr>
          <w:spacing w:val="-11"/>
        </w:rPr>
        <w:t> </w:t>
      </w:r>
      <w:r>
        <w:rPr/>
        <w:t>full-time</w:t>
      </w:r>
      <w:r>
        <w:rPr>
          <w:spacing w:val="-9"/>
        </w:rPr>
        <w:t> </w:t>
      </w:r>
      <w:r>
        <w:rPr/>
        <w:t>worker,</w:t>
      </w:r>
      <w:r>
        <w:rPr>
          <w:spacing w:val="-11"/>
        </w:rPr>
        <w:t> </w:t>
      </w:r>
      <w:r>
        <w:rPr/>
        <w:t>consistent</w:t>
      </w:r>
      <w:r>
        <w:rPr>
          <w:spacing w:val="-7"/>
        </w:rPr>
        <w:t> </w:t>
      </w:r>
      <w:r>
        <w:rPr/>
        <w:t>with</w:t>
      </w:r>
      <w:r>
        <w:rPr>
          <w:spacing w:val="-11"/>
        </w:rPr>
        <w:t> </w:t>
      </w:r>
      <w:r>
        <w:rPr/>
        <w:t>a</w:t>
      </w:r>
      <w:r>
        <w:rPr>
          <w:spacing w:val="-10"/>
        </w:rPr>
        <w:t> </w:t>
      </w:r>
      <w:r>
        <w:rPr/>
        <w:t>fall</w:t>
      </w:r>
      <w:r>
        <w:rPr>
          <w:spacing w:val="-11"/>
        </w:rPr>
        <w:t> </w:t>
      </w:r>
      <w:r>
        <w:rPr/>
        <w:t>in </w:t>
      </w:r>
      <w:r>
        <w:rPr>
          <w:spacing w:val="3"/>
        </w:rPr>
        <w:t>overtime</w:t>
      </w:r>
      <w:r>
        <w:rPr>
          <w:spacing w:val="6"/>
        </w:rPr>
        <w:t> </w:t>
      </w:r>
      <w:r>
        <w:rPr/>
        <w:t>working.</w:t>
      </w:r>
    </w:p>
    <w:p>
      <w:pPr>
        <w:pStyle w:val="BodyText"/>
        <w:spacing w:before="10"/>
        <w:rPr>
          <w:sz w:val="36"/>
        </w:rPr>
      </w:pPr>
    </w:p>
    <w:p>
      <w:pPr>
        <w:pStyle w:val="BodyText"/>
        <w:spacing w:line="372" w:lineRule="auto"/>
        <w:ind w:left="401" w:right="562"/>
      </w:pPr>
      <w:r>
        <w:rPr/>
        <w:t>A31 The C</w:t>
      </w:r>
      <w:r>
        <w:rPr>
          <w:sz w:val="20"/>
        </w:rPr>
        <w:t>IPS </w:t>
      </w:r>
      <w:r>
        <w:rPr/>
        <w:t>April surveys reported that manufacturing employment had continued to decline, albeit at a slower rate, but employment in the construction and service sectors had increased.</w:t>
      </w:r>
    </w:p>
    <w:p>
      <w:pPr>
        <w:pStyle w:val="BodyText"/>
        <w:spacing w:line="372" w:lineRule="auto"/>
        <w:ind w:left="401" w:right="273"/>
      </w:pPr>
      <w:r>
        <w:rPr/>
        <w:t>Forward-looking surveys had been mixed. The BCC services survey for Q1 had shown that employment intentions were close </w:t>
      </w:r>
      <w:r>
        <w:rPr>
          <w:spacing w:val="2"/>
        </w:rPr>
        <w:t>to </w:t>
      </w:r>
      <w:r>
        <w:rPr/>
        <w:t>their historic average, while the manufacturing balance had been lower than the average. The CBI manufacturing survey balance had become less negative. The</w:t>
      </w:r>
      <w:r>
        <w:rPr>
          <w:spacing w:val="-9"/>
        </w:rPr>
        <w:t> </w:t>
      </w:r>
      <w:r>
        <w:rPr/>
        <w:t>Federation</w:t>
      </w:r>
      <w:r>
        <w:rPr>
          <w:spacing w:val="-9"/>
        </w:rPr>
        <w:t> </w:t>
      </w:r>
      <w:r>
        <w:rPr/>
        <w:t>of</w:t>
      </w:r>
      <w:r>
        <w:rPr>
          <w:spacing w:val="-6"/>
        </w:rPr>
        <w:t> </w:t>
      </w:r>
      <w:r>
        <w:rPr/>
        <w:t>Recruitment</w:t>
      </w:r>
      <w:r>
        <w:rPr>
          <w:spacing w:val="-6"/>
        </w:rPr>
        <w:t> </w:t>
      </w:r>
      <w:r>
        <w:rPr/>
        <w:t>and</w:t>
      </w:r>
      <w:r>
        <w:rPr>
          <w:spacing w:val="-10"/>
        </w:rPr>
        <w:t> </w:t>
      </w:r>
      <w:r>
        <w:rPr/>
        <w:t>Employment</w:t>
      </w:r>
      <w:r>
        <w:rPr>
          <w:spacing w:val="-8"/>
        </w:rPr>
        <w:t> </w:t>
      </w:r>
      <w:r>
        <w:rPr/>
        <w:t>Services</w:t>
      </w:r>
      <w:r>
        <w:rPr>
          <w:spacing w:val="-22"/>
        </w:rPr>
        <w:t> </w:t>
      </w:r>
      <w:r>
        <w:rPr/>
        <w:t>survey</w:t>
      </w:r>
      <w:r>
        <w:rPr>
          <w:spacing w:val="-10"/>
        </w:rPr>
        <w:t> </w:t>
      </w:r>
      <w:r>
        <w:rPr/>
        <w:t>had</w:t>
      </w:r>
      <w:r>
        <w:rPr>
          <w:spacing w:val="-10"/>
        </w:rPr>
        <w:t> </w:t>
      </w:r>
      <w:r>
        <w:rPr/>
        <w:t>suggested</w:t>
      </w:r>
      <w:r>
        <w:rPr>
          <w:spacing w:val="-10"/>
        </w:rPr>
        <w:t> </w:t>
      </w:r>
      <w:r>
        <w:rPr/>
        <w:t>that</w:t>
      </w:r>
      <w:r>
        <w:rPr>
          <w:spacing w:val="-6"/>
        </w:rPr>
        <w:t> </w:t>
      </w:r>
      <w:r>
        <w:rPr/>
        <w:t>the</w:t>
      </w:r>
      <w:r>
        <w:rPr>
          <w:spacing w:val="-9"/>
        </w:rPr>
        <w:t> </w:t>
      </w:r>
      <w:r>
        <w:rPr/>
        <w:t>demand</w:t>
      </w:r>
      <w:r>
        <w:rPr>
          <w:spacing w:val="-10"/>
        </w:rPr>
        <w:t> </w:t>
      </w:r>
      <w:r>
        <w:rPr/>
        <w:t>for employees had risen in</w:t>
      </w:r>
      <w:r>
        <w:rPr>
          <w:spacing w:val="6"/>
        </w:rPr>
        <w:t> </w:t>
      </w:r>
      <w:r>
        <w:rPr/>
        <w:t>April.</w:t>
      </w:r>
    </w:p>
    <w:p>
      <w:pPr>
        <w:pStyle w:val="BodyText"/>
        <w:spacing w:before="9"/>
        <w:rPr>
          <w:sz w:val="36"/>
        </w:rPr>
      </w:pPr>
    </w:p>
    <w:p>
      <w:pPr>
        <w:pStyle w:val="BodyText"/>
        <w:spacing w:line="372" w:lineRule="auto"/>
        <w:ind w:left="401" w:right="319"/>
      </w:pPr>
      <w:r>
        <w:rPr/>
        <w:t>A32 The number of new notifications at job centres had fallen by 500 in March, but the stock of unfilled vacancies had risen by 400. However, the vacancy figures for Northern Ireland had been affected by a discontinuity in March caused by the introduction of a new computer system, and problems had been discovered with past West Midlands data. Excluding these regions, the underlying trend for vacancies had been broadly flat since early 1998. The National Press Recruitment Advertising index had fallen in March, </w:t>
      </w:r>
      <w:r>
        <w:rPr>
          <w:spacing w:val="2"/>
        </w:rPr>
        <w:t>to </w:t>
      </w:r>
      <w:r>
        <w:rPr/>
        <w:t>its lowest level since December 1996. The BCC survey for Q1 had suggested that recruitment difficulties had persisted, but according </w:t>
      </w:r>
      <w:r>
        <w:rPr>
          <w:spacing w:val="2"/>
        </w:rPr>
        <w:t>to </w:t>
      </w:r>
      <w:r>
        <w:rPr/>
        <w:t>the CBI</w:t>
      </w:r>
      <w:r>
        <w:rPr>
          <w:spacing w:val="-10"/>
        </w:rPr>
        <w:t> </w:t>
      </w:r>
      <w:r>
        <w:rPr/>
        <w:t>Industrial</w:t>
      </w:r>
      <w:r>
        <w:rPr>
          <w:spacing w:val="-7"/>
        </w:rPr>
        <w:t> </w:t>
      </w:r>
      <w:r>
        <w:rPr/>
        <w:t>Trends</w:t>
      </w:r>
      <w:r>
        <w:rPr>
          <w:spacing w:val="-8"/>
        </w:rPr>
        <w:t> </w:t>
      </w:r>
      <w:r>
        <w:rPr/>
        <w:t>survey</w:t>
      </w:r>
      <w:r>
        <w:rPr>
          <w:spacing w:val="-9"/>
        </w:rPr>
        <w:t> </w:t>
      </w:r>
      <w:r>
        <w:rPr/>
        <w:t>for</w:t>
      </w:r>
      <w:r>
        <w:rPr>
          <w:spacing w:val="-9"/>
        </w:rPr>
        <w:t> </w:t>
      </w:r>
      <w:r>
        <w:rPr/>
        <w:t>Q1</w:t>
      </w:r>
      <w:r>
        <w:rPr>
          <w:spacing w:val="-9"/>
        </w:rPr>
        <w:t> </w:t>
      </w:r>
      <w:r>
        <w:rPr/>
        <w:t>skill</w:t>
      </w:r>
      <w:r>
        <w:rPr>
          <w:spacing w:val="-9"/>
        </w:rPr>
        <w:t> </w:t>
      </w:r>
      <w:r>
        <w:rPr/>
        <w:t>shortages</w:t>
      </w:r>
      <w:r>
        <w:rPr>
          <w:spacing w:val="-10"/>
        </w:rPr>
        <w:t> </w:t>
      </w:r>
      <w:r>
        <w:rPr/>
        <w:t>had</w:t>
      </w:r>
      <w:r>
        <w:rPr>
          <w:spacing w:val="-9"/>
        </w:rPr>
        <w:t> </w:t>
      </w:r>
      <w:r>
        <w:rPr/>
        <w:t>shown</w:t>
      </w:r>
      <w:r>
        <w:rPr>
          <w:spacing w:val="-9"/>
        </w:rPr>
        <w:t> </w:t>
      </w:r>
      <w:r>
        <w:rPr/>
        <w:t>a</w:t>
      </w:r>
      <w:r>
        <w:rPr>
          <w:spacing w:val="-9"/>
        </w:rPr>
        <w:t> </w:t>
      </w:r>
      <w:r>
        <w:rPr/>
        <w:t>sharp</w:t>
      </w:r>
      <w:r>
        <w:rPr>
          <w:spacing w:val="-9"/>
        </w:rPr>
        <w:t> </w:t>
      </w:r>
      <w:r>
        <w:rPr/>
        <w:t>decline,</w:t>
      </w:r>
      <w:r>
        <w:rPr>
          <w:spacing w:val="-9"/>
        </w:rPr>
        <w:t> </w:t>
      </w:r>
      <w:r>
        <w:rPr>
          <w:spacing w:val="2"/>
        </w:rPr>
        <w:t>to</w:t>
      </w:r>
      <w:r>
        <w:rPr>
          <w:spacing w:val="-5"/>
        </w:rPr>
        <w:t> </w:t>
      </w:r>
      <w:r>
        <w:rPr/>
        <w:t>their</w:t>
      </w:r>
      <w:r>
        <w:rPr>
          <w:spacing w:val="-10"/>
        </w:rPr>
        <w:t> </w:t>
      </w:r>
      <w:r>
        <w:rPr/>
        <w:t>lowest</w:t>
      </w:r>
      <w:r>
        <w:rPr>
          <w:spacing w:val="-5"/>
        </w:rPr>
        <w:t> </w:t>
      </w:r>
      <w:r>
        <w:rPr/>
        <w:t>level since</w:t>
      </w:r>
      <w:r>
        <w:rPr>
          <w:spacing w:val="1"/>
        </w:rPr>
        <w:t> </w:t>
      </w:r>
      <w:r>
        <w:rPr/>
        <w:t>1993.</w:t>
      </w:r>
    </w:p>
    <w:p>
      <w:pPr>
        <w:pStyle w:val="BodyText"/>
        <w:spacing w:before="8"/>
        <w:rPr>
          <w:sz w:val="36"/>
        </w:rPr>
      </w:pPr>
    </w:p>
    <w:p>
      <w:pPr>
        <w:pStyle w:val="BodyText"/>
        <w:spacing w:line="372" w:lineRule="auto" w:before="1"/>
        <w:ind w:left="401" w:right="312"/>
      </w:pPr>
      <w:r>
        <w:rPr/>
        <w:t>A33 LFS unemployment had increased by 32,000 in the three months </w:t>
      </w:r>
      <w:r>
        <w:rPr>
          <w:spacing w:val="2"/>
        </w:rPr>
        <w:t>to </w:t>
      </w:r>
      <w:r>
        <w:rPr/>
        <w:t>February, compared with the previous three months; the rate had edged up </w:t>
      </w:r>
      <w:r>
        <w:rPr>
          <w:spacing w:val="2"/>
        </w:rPr>
        <w:t>to </w:t>
      </w:r>
      <w:r>
        <w:rPr/>
        <w:t>6.3%. Claimant -count unemployment had risen by 2,000 in March, following a revised increase of 5,700 in February, although the rate had remained unchanged at 4.6%. Inflow rates </w:t>
      </w:r>
      <w:r>
        <w:rPr>
          <w:spacing w:val="2"/>
        </w:rPr>
        <w:t>to </w:t>
      </w:r>
      <w:r>
        <w:rPr/>
        <w:t>the count had risen but remained low by historic standards, while LFS data suggested that redundancies had increased</w:t>
      </w:r>
      <w:r>
        <w:rPr>
          <w:i/>
        </w:rPr>
        <w:t>. </w:t>
      </w:r>
      <w:r>
        <w:rPr/>
        <w:t>LFS figures showed that there</w:t>
      </w:r>
      <w:r>
        <w:rPr>
          <w:spacing w:val="-11"/>
        </w:rPr>
        <w:t> </w:t>
      </w:r>
      <w:r>
        <w:rPr/>
        <w:t>had</w:t>
      </w:r>
      <w:r>
        <w:rPr>
          <w:spacing w:val="-10"/>
        </w:rPr>
        <w:t> </w:t>
      </w:r>
      <w:r>
        <w:rPr/>
        <w:t>been</w:t>
      </w:r>
      <w:r>
        <w:rPr>
          <w:spacing w:val="-10"/>
        </w:rPr>
        <w:t> </w:t>
      </w:r>
      <w:r>
        <w:rPr/>
        <w:t>a</w:t>
      </w:r>
      <w:r>
        <w:rPr>
          <w:spacing w:val="-10"/>
        </w:rPr>
        <w:t> </w:t>
      </w:r>
      <w:r>
        <w:rPr/>
        <w:t>fall</w:t>
      </w:r>
      <w:r>
        <w:rPr>
          <w:spacing w:val="-11"/>
        </w:rPr>
        <w:t> </w:t>
      </w:r>
      <w:r>
        <w:rPr/>
        <w:t>of</w:t>
      </w:r>
      <w:r>
        <w:rPr>
          <w:spacing w:val="-6"/>
        </w:rPr>
        <w:t> </w:t>
      </w:r>
      <w:r>
        <w:rPr/>
        <w:t>73,000</w:t>
      </w:r>
      <w:r>
        <w:rPr>
          <w:spacing w:val="-10"/>
        </w:rPr>
        <w:t> </w:t>
      </w:r>
      <w:r>
        <w:rPr/>
        <w:t>in</w:t>
      </w:r>
      <w:r>
        <w:rPr>
          <w:spacing w:val="-10"/>
        </w:rPr>
        <w:t> </w:t>
      </w:r>
      <w:r>
        <w:rPr/>
        <w:t>the</w:t>
      </w:r>
      <w:r>
        <w:rPr>
          <w:spacing w:val="-11"/>
        </w:rPr>
        <w:t> </w:t>
      </w:r>
      <w:r>
        <w:rPr/>
        <w:t>number</w:t>
      </w:r>
      <w:r>
        <w:rPr>
          <w:spacing w:val="-10"/>
        </w:rPr>
        <w:t> </w:t>
      </w:r>
      <w:r>
        <w:rPr/>
        <w:t>of</w:t>
      </w:r>
      <w:r>
        <w:rPr>
          <w:spacing w:val="-6"/>
        </w:rPr>
        <w:t> </w:t>
      </w:r>
      <w:r>
        <w:rPr/>
        <w:t>economically</w:t>
      </w:r>
      <w:r>
        <w:rPr>
          <w:spacing w:val="-10"/>
        </w:rPr>
        <w:t> </w:t>
      </w:r>
      <w:r>
        <w:rPr/>
        <w:t>inactive</w:t>
      </w:r>
      <w:r>
        <w:rPr>
          <w:spacing w:val="-11"/>
        </w:rPr>
        <w:t> </w:t>
      </w:r>
      <w:r>
        <w:rPr/>
        <w:t>people</w:t>
      </w:r>
      <w:r>
        <w:rPr>
          <w:spacing w:val="-10"/>
        </w:rPr>
        <w:t> </w:t>
      </w:r>
      <w:r>
        <w:rPr/>
        <w:t>in</w:t>
      </w:r>
      <w:r>
        <w:rPr>
          <w:spacing w:val="-10"/>
        </w:rPr>
        <w:t> </w:t>
      </w:r>
      <w:r>
        <w:rPr/>
        <w:t>the</w:t>
      </w:r>
      <w:r>
        <w:rPr>
          <w:spacing w:val="-10"/>
        </w:rPr>
        <w:t> </w:t>
      </w:r>
      <w:r>
        <w:rPr/>
        <w:t>three</w:t>
      </w:r>
      <w:r>
        <w:rPr>
          <w:spacing w:val="-10"/>
        </w:rPr>
        <w:t> </w:t>
      </w:r>
      <w:r>
        <w:rPr/>
        <w:t>months</w:t>
      </w:r>
      <w:r>
        <w:rPr>
          <w:spacing w:val="-11"/>
        </w:rPr>
        <w:t> </w:t>
      </w:r>
      <w:r>
        <w:rPr/>
        <w:t>to February, which had been concentrated among the </w:t>
      </w:r>
      <w:r>
        <w:rPr>
          <w:spacing w:val="3"/>
        </w:rPr>
        <w:t>long-term </w:t>
      </w:r>
      <w:r>
        <w:rPr/>
        <w:t>sick, people looking after family/home, and</w:t>
      </w:r>
      <w:r>
        <w:rPr>
          <w:spacing w:val="2"/>
        </w:rPr>
        <w:t> </w:t>
      </w:r>
      <w:r>
        <w:rPr/>
        <w:t>students.</w:t>
      </w:r>
    </w:p>
    <w:p>
      <w:pPr>
        <w:spacing w:after="0" w:line="372" w:lineRule="auto"/>
        <w:sectPr>
          <w:pgSz w:w="11900" w:h="16840"/>
          <w:pgMar w:header="729" w:footer="0" w:top="1340" w:bottom="280" w:left="880" w:right="860"/>
        </w:sectPr>
      </w:pPr>
    </w:p>
    <w:p>
      <w:pPr>
        <w:pStyle w:val="BodyText"/>
        <w:rPr>
          <w:sz w:val="12"/>
        </w:rPr>
      </w:pPr>
    </w:p>
    <w:p>
      <w:pPr>
        <w:pStyle w:val="BodyText"/>
        <w:spacing w:line="372" w:lineRule="auto" w:before="90"/>
        <w:ind w:left="401" w:right="288"/>
      </w:pPr>
      <w:r>
        <w:rPr/>
        <w:t>A34 Whole-economy annual average earnings growth, as measured by the AEI, had increased to 5.0% in February, reflecting faster growth in service sector earnings inflation. Both public and private sector earnings growth had risen in February. The headline annual rate of whole-economy earnings</w:t>
      </w:r>
      <w:r>
        <w:rPr>
          <w:spacing w:val="-9"/>
        </w:rPr>
        <w:t> </w:t>
      </w:r>
      <w:r>
        <w:rPr/>
        <w:t>growth</w:t>
      </w:r>
      <w:r>
        <w:rPr>
          <w:spacing w:val="-9"/>
        </w:rPr>
        <w:t> </w:t>
      </w:r>
      <w:r>
        <w:rPr/>
        <w:t>(now</w:t>
      </w:r>
      <w:r>
        <w:rPr>
          <w:spacing w:val="-7"/>
        </w:rPr>
        <w:t> </w:t>
      </w:r>
      <w:r>
        <w:rPr/>
        <w:t>referred</w:t>
      </w:r>
      <w:r>
        <w:rPr>
          <w:spacing w:val="-7"/>
        </w:rPr>
        <w:t> </w:t>
      </w:r>
      <w:r>
        <w:rPr>
          <w:spacing w:val="2"/>
        </w:rPr>
        <w:t>to</w:t>
      </w:r>
      <w:r>
        <w:rPr>
          <w:spacing w:val="-5"/>
        </w:rPr>
        <w:t> </w:t>
      </w:r>
      <w:r>
        <w:rPr/>
        <w:t>by</w:t>
      </w:r>
      <w:r>
        <w:rPr>
          <w:spacing w:val="-8"/>
        </w:rPr>
        <w:t> </w:t>
      </w:r>
      <w:r>
        <w:rPr/>
        <w:t>the</w:t>
      </w:r>
      <w:r>
        <w:rPr>
          <w:spacing w:val="-9"/>
        </w:rPr>
        <w:t> </w:t>
      </w:r>
      <w:r>
        <w:rPr/>
        <w:t>final</w:t>
      </w:r>
      <w:r>
        <w:rPr>
          <w:spacing w:val="-9"/>
        </w:rPr>
        <w:t> </w:t>
      </w:r>
      <w:r>
        <w:rPr/>
        <w:t>month</w:t>
      </w:r>
      <w:r>
        <w:rPr>
          <w:spacing w:val="-9"/>
        </w:rPr>
        <w:t> </w:t>
      </w:r>
      <w:r>
        <w:rPr/>
        <w:t>of</w:t>
      </w:r>
      <w:r>
        <w:rPr>
          <w:spacing w:val="-4"/>
        </w:rPr>
        <w:t> </w:t>
      </w:r>
      <w:r>
        <w:rPr/>
        <w:t>the</w:t>
      </w:r>
      <w:r>
        <w:rPr>
          <w:spacing w:val="-9"/>
        </w:rPr>
        <w:t> </w:t>
      </w:r>
      <w:r>
        <w:rPr/>
        <w:t>three-month</w:t>
      </w:r>
      <w:r>
        <w:rPr>
          <w:spacing w:val="-9"/>
        </w:rPr>
        <w:t> </w:t>
      </w:r>
      <w:r>
        <w:rPr/>
        <w:t>period</w:t>
      </w:r>
      <w:r>
        <w:rPr>
          <w:spacing w:val="-8"/>
        </w:rPr>
        <w:t> </w:t>
      </w:r>
      <w:r>
        <w:rPr/>
        <w:t>under</w:t>
      </w:r>
      <w:r>
        <w:rPr>
          <w:spacing w:val="-9"/>
        </w:rPr>
        <w:t> </w:t>
      </w:r>
      <w:r>
        <w:rPr/>
        <w:t>consideration, rather than the centred three-month average) had increased </w:t>
      </w:r>
      <w:r>
        <w:rPr>
          <w:spacing w:val="2"/>
        </w:rPr>
        <w:t>to </w:t>
      </w:r>
      <w:r>
        <w:rPr/>
        <w:t>4.6% in the three months to February, from a revised 4.5% in January. The revision in January, due </w:t>
      </w:r>
      <w:r>
        <w:rPr>
          <w:spacing w:val="2"/>
        </w:rPr>
        <w:t>to </w:t>
      </w:r>
      <w:r>
        <w:rPr/>
        <w:t>late returns, had reflected a stronger contribution from bonus growth. There had also been a change in the survey questionnaire between January and February. Prior </w:t>
      </w:r>
      <w:r>
        <w:rPr>
          <w:spacing w:val="2"/>
        </w:rPr>
        <w:t>to </w:t>
      </w:r>
      <w:r>
        <w:rPr/>
        <w:t>February, the questionnaire had asked respondents</w:t>
      </w:r>
      <w:r>
        <w:rPr>
          <w:spacing w:val="-12"/>
        </w:rPr>
        <w:t> </w:t>
      </w:r>
      <w:r>
        <w:rPr>
          <w:spacing w:val="2"/>
        </w:rPr>
        <w:t>to</w:t>
      </w:r>
      <w:r>
        <w:rPr>
          <w:spacing w:val="-10"/>
        </w:rPr>
        <w:t> </w:t>
      </w:r>
      <w:r>
        <w:rPr/>
        <w:t>identify</w:t>
      </w:r>
      <w:r>
        <w:rPr>
          <w:spacing w:val="-13"/>
        </w:rPr>
        <w:t> </w:t>
      </w:r>
      <w:r>
        <w:rPr/>
        <w:t>bonuses</w:t>
      </w:r>
      <w:r>
        <w:rPr>
          <w:spacing w:val="-14"/>
        </w:rPr>
        <w:t> </w:t>
      </w:r>
      <w:r>
        <w:rPr/>
        <w:t>paid</w:t>
      </w:r>
      <w:r>
        <w:rPr>
          <w:spacing w:val="-13"/>
        </w:rPr>
        <w:t> </w:t>
      </w:r>
      <w:r>
        <w:rPr>
          <w:spacing w:val="2"/>
        </w:rPr>
        <w:t>to</w:t>
      </w:r>
      <w:r>
        <w:rPr>
          <w:spacing w:val="-10"/>
        </w:rPr>
        <w:t> </w:t>
      </w:r>
      <w:r>
        <w:rPr/>
        <w:t>employees</w:t>
      </w:r>
      <w:r>
        <w:rPr>
          <w:spacing w:val="-13"/>
        </w:rPr>
        <w:t> </w:t>
      </w:r>
      <w:r>
        <w:rPr/>
        <w:t>when</w:t>
      </w:r>
      <w:r>
        <w:rPr>
          <w:spacing w:val="-14"/>
        </w:rPr>
        <w:t> </w:t>
      </w:r>
      <w:r>
        <w:rPr/>
        <w:t>the</w:t>
      </w:r>
      <w:r>
        <w:rPr>
          <w:spacing w:val="-13"/>
        </w:rPr>
        <w:t> </w:t>
      </w:r>
      <w:r>
        <w:rPr/>
        <w:t>bonus</w:t>
      </w:r>
      <w:r>
        <w:rPr>
          <w:spacing w:val="-13"/>
        </w:rPr>
        <w:t> </w:t>
      </w:r>
      <w:r>
        <w:rPr/>
        <w:t>had</w:t>
      </w:r>
      <w:r>
        <w:rPr>
          <w:spacing w:val="-14"/>
        </w:rPr>
        <w:t> </w:t>
      </w:r>
      <w:r>
        <w:rPr/>
        <w:t>changed</w:t>
      </w:r>
      <w:r>
        <w:rPr>
          <w:spacing w:val="-13"/>
        </w:rPr>
        <w:t> </w:t>
      </w:r>
      <w:r>
        <w:rPr/>
        <w:t>significantly.</w:t>
      </w:r>
      <w:r>
        <w:rPr>
          <w:spacing w:val="33"/>
        </w:rPr>
        <w:t> </w:t>
      </w:r>
      <w:r>
        <w:rPr/>
        <w:t>With effect from February 1999, information on all bonuses had been required, irrespective of the magnitude. Because of this discontinuity, it had not been possible </w:t>
      </w:r>
      <w:r>
        <w:rPr>
          <w:spacing w:val="2"/>
        </w:rPr>
        <w:t>to </w:t>
      </w:r>
      <w:r>
        <w:rPr/>
        <w:t>assess the contribution of bonuses </w:t>
      </w:r>
      <w:r>
        <w:rPr>
          <w:spacing w:val="2"/>
        </w:rPr>
        <w:t>to </w:t>
      </w:r>
      <w:r>
        <w:rPr/>
        <w:t>the rise in average earnings growth in February. In contrast </w:t>
      </w:r>
      <w:r>
        <w:rPr>
          <w:spacing w:val="2"/>
        </w:rPr>
        <w:t>to </w:t>
      </w:r>
      <w:r>
        <w:rPr/>
        <w:t>the AEI, the Reward Index</w:t>
      </w:r>
      <w:r>
        <w:rPr>
          <w:spacing w:val="-6"/>
        </w:rPr>
        <w:t> </w:t>
      </w:r>
      <w:r>
        <w:rPr/>
        <w:t>of</w:t>
      </w:r>
      <w:r>
        <w:rPr>
          <w:spacing w:val="-4"/>
        </w:rPr>
        <w:t> </w:t>
      </w:r>
      <w:r>
        <w:rPr/>
        <w:t>annual</w:t>
      </w:r>
      <w:r>
        <w:rPr>
          <w:spacing w:val="-7"/>
        </w:rPr>
        <w:t> </w:t>
      </w:r>
      <w:r>
        <w:rPr/>
        <w:t>earnings</w:t>
      </w:r>
      <w:r>
        <w:rPr>
          <w:spacing w:val="-8"/>
        </w:rPr>
        <w:t> </w:t>
      </w:r>
      <w:r>
        <w:rPr/>
        <w:t>growth</w:t>
      </w:r>
      <w:r>
        <w:rPr>
          <w:spacing w:val="-7"/>
        </w:rPr>
        <w:t> </w:t>
      </w:r>
      <w:r>
        <w:rPr/>
        <w:t>had</w:t>
      </w:r>
      <w:r>
        <w:rPr>
          <w:spacing w:val="-8"/>
        </w:rPr>
        <w:t> </w:t>
      </w:r>
      <w:r>
        <w:rPr/>
        <w:t>continued</w:t>
      </w:r>
      <w:r>
        <w:rPr>
          <w:spacing w:val="-8"/>
        </w:rPr>
        <w:t> </w:t>
      </w:r>
      <w:r>
        <w:rPr>
          <w:spacing w:val="2"/>
        </w:rPr>
        <w:t>to</w:t>
      </w:r>
      <w:r>
        <w:rPr>
          <w:spacing w:val="-3"/>
        </w:rPr>
        <w:t> </w:t>
      </w:r>
      <w:r>
        <w:rPr/>
        <w:t>decline</w:t>
      </w:r>
      <w:r>
        <w:rPr>
          <w:spacing w:val="-8"/>
        </w:rPr>
        <w:t> </w:t>
      </w:r>
      <w:r>
        <w:rPr/>
        <w:t>into</w:t>
      </w:r>
      <w:r>
        <w:rPr>
          <w:spacing w:val="-3"/>
        </w:rPr>
        <w:t> </w:t>
      </w:r>
      <w:r>
        <w:rPr/>
        <w:t>1999,</w:t>
      </w:r>
      <w:r>
        <w:rPr>
          <w:spacing w:val="-8"/>
        </w:rPr>
        <w:t> </w:t>
      </w:r>
      <w:r>
        <w:rPr/>
        <w:t>from</w:t>
      </w:r>
      <w:r>
        <w:rPr>
          <w:spacing w:val="-7"/>
        </w:rPr>
        <w:t> </w:t>
      </w:r>
      <w:r>
        <w:rPr/>
        <w:t>4.6%</w:t>
      </w:r>
      <w:r>
        <w:rPr>
          <w:spacing w:val="-8"/>
        </w:rPr>
        <w:t> </w:t>
      </w:r>
      <w:r>
        <w:rPr/>
        <w:t>in</w:t>
      </w:r>
      <w:r>
        <w:rPr>
          <w:spacing w:val="-7"/>
        </w:rPr>
        <w:t> </w:t>
      </w:r>
      <w:r>
        <w:rPr/>
        <w:t>January</w:t>
      </w:r>
      <w:r>
        <w:rPr>
          <w:spacing w:val="-8"/>
        </w:rPr>
        <w:t> </w:t>
      </w:r>
      <w:r>
        <w:rPr>
          <w:spacing w:val="2"/>
        </w:rPr>
        <w:t>to</w:t>
      </w:r>
      <w:r>
        <w:rPr>
          <w:spacing w:val="-3"/>
        </w:rPr>
        <w:t> </w:t>
      </w:r>
      <w:r>
        <w:rPr/>
        <w:t>4.5% in February and 4.2% in</w:t>
      </w:r>
      <w:r>
        <w:rPr>
          <w:spacing w:val="7"/>
        </w:rPr>
        <w:t> </w:t>
      </w:r>
      <w:r>
        <w:rPr/>
        <w:t>March.</w:t>
      </w:r>
    </w:p>
    <w:p>
      <w:pPr>
        <w:pStyle w:val="BodyText"/>
        <w:spacing w:before="5"/>
        <w:rPr>
          <w:sz w:val="36"/>
        </w:rPr>
      </w:pPr>
    </w:p>
    <w:p>
      <w:pPr>
        <w:pStyle w:val="BodyText"/>
        <w:spacing w:line="372" w:lineRule="auto"/>
        <w:ind w:left="401" w:right="401"/>
      </w:pPr>
      <w:r>
        <w:rPr/>
        <w:t>A35 The </w:t>
      </w:r>
      <w:r>
        <w:rPr>
          <w:spacing w:val="-6"/>
        </w:rPr>
        <w:t>Bank’s </w:t>
      </w:r>
      <w:r>
        <w:rPr/>
        <w:t>measure of the </w:t>
      </w:r>
      <w:r>
        <w:rPr>
          <w:spacing w:val="2"/>
        </w:rPr>
        <w:t>whole-economy </w:t>
      </w:r>
      <w:r>
        <w:rPr/>
        <w:t>employment-weighted mean wage settlement (twelve-month</w:t>
      </w:r>
      <w:r>
        <w:rPr>
          <w:spacing w:val="-10"/>
        </w:rPr>
        <w:t> </w:t>
      </w:r>
      <w:r>
        <w:rPr/>
        <w:t>moving</w:t>
      </w:r>
      <w:r>
        <w:rPr>
          <w:spacing w:val="-11"/>
        </w:rPr>
        <w:t> </w:t>
      </w:r>
      <w:r>
        <w:rPr/>
        <w:t>average)</w:t>
      </w:r>
      <w:r>
        <w:rPr>
          <w:spacing w:val="-11"/>
        </w:rPr>
        <w:t> </w:t>
      </w:r>
      <w:r>
        <w:rPr/>
        <w:t>had</w:t>
      </w:r>
      <w:r>
        <w:rPr>
          <w:spacing w:val="-11"/>
        </w:rPr>
        <w:t> </w:t>
      </w:r>
      <w:r>
        <w:rPr/>
        <w:t>fallen</w:t>
      </w:r>
      <w:r>
        <w:rPr>
          <w:spacing w:val="-11"/>
        </w:rPr>
        <w:t> </w:t>
      </w:r>
      <w:r>
        <w:rPr>
          <w:spacing w:val="2"/>
        </w:rPr>
        <w:t>to</w:t>
      </w:r>
      <w:r>
        <w:rPr>
          <w:spacing w:val="-7"/>
        </w:rPr>
        <w:t> </w:t>
      </w:r>
      <w:r>
        <w:rPr/>
        <w:t>3.6%</w:t>
      </w:r>
      <w:r>
        <w:rPr>
          <w:spacing w:val="-11"/>
        </w:rPr>
        <w:t> </w:t>
      </w:r>
      <w:r>
        <w:rPr/>
        <w:t>in</w:t>
      </w:r>
      <w:r>
        <w:rPr>
          <w:spacing w:val="-11"/>
        </w:rPr>
        <w:t> </w:t>
      </w:r>
      <w:r>
        <w:rPr/>
        <w:t>March,</w:t>
      </w:r>
      <w:r>
        <w:rPr>
          <w:spacing w:val="-10"/>
        </w:rPr>
        <w:t> </w:t>
      </w:r>
      <w:r>
        <w:rPr/>
        <w:t>having</w:t>
      </w:r>
      <w:r>
        <w:rPr>
          <w:spacing w:val="-11"/>
        </w:rPr>
        <w:t> </w:t>
      </w:r>
      <w:r>
        <w:rPr/>
        <w:t>remained</w:t>
      </w:r>
      <w:r>
        <w:rPr>
          <w:spacing w:val="-10"/>
        </w:rPr>
        <w:t> </w:t>
      </w:r>
      <w:r>
        <w:rPr/>
        <w:t>at</w:t>
      </w:r>
      <w:r>
        <w:rPr>
          <w:spacing w:val="-7"/>
        </w:rPr>
        <w:t> </w:t>
      </w:r>
      <w:r>
        <w:rPr/>
        <w:t>3.7%</w:t>
      </w:r>
      <w:r>
        <w:rPr>
          <w:spacing w:val="-11"/>
        </w:rPr>
        <w:t> </w:t>
      </w:r>
      <w:r>
        <w:rPr/>
        <w:t>since</w:t>
      </w:r>
      <w:r>
        <w:rPr>
          <w:spacing w:val="-11"/>
        </w:rPr>
        <w:t> </w:t>
      </w:r>
      <w:r>
        <w:rPr/>
        <w:t>June. Using a matched sample (ie </w:t>
      </w:r>
      <w:r>
        <w:rPr>
          <w:spacing w:val="3"/>
        </w:rPr>
        <w:t>only </w:t>
      </w:r>
      <w:r>
        <w:rPr/>
        <w:t>including firms where data were available for both years), the twelve-month mean settlement had decreased </w:t>
      </w:r>
      <w:r>
        <w:rPr>
          <w:spacing w:val="2"/>
        </w:rPr>
        <w:t>to </w:t>
      </w:r>
      <w:r>
        <w:rPr/>
        <w:t>an annual rate of 3.2% for the three months to March</w:t>
      </w:r>
      <w:r>
        <w:rPr>
          <w:spacing w:val="-12"/>
        </w:rPr>
        <w:t> </w:t>
      </w:r>
      <w:r>
        <w:rPr/>
        <w:t>1999,</w:t>
      </w:r>
      <w:r>
        <w:rPr>
          <w:spacing w:val="-11"/>
        </w:rPr>
        <w:t> </w:t>
      </w:r>
      <w:r>
        <w:rPr/>
        <w:t>from</w:t>
      </w:r>
      <w:r>
        <w:rPr>
          <w:spacing w:val="-12"/>
        </w:rPr>
        <w:t> </w:t>
      </w:r>
      <w:r>
        <w:rPr/>
        <w:t>3.9%</w:t>
      </w:r>
      <w:r>
        <w:rPr>
          <w:spacing w:val="-11"/>
        </w:rPr>
        <w:t> </w:t>
      </w:r>
      <w:r>
        <w:rPr/>
        <w:t>a</w:t>
      </w:r>
      <w:r>
        <w:rPr>
          <w:spacing w:val="-12"/>
        </w:rPr>
        <w:t> </w:t>
      </w:r>
      <w:r>
        <w:rPr/>
        <w:t>year</w:t>
      </w:r>
      <w:r>
        <w:rPr>
          <w:spacing w:val="-11"/>
        </w:rPr>
        <w:t> </w:t>
      </w:r>
      <w:r>
        <w:rPr/>
        <w:t>earlier.</w:t>
      </w:r>
      <w:r>
        <w:rPr>
          <w:spacing w:val="37"/>
        </w:rPr>
        <w:t> </w:t>
      </w:r>
      <w:r>
        <w:rPr/>
        <w:t>Provisional</w:t>
      </w:r>
      <w:r>
        <w:rPr>
          <w:spacing w:val="-10"/>
        </w:rPr>
        <w:t> </w:t>
      </w:r>
      <w:r>
        <w:rPr/>
        <w:t>information</w:t>
      </w:r>
      <w:r>
        <w:rPr>
          <w:spacing w:val="-12"/>
        </w:rPr>
        <w:t> </w:t>
      </w:r>
      <w:r>
        <w:rPr/>
        <w:t>for</w:t>
      </w:r>
      <w:r>
        <w:rPr>
          <w:spacing w:val="-11"/>
        </w:rPr>
        <w:t> </w:t>
      </w:r>
      <w:r>
        <w:rPr/>
        <w:t>April</w:t>
      </w:r>
      <w:r>
        <w:rPr>
          <w:spacing w:val="-12"/>
        </w:rPr>
        <w:t> </w:t>
      </w:r>
      <w:r>
        <w:rPr/>
        <w:t>had</w:t>
      </w:r>
      <w:r>
        <w:rPr>
          <w:spacing w:val="-11"/>
        </w:rPr>
        <w:t> </w:t>
      </w:r>
      <w:r>
        <w:rPr/>
        <w:t>suggested</w:t>
      </w:r>
      <w:r>
        <w:rPr>
          <w:spacing w:val="-11"/>
        </w:rPr>
        <w:t> </w:t>
      </w:r>
      <w:r>
        <w:rPr/>
        <w:t>that</w:t>
      </w:r>
      <w:r>
        <w:rPr>
          <w:spacing w:val="-8"/>
        </w:rPr>
        <w:t> </w:t>
      </w:r>
      <w:r>
        <w:rPr/>
        <w:t>public sector settlements for 1999 had been higher than in 1998. There had also been reports that some settlements had been delayed </w:t>
      </w:r>
      <w:r>
        <w:rPr>
          <w:spacing w:val="2"/>
        </w:rPr>
        <w:t>to </w:t>
      </w:r>
      <w:r>
        <w:rPr/>
        <w:t>April </w:t>
      </w:r>
      <w:r>
        <w:rPr>
          <w:spacing w:val="2"/>
        </w:rPr>
        <w:t>to </w:t>
      </w:r>
      <w:r>
        <w:rPr/>
        <w:t>coincide with the implementation of the National Minimum</w:t>
      </w:r>
      <w:r>
        <w:rPr>
          <w:spacing w:val="1"/>
        </w:rPr>
        <w:t> </w:t>
      </w:r>
      <w:r>
        <w:rPr/>
        <w:t>Wage.</w:t>
      </w:r>
    </w:p>
    <w:p>
      <w:pPr>
        <w:pStyle w:val="BodyText"/>
        <w:spacing w:before="9"/>
        <w:rPr>
          <w:sz w:val="36"/>
        </w:rPr>
      </w:pPr>
    </w:p>
    <w:p>
      <w:pPr>
        <w:pStyle w:val="BodyText"/>
        <w:spacing w:line="372" w:lineRule="auto"/>
        <w:ind w:left="401" w:right="478"/>
      </w:pPr>
      <w:r>
        <w:rPr/>
        <w:t>A36 Revisions to Workforce jobs data had resulted in some minor revisions to productivity and unit wage cost growth, but the picture had been broadly unchanged. Annual productivity growth had been 0.7% in Q4 and unit wage costs had been accelerating.</w:t>
      </w:r>
    </w:p>
    <w:p>
      <w:pPr>
        <w:pStyle w:val="BodyText"/>
        <w:spacing w:before="4"/>
        <w:rPr>
          <w:sz w:val="37"/>
        </w:rPr>
      </w:pPr>
    </w:p>
    <w:p>
      <w:pPr>
        <w:pStyle w:val="Heading1"/>
        <w:numPr>
          <w:ilvl w:val="0"/>
          <w:numId w:val="2"/>
        </w:numPr>
        <w:tabs>
          <w:tab w:pos="1121" w:val="left" w:leader="none"/>
          <w:tab w:pos="1122" w:val="left" w:leader="none"/>
        </w:tabs>
        <w:spacing w:line="240" w:lineRule="auto" w:before="1" w:after="0"/>
        <w:ind w:left="1121" w:right="0" w:hanging="721"/>
        <w:jc w:val="left"/>
      </w:pPr>
      <w:r>
        <w:rPr/>
        <w:t>Prices</w:t>
      </w:r>
    </w:p>
    <w:p>
      <w:pPr>
        <w:pStyle w:val="BodyText"/>
        <w:rPr>
          <w:b/>
          <w:sz w:val="26"/>
        </w:rPr>
      </w:pPr>
    </w:p>
    <w:p>
      <w:pPr>
        <w:pStyle w:val="BodyText"/>
        <w:spacing w:before="10"/>
        <w:rPr>
          <w:b/>
          <w:sz w:val="23"/>
        </w:rPr>
      </w:pPr>
    </w:p>
    <w:p>
      <w:pPr>
        <w:pStyle w:val="BodyText"/>
        <w:spacing w:line="372" w:lineRule="auto"/>
        <w:ind w:left="401" w:right="533"/>
        <w:jc w:val="both"/>
      </w:pPr>
      <w:r>
        <w:rPr/>
        <w:t>A37 The </w:t>
      </w:r>
      <w:r>
        <w:rPr>
          <w:spacing w:val="-6"/>
        </w:rPr>
        <w:t>Bank’s </w:t>
      </w:r>
      <w:r>
        <w:rPr/>
        <w:t>index of commodity prices excluding </w:t>
      </w:r>
      <w:r>
        <w:rPr>
          <w:spacing w:val="2"/>
        </w:rPr>
        <w:t>oil </w:t>
      </w:r>
      <w:r>
        <w:rPr/>
        <w:t>had risen by 1.9% in March. The total index</w:t>
      </w:r>
      <w:r>
        <w:rPr>
          <w:spacing w:val="-11"/>
        </w:rPr>
        <w:t> </w:t>
      </w:r>
      <w:r>
        <w:rPr/>
        <w:t>had</w:t>
      </w:r>
      <w:r>
        <w:rPr>
          <w:spacing w:val="-11"/>
        </w:rPr>
        <w:t> </w:t>
      </w:r>
      <w:r>
        <w:rPr/>
        <w:t>risen</w:t>
      </w:r>
      <w:r>
        <w:rPr>
          <w:spacing w:val="-9"/>
        </w:rPr>
        <w:t> </w:t>
      </w:r>
      <w:r>
        <w:rPr/>
        <w:t>5.5%,</w:t>
      </w:r>
      <w:r>
        <w:rPr>
          <w:spacing w:val="-11"/>
        </w:rPr>
        <w:t> </w:t>
      </w:r>
      <w:r>
        <w:rPr/>
        <w:t>reflecting</w:t>
      </w:r>
      <w:r>
        <w:rPr>
          <w:spacing w:val="-10"/>
        </w:rPr>
        <w:t> </w:t>
      </w:r>
      <w:r>
        <w:rPr/>
        <w:t>the</w:t>
      </w:r>
      <w:r>
        <w:rPr>
          <w:spacing w:val="-10"/>
        </w:rPr>
        <w:t> </w:t>
      </w:r>
      <w:r>
        <w:rPr/>
        <w:t>very</w:t>
      </w:r>
      <w:r>
        <w:rPr>
          <w:spacing w:val="-11"/>
        </w:rPr>
        <w:t> </w:t>
      </w:r>
      <w:r>
        <w:rPr/>
        <w:t>sharp</w:t>
      </w:r>
      <w:r>
        <w:rPr>
          <w:spacing w:val="-11"/>
        </w:rPr>
        <w:t> </w:t>
      </w:r>
      <w:r>
        <w:rPr/>
        <w:t>increase</w:t>
      </w:r>
      <w:r>
        <w:rPr>
          <w:spacing w:val="-11"/>
        </w:rPr>
        <w:t> </w:t>
      </w:r>
      <w:r>
        <w:rPr/>
        <w:t>in</w:t>
      </w:r>
      <w:r>
        <w:rPr>
          <w:spacing w:val="-11"/>
        </w:rPr>
        <w:t> </w:t>
      </w:r>
      <w:r>
        <w:rPr>
          <w:spacing w:val="2"/>
        </w:rPr>
        <w:t>oil</w:t>
      </w:r>
      <w:r>
        <w:rPr>
          <w:spacing w:val="-7"/>
        </w:rPr>
        <w:t> </w:t>
      </w:r>
      <w:r>
        <w:rPr/>
        <w:t>prices</w:t>
      </w:r>
      <w:r>
        <w:rPr>
          <w:spacing w:val="-10"/>
        </w:rPr>
        <w:t> </w:t>
      </w:r>
      <w:r>
        <w:rPr/>
        <w:t>in</w:t>
      </w:r>
      <w:r>
        <w:rPr>
          <w:spacing w:val="-11"/>
        </w:rPr>
        <w:t> </w:t>
      </w:r>
      <w:r>
        <w:rPr/>
        <w:t>March.</w:t>
      </w:r>
      <w:r>
        <w:rPr>
          <w:spacing w:val="38"/>
        </w:rPr>
        <w:t> </w:t>
      </w:r>
      <w:r>
        <w:rPr/>
        <w:t>The</w:t>
      </w:r>
      <w:r>
        <w:rPr>
          <w:spacing w:val="-9"/>
        </w:rPr>
        <w:t> </w:t>
      </w:r>
      <w:r>
        <w:rPr/>
        <w:t>monthly</w:t>
      </w:r>
      <w:r>
        <w:rPr>
          <w:spacing w:val="-11"/>
        </w:rPr>
        <w:t> </w:t>
      </w:r>
      <w:r>
        <w:rPr/>
        <w:t>rises had</w:t>
      </w:r>
      <w:r>
        <w:rPr>
          <w:spacing w:val="-10"/>
        </w:rPr>
        <w:t> </w:t>
      </w:r>
      <w:r>
        <w:rPr/>
        <w:t>led</w:t>
      </w:r>
      <w:r>
        <w:rPr>
          <w:spacing w:val="-9"/>
        </w:rPr>
        <w:t> </w:t>
      </w:r>
      <w:r>
        <w:rPr>
          <w:spacing w:val="2"/>
        </w:rPr>
        <w:t>to</w:t>
      </w:r>
      <w:r>
        <w:rPr>
          <w:spacing w:val="-5"/>
        </w:rPr>
        <w:t> </w:t>
      </w:r>
      <w:r>
        <w:rPr/>
        <w:t>the</w:t>
      </w:r>
      <w:r>
        <w:rPr>
          <w:spacing w:val="-10"/>
        </w:rPr>
        <w:t> </w:t>
      </w:r>
      <w:r>
        <w:rPr/>
        <w:t>annual</w:t>
      </w:r>
      <w:r>
        <w:rPr>
          <w:spacing w:val="-9"/>
        </w:rPr>
        <w:t> </w:t>
      </w:r>
      <w:r>
        <w:rPr/>
        <w:t>rates</w:t>
      </w:r>
      <w:r>
        <w:rPr>
          <w:spacing w:val="-8"/>
        </w:rPr>
        <w:t> </w:t>
      </w:r>
      <w:r>
        <w:rPr/>
        <w:t>of</w:t>
      </w:r>
      <w:r>
        <w:rPr>
          <w:spacing w:val="-5"/>
        </w:rPr>
        <w:t> </w:t>
      </w:r>
      <w:r>
        <w:rPr/>
        <w:t>inflation</w:t>
      </w:r>
      <w:r>
        <w:rPr>
          <w:spacing w:val="-9"/>
        </w:rPr>
        <w:t> </w:t>
      </w:r>
      <w:r>
        <w:rPr/>
        <w:t>in</w:t>
      </w:r>
      <w:r>
        <w:rPr>
          <w:spacing w:val="-10"/>
        </w:rPr>
        <w:t> </w:t>
      </w:r>
      <w:r>
        <w:rPr/>
        <w:t>both</w:t>
      </w:r>
      <w:r>
        <w:rPr>
          <w:spacing w:val="-9"/>
        </w:rPr>
        <w:t> </w:t>
      </w:r>
      <w:r>
        <w:rPr/>
        <w:t>indices</w:t>
      </w:r>
      <w:r>
        <w:rPr>
          <w:spacing w:val="-9"/>
        </w:rPr>
        <w:t> </w:t>
      </w:r>
      <w:r>
        <w:rPr>
          <w:spacing w:val="2"/>
        </w:rPr>
        <w:t>to</w:t>
      </w:r>
      <w:r>
        <w:rPr>
          <w:spacing w:val="-6"/>
        </w:rPr>
        <w:t> </w:t>
      </w:r>
      <w:r>
        <w:rPr/>
        <w:t>rise,</w:t>
      </w:r>
      <w:r>
        <w:rPr>
          <w:spacing w:val="-7"/>
        </w:rPr>
        <w:t> </w:t>
      </w:r>
      <w:r>
        <w:rPr/>
        <w:t>though</w:t>
      </w:r>
      <w:r>
        <w:rPr>
          <w:spacing w:val="-10"/>
        </w:rPr>
        <w:t> </w:t>
      </w:r>
      <w:r>
        <w:rPr/>
        <w:t>both</w:t>
      </w:r>
      <w:r>
        <w:rPr>
          <w:spacing w:val="-9"/>
        </w:rPr>
        <w:t> </w:t>
      </w:r>
      <w:r>
        <w:rPr/>
        <w:t>had</w:t>
      </w:r>
      <w:r>
        <w:rPr>
          <w:spacing w:val="-9"/>
        </w:rPr>
        <w:t> </w:t>
      </w:r>
      <w:r>
        <w:rPr/>
        <w:t>remained</w:t>
      </w:r>
      <w:r>
        <w:rPr>
          <w:spacing w:val="-8"/>
        </w:rPr>
        <w:t> </w:t>
      </w:r>
      <w:r>
        <w:rPr/>
        <w:t>negative.</w:t>
      </w:r>
    </w:p>
    <w:p>
      <w:pPr>
        <w:spacing w:after="0" w:line="372" w:lineRule="auto"/>
        <w:jc w:val="both"/>
        <w:sectPr>
          <w:pgSz w:w="11900" w:h="16840"/>
          <w:pgMar w:header="729" w:footer="0" w:top="1340" w:bottom="280" w:left="880" w:right="860"/>
        </w:sectPr>
      </w:pPr>
    </w:p>
    <w:p>
      <w:pPr>
        <w:pStyle w:val="BodyText"/>
        <w:rPr>
          <w:sz w:val="12"/>
        </w:rPr>
      </w:pPr>
    </w:p>
    <w:p>
      <w:pPr>
        <w:pStyle w:val="BodyText"/>
        <w:spacing w:line="372" w:lineRule="auto" w:before="90"/>
        <w:ind w:left="401" w:right="789"/>
      </w:pPr>
      <w:r>
        <w:rPr/>
        <w:t>The Bank’s measure of commodity prices had increased in the first quarter, whereas both the </w:t>
      </w:r>
      <w:r>
        <w:rPr>
          <w:i/>
        </w:rPr>
        <w:t>Economist </w:t>
      </w:r>
      <w:r>
        <w:rPr/>
        <w:t>and the Economist Intelligence Unit measures had fallen. The difference had been explained by the use of different weights and baskets of commodities.</w:t>
      </w:r>
    </w:p>
    <w:p>
      <w:pPr>
        <w:pStyle w:val="BodyText"/>
        <w:spacing w:before="11"/>
        <w:rPr>
          <w:sz w:val="36"/>
        </w:rPr>
      </w:pPr>
    </w:p>
    <w:p>
      <w:pPr>
        <w:pStyle w:val="BodyText"/>
        <w:spacing w:line="372" w:lineRule="auto"/>
        <w:ind w:left="401" w:right="328"/>
      </w:pPr>
      <w:r>
        <w:rPr/>
        <w:t>A38 The oil price had risen sharply again in April: the one-month future price of Brent crude rose by 20.3%. Evidence from options prices had suggested that the oil price expected in August had increased since the previous MPC meeting, and that there was slightly greater uncertainty around the estimate, but that the risks around the expectation were more balanced (though still slightly on the upside). Producer price inflation had increased in March: input prices largely due to oil and food prices, and output prices because of oil prices and duties.</w:t>
      </w:r>
    </w:p>
    <w:p>
      <w:pPr>
        <w:pStyle w:val="BodyText"/>
        <w:spacing w:before="10"/>
        <w:rPr>
          <w:sz w:val="36"/>
        </w:rPr>
      </w:pPr>
    </w:p>
    <w:p>
      <w:pPr>
        <w:pStyle w:val="BodyText"/>
        <w:spacing w:line="372" w:lineRule="auto"/>
        <w:ind w:left="401" w:right="279"/>
      </w:pPr>
      <w:r>
        <w:rPr/>
        <w:t>A39 Import and export price had fallen again in February, by 0.1% and 0.6% respectively. But annual</w:t>
      </w:r>
      <w:r>
        <w:rPr>
          <w:spacing w:val="-10"/>
        </w:rPr>
        <w:t> </w:t>
      </w:r>
      <w:r>
        <w:rPr/>
        <w:t>inflation</w:t>
      </w:r>
      <w:r>
        <w:rPr>
          <w:spacing w:val="-10"/>
        </w:rPr>
        <w:t> </w:t>
      </w:r>
      <w:r>
        <w:rPr/>
        <w:t>had</w:t>
      </w:r>
      <w:r>
        <w:rPr>
          <w:spacing w:val="-10"/>
        </w:rPr>
        <w:t> </w:t>
      </w:r>
      <w:r>
        <w:rPr/>
        <w:t>increased</w:t>
      </w:r>
      <w:r>
        <w:rPr>
          <w:spacing w:val="-10"/>
        </w:rPr>
        <w:t> </w:t>
      </w:r>
      <w:r>
        <w:rPr>
          <w:spacing w:val="2"/>
        </w:rPr>
        <w:t>to</w:t>
      </w:r>
      <w:r>
        <w:rPr>
          <w:spacing w:val="1"/>
        </w:rPr>
        <w:t> </w:t>
      </w:r>
      <w:r>
        <w:rPr/>
        <w:t>-4.1%</w:t>
      </w:r>
      <w:r>
        <w:rPr>
          <w:spacing w:val="-8"/>
        </w:rPr>
        <w:t> </w:t>
      </w:r>
      <w:r>
        <w:rPr/>
        <w:t>and</w:t>
      </w:r>
      <w:r>
        <w:rPr>
          <w:spacing w:val="-13"/>
        </w:rPr>
        <w:t> </w:t>
      </w:r>
      <w:r>
        <w:rPr/>
        <w:t>-3.6%,</w:t>
      </w:r>
      <w:r>
        <w:rPr>
          <w:spacing w:val="-8"/>
        </w:rPr>
        <w:t> </w:t>
      </w:r>
      <w:r>
        <w:rPr/>
        <w:t>the</w:t>
      </w:r>
      <w:r>
        <w:rPr>
          <w:spacing w:val="-10"/>
        </w:rPr>
        <w:t> </w:t>
      </w:r>
      <w:r>
        <w:rPr/>
        <w:t>highest</w:t>
      </w:r>
      <w:r>
        <w:rPr>
          <w:spacing w:val="-6"/>
        </w:rPr>
        <w:t> </w:t>
      </w:r>
      <w:r>
        <w:rPr/>
        <w:t>rates</w:t>
      </w:r>
      <w:r>
        <w:rPr>
          <w:spacing w:val="-8"/>
        </w:rPr>
        <w:t> </w:t>
      </w:r>
      <w:r>
        <w:rPr/>
        <w:t>since</w:t>
      </w:r>
      <w:r>
        <w:rPr>
          <w:spacing w:val="-10"/>
        </w:rPr>
        <w:t> </w:t>
      </w:r>
      <w:r>
        <w:rPr/>
        <w:t>November</w:t>
      </w:r>
      <w:r>
        <w:rPr>
          <w:spacing w:val="-10"/>
        </w:rPr>
        <w:t> </w:t>
      </w:r>
      <w:r>
        <w:rPr/>
        <w:t>and</w:t>
      </w:r>
      <w:r>
        <w:rPr>
          <w:spacing w:val="-9"/>
        </w:rPr>
        <w:t> </w:t>
      </w:r>
      <w:r>
        <w:rPr/>
        <w:t>December 1996 respectively. The annual rate of retail sales deflator inflation had fallen by 0.4 percentage points </w:t>
      </w:r>
      <w:r>
        <w:rPr>
          <w:spacing w:val="2"/>
        </w:rPr>
        <w:t>to </w:t>
      </w:r>
      <w:r>
        <w:rPr/>
        <w:t>0.8% in March. The Harmonised Index of Consumer Prices (HICP) rose by 1.7% in the year </w:t>
      </w:r>
      <w:r>
        <w:rPr>
          <w:spacing w:val="2"/>
        </w:rPr>
        <w:t>to </w:t>
      </w:r>
      <w:r>
        <w:rPr/>
        <w:t>March, 0.2 percentage points more than in February, </w:t>
      </w:r>
      <w:r>
        <w:rPr>
          <w:spacing w:val="3"/>
        </w:rPr>
        <w:t>owing </w:t>
      </w:r>
      <w:r>
        <w:rPr>
          <w:spacing w:val="2"/>
        </w:rPr>
        <w:t>to </w:t>
      </w:r>
      <w:r>
        <w:rPr/>
        <w:t>the effects of the measures introduced in the March</w:t>
      </w:r>
      <w:r>
        <w:rPr>
          <w:spacing w:val="6"/>
        </w:rPr>
        <w:t> </w:t>
      </w:r>
      <w:r>
        <w:rPr/>
        <w:t>Budget.</w:t>
      </w:r>
    </w:p>
    <w:p>
      <w:pPr>
        <w:pStyle w:val="BodyText"/>
        <w:spacing w:before="10"/>
        <w:rPr>
          <w:sz w:val="36"/>
        </w:rPr>
      </w:pPr>
    </w:p>
    <w:p>
      <w:pPr>
        <w:pStyle w:val="BodyText"/>
        <w:spacing w:line="372" w:lineRule="auto"/>
        <w:ind w:left="401" w:right="288"/>
      </w:pPr>
      <w:r>
        <w:rPr/>
        <w:t>A40 The annual rate of RPIX inflation had risen by 0.3 percentage points to 2.7% in March, for the same reasons as the HICP. The rate excluding taxes and excise duties (RPIY) had fallen by 0.1 percentage point to 1.7%, and the all-items rate of inflation (RPI) had remained at 2.1%, as lower mortgage-interest payments had offset the Budget effects.</w:t>
      </w:r>
    </w:p>
    <w:p>
      <w:pPr>
        <w:pStyle w:val="BodyText"/>
        <w:spacing w:before="4"/>
        <w:rPr>
          <w:sz w:val="37"/>
        </w:rPr>
      </w:pPr>
    </w:p>
    <w:p>
      <w:pPr>
        <w:pStyle w:val="Heading1"/>
        <w:numPr>
          <w:ilvl w:val="0"/>
          <w:numId w:val="2"/>
        </w:numPr>
        <w:tabs>
          <w:tab w:pos="1121" w:val="left" w:leader="none"/>
          <w:tab w:pos="1122" w:val="left" w:leader="none"/>
        </w:tabs>
        <w:spacing w:line="240" w:lineRule="auto" w:before="0" w:after="0"/>
        <w:ind w:left="1121" w:right="0" w:hanging="721"/>
        <w:jc w:val="left"/>
      </w:pPr>
      <w:r>
        <w:rPr/>
        <w:t>Reports by the </w:t>
      </w:r>
      <w:r>
        <w:rPr>
          <w:spacing w:val="-4"/>
        </w:rPr>
        <w:t>Bank’s</w:t>
      </w:r>
      <w:r>
        <w:rPr>
          <w:spacing w:val="10"/>
        </w:rPr>
        <w:t> </w:t>
      </w:r>
      <w:r>
        <w:rPr/>
        <w:t>Agents</w:t>
      </w:r>
    </w:p>
    <w:p>
      <w:pPr>
        <w:pStyle w:val="BodyText"/>
        <w:rPr>
          <w:b/>
          <w:sz w:val="26"/>
        </w:rPr>
      </w:pPr>
    </w:p>
    <w:p>
      <w:pPr>
        <w:pStyle w:val="BodyText"/>
        <w:spacing w:before="10"/>
        <w:rPr>
          <w:b/>
          <w:sz w:val="23"/>
        </w:rPr>
      </w:pPr>
    </w:p>
    <w:p>
      <w:pPr>
        <w:pStyle w:val="BodyText"/>
        <w:spacing w:line="372" w:lineRule="auto"/>
        <w:ind w:left="401" w:right="235"/>
      </w:pPr>
      <w:r>
        <w:rPr/>
        <w:t>A41 The Bank’s regional Agents reported on their assessment of the economy, drawn from their discussions with contacts over the past month. There had been continued indications that the decline in manufacturing output growth had come to an end. Expectations for output growth in the second half of 1999 had improved. Investment plans had remained focused on cost reduction and product development. Some manufacturers had continued to invest overseas, while others had postponed investment as demand remained subdued. Service sector growth had increased once again, especially advisory services such as accountancy and IT. But the transport industry had continued to report declining demand and increasing fuel costs. Consumer services activity had</w:t>
      </w:r>
    </w:p>
    <w:p>
      <w:pPr>
        <w:spacing w:after="0" w:line="372" w:lineRule="auto"/>
        <w:sectPr>
          <w:pgSz w:w="11900" w:h="16840"/>
          <w:pgMar w:header="729" w:footer="0" w:top="1340" w:bottom="280" w:left="880" w:right="860"/>
        </w:sectPr>
      </w:pPr>
    </w:p>
    <w:p>
      <w:pPr>
        <w:pStyle w:val="BodyText"/>
        <w:rPr>
          <w:sz w:val="12"/>
        </w:rPr>
      </w:pPr>
    </w:p>
    <w:p>
      <w:pPr>
        <w:pStyle w:val="BodyText"/>
        <w:spacing w:line="372" w:lineRule="auto" w:before="90"/>
        <w:ind w:left="401" w:right="355"/>
      </w:pPr>
      <w:r>
        <w:rPr/>
        <w:t>grown only modestly. Some leisure industry contacts had reported that expansion of capacity was no longer planned. Import penetration had increased, especially for commodities. And overall export growth had been reduced by sterling’s appreciation, although certain sectors such as aerospace and telecommunications had reported export growth. German demand had declined but demand from elsewhere in Europe and from North America had remained strong, and there had been modest signs of a recovery in orders from East Asia.</w:t>
      </w:r>
    </w:p>
    <w:p>
      <w:pPr>
        <w:pStyle w:val="BodyText"/>
        <w:spacing w:before="9"/>
        <w:rPr>
          <w:sz w:val="36"/>
        </w:rPr>
      </w:pPr>
    </w:p>
    <w:p>
      <w:pPr>
        <w:pStyle w:val="BodyText"/>
        <w:spacing w:line="372" w:lineRule="auto" w:before="1"/>
        <w:ind w:left="401" w:right="288"/>
      </w:pPr>
      <w:r>
        <w:rPr/>
        <w:t>A42 Retail sales growth had been subdued; exceptions had included DIY, mobile phones and personal computers. Annual sales growth had improved in March and over Easter, but discounting to clear unwanted stocks had persisted. Discount store sales had continued to grow while department store sales had fallen. Demand for new and used cars had been flat in the first quarter of 1999. There had been a modest increase in demand for housing, part of which had been due to strong demand for properties to rent.</w:t>
      </w:r>
    </w:p>
    <w:p>
      <w:pPr>
        <w:pStyle w:val="BodyText"/>
        <w:spacing w:before="9"/>
        <w:rPr>
          <w:sz w:val="36"/>
        </w:rPr>
      </w:pPr>
    </w:p>
    <w:p>
      <w:pPr>
        <w:pStyle w:val="BodyText"/>
        <w:spacing w:line="372" w:lineRule="auto"/>
        <w:ind w:left="401" w:right="235"/>
      </w:pPr>
      <w:r>
        <w:rPr/>
        <w:t>A43 Annual pay settlements had generally remained subdued, typically ranging from 0% to 3% in manufacturing and from 2% to 5% in the service sector. But some individual pay settlements had been higher as companies had sought to retain key staff. Manufacturers had reported ongoing job losses. But manufacturers had been reluctant to shed staff, preferring to rely on natural wastage or to defer decisions in the hope of an upturn in orders. In contrast, service sector recruitment had continued.</w:t>
      </w:r>
    </w:p>
    <w:p>
      <w:pPr>
        <w:pStyle w:val="BodyText"/>
        <w:spacing w:before="3"/>
        <w:rPr>
          <w:sz w:val="37"/>
        </w:rPr>
      </w:pPr>
    </w:p>
    <w:p>
      <w:pPr>
        <w:pStyle w:val="Heading1"/>
        <w:numPr>
          <w:ilvl w:val="0"/>
          <w:numId w:val="2"/>
        </w:numPr>
        <w:tabs>
          <w:tab w:pos="1121" w:val="left" w:leader="none"/>
          <w:tab w:pos="1122" w:val="left" w:leader="none"/>
        </w:tabs>
        <w:spacing w:line="240" w:lineRule="auto" w:before="1" w:after="0"/>
        <w:ind w:left="1121" w:right="0" w:hanging="721"/>
        <w:jc w:val="left"/>
      </w:pPr>
      <w:r>
        <w:rPr>
          <w:spacing w:val="2"/>
        </w:rPr>
        <w:t>Market</w:t>
      </w:r>
      <w:r>
        <w:rPr>
          <w:spacing w:val="5"/>
        </w:rPr>
        <w:t> </w:t>
      </w:r>
      <w:r>
        <w:rPr/>
        <w:t>intelligence</w:t>
      </w:r>
    </w:p>
    <w:p>
      <w:pPr>
        <w:pStyle w:val="BodyText"/>
        <w:rPr>
          <w:b/>
          <w:sz w:val="26"/>
        </w:rPr>
      </w:pPr>
    </w:p>
    <w:p>
      <w:pPr>
        <w:pStyle w:val="BodyText"/>
        <w:spacing w:before="9"/>
        <w:rPr>
          <w:b/>
          <w:sz w:val="23"/>
        </w:rPr>
      </w:pPr>
    </w:p>
    <w:p>
      <w:pPr>
        <w:pStyle w:val="BodyText"/>
        <w:spacing w:line="372" w:lineRule="auto" w:before="1"/>
        <w:ind w:left="401" w:right="248"/>
      </w:pPr>
      <w:r>
        <w:rPr/>
        <w:t>A44 Expectations of UK interest rates implied by prices from financial markets had risen significantly over the past month. The market’s view of the level of interest rates in 2000 and 2001 in particular had increased. Three groups of views had emerged in the market on the likely direction of future interest rate decisions. The first was that interest rates had reached a ‘trough’ at</w:t>
      </w:r>
    </w:p>
    <w:p>
      <w:pPr>
        <w:pStyle w:val="BodyText"/>
        <w:spacing w:line="372" w:lineRule="auto"/>
        <w:ind w:left="401" w:right="235"/>
      </w:pPr>
      <w:r>
        <w:rPr/>
        <w:t>5.25</w:t>
      </w:r>
      <w:r>
        <w:rPr>
          <w:spacing w:val="-10"/>
        </w:rPr>
        <w:t> </w:t>
      </w:r>
      <w:r>
        <w:rPr/>
        <w:t>%;</w:t>
      </w:r>
      <w:r>
        <w:rPr>
          <w:spacing w:val="42"/>
        </w:rPr>
        <w:t> </w:t>
      </w:r>
      <w:r>
        <w:rPr/>
        <w:t>this</w:t>
      </w:r>
      <w:r>
        <w:rPr>
          <w:spacing w:val="-10"/>
        </w:rPr>
        <w:t> </w:t>
      </w:r>
      <w:r>
        <w:rPr/>
        <w:t>view</w:t>
      </w:r>
      <w:r>
        <w:rPr>
          <w:spacing w:val="-10"/>
        </w:rPr>
        <w:t> </w:t>
      </w:r>
      <w:r>
        <w:rPr/>
        <w:t>emphasised</w:t>
      </w:r>
      <w:r>
        <w:rPr>
          <w:spacing w:val="-9"/>
        </w:rPr>
        <w:t> </w:t>
      </w:r>
      <w:r>
        <w:rPr/>
        <w:t>rising</w:t>
      </w:r>
      <w:r>
        <w:rPr>
          <w:spacing w:val="-9"/>
        </w:rPr>
        <w:t> </w:t>
      </w:r>
      <w:r>
        <w:rPr/>
        <w:t>prices</w:t>
      </w:r>
      <w:r>
        <w:rPr>
          <w:spacing w:val="-9"/>
        </w:rPr>
        <w:t> </w:t>
      </w:r>
      <w:r>
        <w:rPr/>
        <w:t>in</w:t>
      </w:r>
      <w:r>
        <w:rPr>
          <w:spacing w:val="-10"/>
        </w:rPr>
        <w:t> </w:t>
      </w:r>
      <w:r>
        <w:rPr/>
        <w:t>asset</w:t>
      </w:r>
      <w:r>
        <w:rPr>
          <w:spacing w:val="-6"/>
        </w:rPr>
        <w:t> </w:t>
      </w:r>
      <w:r>
        <w:rPr/>
        <w:t>markets</w:t>
      </w:r>
      <w:r>
        <w:rPr>
          <w:spacing w:val="-9"/>
        </w:rPr>
        <w:t> </w:t>
      </w:r>
      <w:r>
        <w:rPr/>
        <w:t>and</w:t>
      </w:r>
      <w:r>
        <w:rPr>
          <w:spacing w:val="-10"/>
        </w:rPr>
        <w:t> </w:t>
      </w:r>
      <w:r>
        <w:rPr/>
        <w:t>growing</w:t>
      </w:r>
      <w:r>
        <w:rPr>
          <w:spacing w:val="-10"/>
        </w:rPr>
        <w:t> </w:t>
      </w:r>
      <w:r>
        <w:rPr/>
        <w:t>evidence</w:t>
      </w:r>
      <w:r>
        <w:rPr>
          <w:spacing w:val="-10"/>
        </w:rPr>
        <w:t> </w:t>
      </w:r>
      <w:r>
        <w:rPr/>
        <w:t>from</w:t>
      </w:r>
      <w:r>
        <w:rPr>
          <w:spacing w:val="-9"/>
        </w:rPr>
        <w:t> </w:t>
      </w:r>
      <w:r>
        <w:rPr/>
        <w:t>surveys</w:t>
      </w:r>
      <w:r>
        <w:rPr>
          <w:spacing w:val="-10"/>
        </w:rPr>
        <w:t> </w:t>
      </w:r>
      <w:r>
        <w:rPr/>
        <w:t>of increasing business and consumer confidence. The second group had noted that, while rates might be near </w:t>
      </w:r>
      <w:r>
        <w:rPr>
          <w:spacing w:val="2"/>
        </w:rPr>
        <w:t>to </w:t>
      </w:r>
      <w:r>
        <w:rPr/>
        <w:t>their lows, the risks were still on the downside, and a further reduction in rates was therefore </w:t>
      </w:r>
      <w:r>
        <w:rPr>
          <w:spacing w:val="2"/>
        </w:rPr>
        <w:t>to </w:t>
      </w:r>
      <w:r>
        <w:rPr/>
        <w:t>be expected in the next month or so. The third group believed that the prospect remained</w:t>
      </w:r>
      <w:r>
        <w:rPr>
          <w:spacing w:val="-9"/>
        </w:rPr>
        <w:t> </w:t>
      </w:r>
      <w:r>
        <w:rPr/>
        <w:t>for</w:t>
      </w:r>
      <w:r>
        <w:rPr>
          <w:spacing w:val="-10"/>
        </w:rPr>
        <w:t> </w:t>
      </w:r>
      <w:r>
        <w:rPr/>
        <w:t>further</w:t>
      </w:r>
      <w:r>
        <w:rPr>
          <w:spacing w:val="-10"/>
        </w:rPr>
        <w:t> </w:t>
      </w:r>
      <w:r>
        <w:rPr/>
        <w:t>interest</w:t>
      </w:r>
      <w:r>
        <w:rPr>
          <w:spacing w:val="-7"/>
        </w:rPr>
        <w:t> </w:t>
      </w:r>
      <w:r>
        <w:rPr/>
        <w:t>rate</w:t>
      </w:r>
      <w:r>
        <w:rPr>
          <w:spacing w:val="-8"/>
        </w:rPr>
        <w:t> </w:t>
      </w:r>
      <w:r>
        <w:rPr/>
        <w:t>reductions:</w:t>
      </w:r>
      <w:r>
        <w:rPr>
          <w:spacing w:val="-9"/>
        </w:rPr>
        <w:t> </w:t>
      </w:r>
      <w:r>
        <w:rPr/>
        <w:t>the</w:t>
      </w:r>
      <w:r>
        <w:rPr>
          <w:spacing w:val="-10"/>
        </w:rPr>
        <w:t> </w:t>
      </w:r>
      <w:r>
        <w:rPr/>
        <w:t>improvement</w:t>
      </w:r>
      <w:r>
        <w:rPr>
          <w:spacing w:val="-6"/>
        </w:rPr>
        <w:t> </w:t>
      </w:r>
      <w:r>
        <w:rPr/>
        <w:t>in</w:t>
      </w:r>
      <w:r>
        <w:rPr>
          <w:spacing w:val="-10"/>
        </w:rPr>
        <w:t> </w:t>
      </w:r>
      <w:r>
        <w:rPr/>
        <w:t>surveys</w:t>
      </w:r>
      <w:r>
        <w:rPr>
          <w:spacing w:val="-10"/>
        </w:rPr>
        <w:t> </w:t>
      </w:r>
      <w:r>
        <w:rPr/>
        <w:t>had</w:t>
      </w:r>
      <w:r>
        <w:rPr>
          <w:spacing w:val="-10"/>
        </w:rPr>
        <w:t> </w:t>
      </w:r>
      <w:r>
        <w:rPr/>
        <w:t>been</w:t>
      </w:r>
      <w:r>
        <w:rPr>
          <w:spacing w:val="-11"/>
        </w:rPr>
        <w:t> </w:t>
      </w:r>
      <w:r>
        <w:rPr/>
        <w:t>from</w:t>
      </w:r>
      <w:r>
        <w:rPr>
          <w:spacing w:val="-10"/>
        </w:rPr>
        <w:t> </w:t>
      </w:r>
      <w:r>
        <w:rPr/>
        <w:t>a</w:t>
      </w:r>
      <w:r>
        <w:rPr>
          <w:spacing w:val="-10"/>
        </w:rPr>
        <w:t> </w:t>
      </w:r>
      <w:r>
        <w:rPr/>
        <w:t>low</w:t>
      </w:r>
      <w:r>
        <w:rPr>
          <w:spacing w:val="-10"/>
        </w:rPr>
        <w:t> </w:t>
      </w:r>
      <w:r>
        <w:rPr/>
        <w:t>base, there was a danger of undershooting the inflation target of 2½%, and the exchange rate</w:t>
      </w:r>
      <w:r>
        <w:rPr>
          <w:spacing w:val="-23"/>
        </w:rPr>
        <w:t> </w:t>
      </w:r>
      <w:r>
        <w:rPr/>
        <w:t>had</w:t>
      </w:r>
    </w:p>
    <w:p>
      <w:pPr>
        <w:spacing w:after="0" w:line="372" w:lineRule="auto"/>
        <w:sectPr>
          <w:pgSz w:w="11900" w:h="16840"/>
          <w:pgMar w:header="729" w:footer="0" w:top="1340" w:bottom="280" w:left="880" w:right="860"/>
        </w:sectPr>
      </w:pPr>
    </w:p>
    <w:p>
      <w:pPr>
        <w:pStyle w:val="BodyText"/>
        <w:rPr>
          <w:sz w:val="12"/>
        </w:rPr>
      </w:pPr>
    </w:p>
    <w:p>
      <w:pPr>
        <w:pStyle w:val="BodyText"/>
        <w:spacing w:line="372" w:lineRule="auto" w:before="90"/>
        <w:ind w:left="401" w:right="333"/>
      </w:pPr>
      <w:r>
        <w:rPr/>
        <w:t>remained strong. Despite these differing market views, the range of interest rate expectations for the next two years had narrowed since the start of January, when some in the market had not expected rates to fall as quickly as they had now done, and others had envisaged deeper cuts in interest rates than they now thought in prospect. This suggested that the market now had a clearer view of the UK’s position in the interest rate cycle.</w:t>
      </w:r>
    </w:p>
    <w:p>
      <w:pPr>
        <w:pStyle w:val="BodyText"/>
        <w:spacing w:before="10"/>
        <w:rPr>
          <w:sz w:val="36"/>
        </w:rPr>
      </w:pPr>
    </w:p>
    <w:p>
      <w:pPr>
        <w:pStyle w:val="BodyText"/>
        <w:spacing w:line="372" w:lineRule="auto"/>
        <w:ind w:left="401" w:right="506"/>
        <w:jc w:val="both"/>
      </w:pPr>
      <w:r>
        <w:rPr/>
        <w:t>A45 Sterling had remained strong </w:t>
      </w:r>
      <w:r>
        <w:rPr>
          <w:spacing w:val="3"/>
        </w:rPr>
        <w:t>over </w:t>
      </w:r>
      <w:r>
        <w:rPr/>
        <w:t>the month, particularly against the euro. Expectations of the</w:t>
      </w:r>
      <w:r>
        <w:rPr>
          <w:spacing w:val="-7"/>
        </w:rPr>
        <w:t> </w:t>
      </w:r>
      <w:r>
        <w:rPr/>
        <w:t>level</w:t>
      </w:r>
      <w:r>
        <w:rPr>
          <w:spacing w:val="-7"/>
        </w:rPr>
        <w:t> </w:t>
      </w:r>
      <w:r>
        <w:rPr/>
        <w:t>of</w:t>
      </w:r>
      <w:r>
        <w:rPr>
          <w:spacing w:val="-2"/>
        </w:rPr>
        <w:t> </w:t>
      </w:r>
      <w:r>
        <w:rPr/>
        <w:t>the</w:t>
      </w:r>
      <w:r>
        <w:rPr>
          <w:spacing w:val="-6"/>
        </w:rPr>
        <w:t> </w:t>
      </w:r>
      <w:r>
        <w:rPr/>
        <w:t>exchange</w:t>
      </w:r>
      <w:r>
        <w:rPr>
          <w:spacing w:val="-7"/>
        </w:rPr>
        <w:t> </w:t>
      </w:r>
      <w:r>
        <w:rPr/>
        <w:t>rate</w:t>
      </w:r>
      <w:r>
        <w:rPr>
          <w:spacing w:val="-5"/>
        </w:rPr>
        <w:t> </w:t>
      </w:r>
      <w:r>
        <w:rPr>
          <w:spacing w:val="3"/>
        </w:rPr>
        <w:t>over</w:t>
      </w:r>
      <w:r>
        <w:rPr>
          <w:spacing w:val="-2"/>
        </w:rPr>
        <w:t> </w:t>
      </w:r>
      <w:r>
        <w:rPr/>
        <w:t>the</w:t>
      </w:r>
      <w:r>
        <w:rPr>
          <w:spacing w:val="-7"/>
        </w:rPr>
        <w:t> </w:t>
      </w:r>
      <w:r>
        <w:rPr/>
        <w:t>next</w:t>
      </w:r>
      <w:r>
        <w:rPr>
          <w:spacing w:val="-2"/>
        </w:rPr>
        <w:t> </w:t>
      </w:r>
      <w:r>
        <w:rPr/>
        <w:t>twelve</w:t>
      </w:r>
      <w:r>
        <w:rPr>
          <w:spacing w:val="-6"/>
        </w:rPr>
        <w:t> </w:t>
      </w:r>
      <w:r>
        <w:rPr/>
        <w:t>months,</w:t>
      </w:r>
      <w:r>
        <w:rPr>
          <w:spacing w:val="-7"/>
        </w:rPr>
        <w:t> </w:t>
      </w:r>
      <w:r>
        <w:rPr/>
        <w:t>based</w:t>
      </w:r>
      <w:r>
        <w:rPr>
          <w:spacing w:val="-6"/>
        </w:rPr>
        <w:t> </w:t>
      </w:r>
      <w:r>
        <w:rPr/>
        <w:t>on</w:t>
      </w:r>
      <w:r>
        <w:rPr>
          <w:spacing w:val="-3"/>
        </w:rPr>
        <w:t> </w:t>
      </w:r>
      <w:r>
        <w:rPr/>
        <w:t>forward</w:t>
      </w:r>
      <w:r>
        <w:rPr>
          <w:spacing w:val="-6"/>
        </w:rPr>
        <w:t> </w:t>
      </w:r>
      <w:r>
        <w:rPr/>
        <w:t>exchange</w:t>
      </w:r>
      <w:r>
        <w:rPr>
          <w:spacing w:val="-7"/>
        </w:rPr>
        <w:t> </w:t>
      </w:r>
      <w:r>
        <w:rPr/>
        <w:t>rates</w:t>
      </w:r>
      <w:r>
        <w:rPr>
          <w:spacing w:val="-5"/>
        </w:rPr>
        <w:t> </w:t>
      </w:r>
      <w:r>
        <w:rPr/>
        <w:t>and surveys,</w:t>
      </w:r>
      <w:r>
        <w:rPr>
          <w:spacing w:val="-6"/>
        </w:rPr>
        <w:t> </w:t>
      </w:r>
      <w:r>
        <w:rPr/>
        <w:t>suggested</w:t>
      </w:r>
      <w:r>
        <w:rPr>
          <w:spacing w:val="-6"/>
        </w:rPr>
        <w:t> </w:t>
      </w:r>
      <w:r>
        <w:rPr/>
        <w:t>that</w:t>
      </w:r>
      <w:r>
        <w:rPr>
          <w:spacing w:val="-2"/>
        </w:rPr>
        <w:t> </w:t>
      </w:r>
      <w:r>
        <w:rPr/>
        <w:t>sterling</w:t>
      </w:r>
      <w:r>
        <w:rPr>
          <w:spacing w:val="-5"/>
        </w:rPr>
        <w:t> </w:t>
      </w:r>
      <w:r>
        <w:rPr/>
        <w:t>would</w:t>
      </w:r>
      <w:r>
        <w:rPr>
          <w:spacing w:val="-6"/>
        </w:rPr>
        <w:t> </w:t>
      </w:r>
      <w:r>
        <w:rPr/>
        <w:t>remain</w:t>
      </w:r>
      <w:r>
        <w:rPr>
          <w:spacing w:val="-4"/>
        </w:rPr>
        <w:t> </w:t>
      </w:r>
      <w:r>
        <w:rPr/>
        <w:t>close</w:t>
      </w:r>
      <w:r>
        <w:rPr>
          <w:spacing w:val="-6"/>
        </w:rPr>
        <w:t> </w:t>
      </w:r>
      <w:r>
        <w:rPr>
          <w:spacing w:val="2"/>
        </w:rPr>
        <w:t>to</w:t>
      </w:r>
      <w:r>
        <w:rPr>
          <w:spacing w:val="-2"/>
        </w:rPr>
        <w:t> </w:t>
      </w:r>
      <w:r>
        <w:rPr/>
        <w:t>its</w:t>
      </w:r>
      <w:r>
        <w:rPr>
          <w:spacing w:val="-6"/>
        </w:rPr>
        <w:t> </w:t>
      </w:r>
      <w:r>
        <w:rPr/>
        <w:t>current</w:t>
      </w:r>
      <w:r>
        <w:rPr>
          <w:spacing w:val="-1"/>
        </w:rPr>
        <w:t> </w:t>
      </w:r>
      <w:r>
        <w:rPr/>
        <w:t>level</w:t>
      </w:r>
      <w:r>
        <w:rPr>
          <w:spacing w:val="-6"/>
        </w:rPr>
        <w:t> </w:t>
      </w:r>
      <w:r>
        <w:rPr/>
        <w:t>against</w:t>
      </w:r>
      <w:r>
        <w:rPr>
          <w:spacing w:val="-1"/>
        </w:rPr>
        <w:t> </w:t>
      </w:r>
      <w:r>
        <w:rPr/>
        <w:t>the</w:t>
      </w:r>
      <w:r>
        <w:rPr>
          <w:spacing w:val="-6"/>
        </w:rPr>
        <w:t> </w:t>
      </w:r>
      <w:r>
        <w:rPr/>
        <w:t>US</w:t>
      </w:r>
      <w:r>
        <w:rPr>
          <w:spacing w:val="-6"/>
        </w:rPr>
        <w:t> </w:t>
      </w:r>
      <w:r>
        <w:rPr/>
        <w:t>dollar.</w:t>
      </w:r>
    </w:p>
    <w:p>
      <w:pPr>
        <w:pStyle w:val="BodyText"/>
        <w:spacing w:line="372" w:lineRule="auto"/>
        <w:ind w:left="401" w:right="248"/>
      </w:pPr>
      <w:r>
        <w:rPr/>
        <w:t>However, market data still suggested that the pound would weaken against the euro over the same period. The appreciation of sterling since the start of the year had surprised some forecasters. A number of possible explanations had been advanced, including changes in the expected relative cyclical positions of the United Kingdom and Continental Europe. Market commentators had also suggested that the risk premium on the euro had risen, with the factor most recently cited being the conflict in Kosovo. Over the past month, there had been a number of short -term influences on the exchange rate. There had been demand for sterling related to merger and acquisition activity.</w:t>
      </w:r>
    </w:p>
    <w:p>
      <w:pPr>
        <w:pStyle w:val="BodyText"/>
        <w:spacing w:line="372" w:lineRule="auto"/>
        <w:ind w:left="401" w:right="235"/>
      </w:pPr>
      <w:r>
        <w:rPr/>
        <w:t>Some market participants suggested that there had been portfolio shifts in favour of sterling. And </w:t>
      </w:r>
      <w:r>
        <w:rPr>
          <w:spacing w:val="2"/>
        </w:rPr>
        <w:t>one</w:t>
      </w:r>
      <w:r>
        <w:rPr>
          <w:spacing w:val="-4"/>
        </w:rPr>
        <w:t> </w:t>
      </w:r>
      <w:r>
        <w:rPr/>
        <w:t>bank</w:t>
      </w:r>
      <w:r>
        <w:rPr>
          <w:spacing w:val="-7"/>
        </w:rPr>
        <w:t> </w:t>
      </w:r>
      <w:r>
        <w:rPr/>
        <w:t>with</w:t>
      </w:r>
      <w:r>
        <w:rPr>
          <w:spacing w:val="-8"/>
        </w:rPr>
        <w:t> </w:t>
      </w:r>
      <w:r>
        <w:rPr/>
        <w:t>a</w:t>
      </w:r>
      <w:r>
        <w:rPr>
          <w:spacing w:val="-7"/>
        </w:rPr>
        <w:t> </w:t>
      </w:r>
      <w:r>
        <w:rPr/>
        <w:t>large</w:t>
      </w:r>
      <w:r>
        <w:rPr>
          <w:spacing w:val="-8"/>
        </w:rPr>
        <w:t> </w:t>
      </w:r>
      <w:r>
        <w:rPr/>
        <w:t>share</w:t>
      </w:r>
      <w:r>
        <w:rPr>
          <w:spacing w:val="-7"/>
        </w:rPr>
        <w:t> </w:t>
      </w:r>
      <w:r>
        <w:rPr/>
        <w:t>of</w:t>
      </w:r>
      <w:r>
        <w:rPr>
          <w:spacing w:val="-3"/>
        </w:rPr>
        <w:t> </w:t>
      </w:r>
      <w:r>
        <w:rPr/>
        <w:t>the</w:t>
      </w:r>
      <w:r>
        <w:rPr>
          <w:spacing w:val="-8"/>
        </w:rPr>
        <w:t> </w:t>
      </w:r>
      <w:r>
        <w:rPr/>
        <w:t>customer</w:t>
      </w:r>
      <w:r>
        <w:rPr>
          <w:spacing w:val="-7"/>
        </w:rPr>
        <w:t> </w:t>
      </w:r>
      <w:r>
        <w:rPr/>
        <w:t>market</w:t>
      </w:r>
      <w:r>
        <w:rPr>
          <w:spacing w:val="-4"/>
        </w:rPr>
        <w:t> </w:t>
      </w:r>
      <w:r>
        <w:rPr/>
        <w:t>in</w:t>
      </w:r>
      <w:r>
        <w:rPr>
          <w:spacing w:val="-7"/>
        </w:rPr>
        <w:t> </w:t>
      </w:r>
      <w:r>
        <w:rPr/>
        <w:t>foreign</w:t>
      </w:r>
      <w:r>
        <w:rPr>
          <w:spacing w:val="-8"/>
        </w:rPr>
        <w:t> </w:t>
      </w:r>
      <w:r>
        <w:rPr/>
        <w:t>exchange</w:t>
      </w:r>
      <w:r>
        <w:rPr>
          <w:spacing w:val="-7"/>
        </w:rPr>
        <w:t> </w:t>
      </w:r>
      <w:r>
        <w:rPr/>
        <w:t>had</w:t>
      </w:r>
      <w:r>
        <w:rPr>
          <w:spacing w:val="-8"/>
        </w:rPr>
        <w:t> </w:t>
      </w:r>
      <w:r>
        <w:rPr/>
        <w:t>reported</w:t>
      </w:r>
      <w:r>
        <w:rPr>
          <w:spacing w:val="-5"/>
        </w:rPr>
        <w:t> </w:t>
      </w:r>
      <w:r>
        <w:rPr/>
        <w:t>that</w:t>
      </w:r>
      <w:r>
        <w:rPr>
          <w:spacing w:val="-4"/>
        </w:rPr>
        <w:t> </w:t>
      </w:r>
      <w:r>
        <w:rPr/>
        <w:t>its</w:t>
      </w:r>
      <w:r>
        <w:rPr>
          <w:spacing w:val="-7"/>
        </w:rPr>
        <w:t> </w:t>
      </w:r>
      <w:r>
        <w:rPr/>
        <w:t>clients had bought back large amounts of sterling </w:t>
      </w:r>
      <w:r>
        <w:rPr>
          <w:spacing w:val="3"/>
        </w:rPr>
        <w:t>over </w:t>
      </w:r>
      <w:r>
        <w:rPr/>
        <w:t>a comparatively short period of time, reversing previously underweight</w:t>
      </w:r>
      <w:r>
        <w:rPr>
          <w:spacing w:val="7"/>
        </w:rPr>
        <w:t> </w:t>
      </w:r>
      <w:r>
        <w:rPr/>
        <w:t>positions.</w:t>
      </w:r>
    </w:p>
    <w:sectPr>
      <w:pgSz w:w="11900" w:h="16840"/>
      <w:pgMar w:header="729" w:footer="0" w:top="134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9.880005pt;margin-top:35.42664pt;width:18pt;height:15.3pt;mso-position-horizontal-relative:page;mso-position-vertical-relative:page;z-index:-2520576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9.880005pt;margin-top:35.42664pt;width:18pt;height:15.3pt;mso-position-horizontal-relative:page;mso-position-vertical-relative:page;z-index:-2520565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1121" w:hanging="720"/>
        <w:jc w:val="left"/>
      </w:pPr>
      <w:rPr>
        <w:rFonts w:hint="default" w:ascii="Times New Roman" w:hAnsi="Times New Roman" w:eastAsia="Times New Roman" w:cs="Times New Roman"/>
        <w:b/>
        <w:bCs/>
        <w:w w:val="97"/>
        <w:sz w:val="24"/>
        <w:szCs w:val="24"/>
      </w:rPr>
    </w:lvl>
    <w:lvl w:ilvl="1">
      <w:start w:val="0"/>
      <w:numFmt w:val="bullet"/>
      <w:lvlText w:val="•"/>
      <w:lvlJc w:val="left"/>
      <w:pPr>
        <w:ind w:left="2024" w:hanging="720"/>
      </w:pPr>
      <w:rPr>
        <w:rFonts w:hint="default"/>
      </w:rPr>
    </w:lvl>
    <w:lvl w:ilvl="2">
      <w:start w:val="0"/>
      <w:numFmt w:val="bullet"/>
      <w:lvlText w:val="•"/>
      <w:lvlJc w:val="left"/>
      <w:pPr>
        <w:ind w:left="2928" w:hanging="720"/>
      </w:pPr>
      <w:rPr>
        <w:rFonts w:hint="default"/>
      </w:rPr>
    </w:lvl>
    <w:lvl w:ilvl="3">
      <w:start w:val="0"/>
      <w:numFmt w:val="bullet"/>
      <w:lvlText w:val="•"/>
      <w:lvlJc w:val="left"/>
      <w:pPr>
        <w:ind w:left="3832" w:hanging="720"/>
      </w:pPr>
      <w:rPr>
        <w:rFonts w:hint="default"/>
      </w:rPr>
    </w:lvl>
    <w:lvl w:ilvl="4">
      <w:start w:val="0"/>
      <w:numFmt w:val="bullet"/>
      <w:lvlText w:val="•"/>
      <w:lvlJc w:val="left"/>
      <w:pPr>
        <w:ind w:left="4736" w:hanging="720"/>
      </w:pPr>
      <w:rPr>
        <w:rFonts w:hint="default"/>
      </w:rPr>
    </w:lvl>
    <w:lvl w:ilvl="5">
      <w:start w:val="0"/>
      <w:numFmt w:val="bullet"/>
      <w:lvlText w:val="•"/>
      <w:lvlJc w:val="left"/>
      <w:pPr>
        <w:ind w:left="5640" w:hanging="720"/>
      </w:pPr>
      <w:rPr>
        <w:rFonts w:hint="default"/>
      </w:rPr>
    </w:lvl>
    <w:lvl w:ilvl="6">
      <w:start w:val="0"/>
      <w:numFmt w:val="bullet"/>
      <w:lvlText w:val="•"/>
      <w:lvlJc w:val="left"/>
      <w:pPr>
        <w:ind w:left="6544" w:hanging="720"/>
      </w:pPr>
      <w:rPr>
        <w:rFonts w:hint="default"/>
      </w:rPr>
    </w:lvl>
    <w:lvl w:ilvl="7">
      <w:start w:val="0"/>
      <w:numFmt w:val="bullet"/>
      <w:lvlText w:val="•"/>
      <w:lvlJc w:val="left"/>
      <w:pPr>
        <w:ind w:left="7448" w:hanging="720"/>
      </w:pPr>
      <w:rPr>
        <w:rFonts w:hint="default"/>
      </w:rPr>
    </w:lvl>
    <w:lvl w:ilvl="8">
      <w:start w:val="0"/>
      <w:numFmt w:val="bullet"/>
      <w:lvlText w:val="•"/>
      <w:lvlJc w:val="left"/>
      <w:pPr>
        <w:ind w:left="8352" w:hanging="720"/>
      </w:pPr>
      <w:rPr>
        <w:rFonts w:hint="default"/>
      </w:rPr>
    </w:lvl>
  </w:abstractNum>
  <w:abstractNum w:abstractNumId="0">
    <w:multiLevelType w:val="hybridMultilevel"/>
    <w:lvl w:ilvl="0">
      <w:start w:val="1"/>
      <w:numFmt w:val="decimal"/>
      <w:lvlText w:val="%1"/>
      <w:lvlJc w:val="left"/>
      <w:pPr>
        <w:ind w:left="401" w:hanging="360"/>
        <w:jc w:val="left"/>
      </w:pPr>
      <w:rPr>
        <w:rFonts w:hint="default" w:ascii="Times New Roman" w:hAnsi="Times New Roman" w:eastAsia="Times New Roman" w:cs="Times New Roman"/>
        <w:spacing w:val="-33"/>
        <w:w w:val="86"/>
        <w:sz w:val="24"/>
        <w:szCs w:val="24"/>
      </w:rPr>
    </w:lvl>
    <w:lvl w:ilvl="1">
      <w:start w:val="0"/>
      <w:numFmt w:val="bullet"/>
      <w:lvlText w:val="•"/>
      <w:lvlJc w:val="left"/>
      <w:pPr>
        <w:ind w:left="137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328" w:hanging="360"/>
      </w:pPr>
      <w:rPr>
        <w:rFonts w:hint="default"/>
      </w:rPr>
    </w:lvl>
    <w:lvl w:ilvl="4">
      <w:start w:val="0"/>
      <w:numFmt w:val="bullet"/>
      <w:lvlText w:val="•"/>
      <w:lvlJc w:val="left"/>
      <w:pPr>
        <w:ind w:left="4304" w:hanging="360"/>
      </w:pPr>
      <w:rPr>
        <w:rFonts w:hint="default"/>
      </w:rPr>
    </w:lvl>
    <w:lvl w:ilvl="5">
      <w:start w:val="0"/>
      <w:numFmt w:val="bullet"/>
      <w:lvlText w:val="•"/>
      <w:lvlJc w:val="left"/>
      <w:pPr>
        <w:ind w:left="5280" w:hanging="360"/>
      </w:pPr>
      <w:rPr>
        <w:rFonts w:hint="default"/>
      </w:rPr>
    </w:lvl>
    <w:lvl w:ilvl="6">
      <w:start w:val="0"/>
      <w:numFmt w:val="bullet"/>
      <w:lvlText w:val="•"/>
      <w:lvlJc w:val="left"/>
      <w:pPr>
        <w:ind w:left="6256" w:hanging="360"/>
      </w:pPr>
      <w:rPr>
        <w:rFonts w:hint="default"/>
      </w:rPr>
    </w:lvl>
    <w:lvl w:ilvl="7">
      <w:start w:val="0"/>
      <w:numFmt w:val="bullet"/>
      <w:lvlText w:val="•"/>
      <w:lvlJc w:val="left"/>
      <w:pPr>
        <w:ind w:left="7232" w:hanging="360"/>
      </w:pPr>
      <w:rPr>
        <w:rFonts w:hint="default"/>
      </w:rPr>
    </w:lvl>
    <w:lvl w:ilvl="8">
      <w:start w:val="0"/>
      <w:numFmt w:val="bullet"/>
      <w:lvlText w:val="•"/>
      <w:lvlJc w:val="left"/>
      <w:pPr>
        <w:ind w:left="8208"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9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0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2020-06-01T02:11:02Z</dcterms:created>
  <dcterms:modified xsi:type="dcterms:W3CDTF">2020-06-01T02:11:02Z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1999-05-11T00:00:00Z</vt:filetime>
  </property>
  <property fmtid="{D5CDD505-2E9C-101B-9397-08002B2CF9AE}" pid="3" name="LastSaved">
    <vt:filetime>2020-06-01T00:00:00Z</vt:filetime>
  </property>
</Properties>
</file>