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6"/>
        <w:ind w:left="100" w:right="0" w:firstLine="0"/>
        <w:jc w:val="left"/>
        <w:rPr>
          <w:rFonts w:ascii="Arial"/>
          <w:sz w:val="36"/>
        </w:rPr>
      </w:pPr>
      <w:r>
        <w:rPr>
          <w:rFonts w:ascii="Arial"/>
          <w:color w:val="231F20"/>
          <w:sz w:val="36"/>
        </w:rPr>
        <w:t>Publication date: 10 June 1998</w:t>
      </w:r>
    </w:p>
    <w:p>
      <w:pPr>
        <w:pStyle w:val="BodyText"/>
        <w:rPr>
          <w:rFonts w:ascii="Arial"/>
          <w:sz w:val="20"/>
        </w:rPr>
      </w:pPr>
    </w:p>
    <w:p>
      <w:pPr>
        <w:pStyle w:val="BodyText"/>
        <w:rPr>
          <w:rFonts w:ascii="Arial"/>
          <w:sz w:val="20"/>
        </w:rPr>
      </w:pPr>
    </w:p>
    <w:p>
      <w:pPr>
        <w:pStyle w:val="BodyText"/>
        <w:spacing w:before="2"/>
        <w:rPr>
          <w:rFonts w:ascii="Arial"/>
          <w:sz w:val="14"/>
        </w:rPr>
      </w:pPr>
      <w:r>
        <w:rPr/>
        <w:pict>
          <v:group style="position:absolute;margin-left:49pt;margin-top:10.123711pt;width:497.25pt;height:4.1pt;mso-position-horizontal-relative:page;mso-position-vertical-relative:paragraph;z-index:-251658240;mso-wrap-distance-left:0;mso-wrap-distance-right:0" coordorigin="980,202" coordsize="9945,82">
            <v:line style="position:absolute" from="980,222" to="10925,222" stroked="true" strokeweight="2pt" strokecolor="#231f20">
              <v:stroke dashstyle="solid"/>
            </v:line>
            <v:line style="position:absolute" from="980,277" to="10925,277" stroked="true" strokeweight=".62pt" strokecolor="#231f20">
              <v:stroke dashstyle="solid"/>
            </v:line>
            <w10:wrap type="topAndBottom"/>
          </v:group>
        </w:pict>
      </w:r>
    </w:p>
    <w:p>
      <w:pPr>
        <w:spacing w:line="252" w:lineRule="auto" w:before="18"/>
        <w:ind w:left="1791" w:right="1805" w:firstLine="2"/>
        <w:jc w:val="center"/>
        <w:rPr>
          <w:rFonts w:ascii="Arial"/>
          <w:b/>
          <w:sz w:val="56"/>
        </w:rPr>
      </w:pPr>
      <w:r>
        <w:rPr>
          <w:rFonts w:ascii="Arial"/>
          <w:b/>
          <w:color w:val="231F20"/>
          <w:w w:val="105"/>
          <w:sz w:val="48"/>
        </w:rPr>
        <w:t>MINUTES OF  </w:t>
      </w:r>
      <w:r>
        <w:rPr>
          <w:rFonts w:ascii="Arial"/>
          <w:b/>
          <w:color w:val="231F20"/>
          <w:spacing w:val="-11"/>
          <w:w w:val="105"/>
          <w:sz w:val="56"/>
        </w:rPr>
        <w:t>MONETARY </w:t>
      </w:r>
      <w:r>
        <w:rPr>
          <w:rFonts w:ascii="Arial"/>
          <w:b/>
          <w:color w:val="231F20"/>
          <w:w w:val="105"/>
          <w:sz w:val="56"/>
        </w:rPr>
        <w:t>POLICY COMMITTEE</w:t>
      </w:r>
      <w:r>
        <w:rPr>
          <w:rFonts w:ascii="Arial"/>
          <w:b/>
          <w:color w:val="231F20"/>
          <w:spacing w:val="13"/>
          <w:w w:val="105"/>
          <w:sz w:val="56"/>
        </w:rPr>
        <w:t> </w:t>
      </w:r>
      <w:r>
        <w:rPr>
          <w:rFonts w:ascii="Arial"/>
          <w:b/>
          <w:color w:val="231F20"/>
          <w:w w:val="105"/>
          <w:sz w:val="56"/>
        </w:rPr>
        <w:t>MEETING</w:t>
      </w:r>
    </w:p>
    <w:p>
      <w:pPr>
        <w:spacing w:before="19"/>
        <w:ind w:left="3092" w:right="3104" w:firstLine="0"/>
        <w:jc w:val="center"/>
        <w:rPr>
          <w:rFonts w:ascii="Arial"/>
          <w:b/>
          <w:sz w:val="48"/>
        </w:rPr>
      </w:pPr>
      <w:r>
        <w:rPr>
          <w:rFonts w:ascii="Arial"/>
          <w:b/>
          <w:color w:val="231F20"/>
          <w:sz w:val="48"/>
        </w:rPr>
        <w:t>6 and 7 May 1998</w:t>
      </w:r>
    </w:p>
    <w:p>
      <w:pPr>
        <w:pStyle w:val="BodyText"/>
        <w:spacing w:before="4"/>
        <w:rPr>
          <w:rFonts w:ascii="Arial"/>
          <w:b/>
          <w:sz w:val="15"/>
        </w:rPr>
      </w:pPr>
      <w:r>
        <w:rPr/>
        <w:pict>
          <v:group style="position:absolute;margin-left:49pt;margin-top:10.850547pt;width:497.25pt;height:3.95pt;mso-position-horizontal-relative:page;mso-position-vertical-relative:paragraph;z-index:-251657216;mso-wrap-distance-left:0;mso-wrap-distance-right:0" coordorigin="980,217" coordsize="9945,79">
            <v:line style="position:absolute" from="980,223" to="10925,223" stroked="true" strokeweight=".62pt" strokecolor="#231f20">
              <v:stroke dashstyle="solid"/>
            </v:line>
            <v:line style="position:absolute" from="980,276" to="10925,276" stroked="true" strokeweight="2pt" strokecolor="#231f20">
              <v:stroke dashstyle="solid"/>
            </v:line>
            <w10:wrap type="topAndBottom"/>
          </v:group>
        </w:pict>
      </w:r>
    </w:p>
    <w:p>
      <w:pPr>
        <w:pStyle w:val="BodyText"/>
        <w:rPr>
          <w:rFonts w:ascii="Arial"/>
          <w:b/>
          <w:sz w:val="52"/>
        </w:rPr>
      </w:pPr>
    </w:p>
    <w:p>
      <w:pPr>
        <w:pStyle w:val="BodyText"/>
        <w:spacing w:before="7"/>
        <w:rPr>
          <w:rFonts w:ascii="Arial"/>
          <w:b/>
          <w:sz w:val="56"/>
        </w:rPr>
      </w:pPr>
    </w:p>
    <w:p>
      <w:pPr>
        <w:spacing w:line="288" w:lineRule="auto" w:before="1"/>
        <w:ind w:left="100" w:right="1452" w:firstLine="0"/>
        <w:jc w:val="left"/>
        <w:rPr>
          <w:rFonts w:ascii="Arial"/>
          <w:sz w:val="26"/>
        </w:rPr>
      </w:pPr>
      <w:r>
        <w:rPr>
          <w:rFonts w:ascii="Arial"/>
          <w:color w:val="231F20"/>
          <w:sz w:val="26"/>
        </w:rPr>
        <w:t>These are the minutes of the Monetary Policy Committee meeting held on 6 and 7 May 1998.</w:t>
      </w:r>
    </w:p>
    <w:p>
      <w:pPr>
        <w:spacing w:before="2"/>
        <w:ind w:left="100" w:right="0" w:firstLine="0"/>
        <w:jc w:val="left"/>
        <w:rPr>
          <w:rFonts w:ascii="Arial"/>
          <w:sz w:val="24"/>
        </w:rPr>
      </w:pPr>
      <w:r>
        <w:rPr>
          <w:rFonts w:ascii="Arial"/>
          <w:color w:val="231F20"/>
          <w:w w:val="105"/>
          <w:sz w:val="26"/>
        </w:rPr>
        <w:t>They are also available on the Internet </w:t>
      </w:r>
      <w:hyperlink r:id="rId5">
        <w:r>
          <w:rPr>
            <w:rFonts w:ascii="Arial"/>
            <w:color w:val="231F20"/>
            <w:w w:val="105"/>
            <w:sz w:val="24"/>
          </w:rPr>
          <w:t>(http://ww</w:t>
        </w:r>
      </w:hyperlink>
      <w:r>
        <w:rPr>
          <w:rFonts w:ascii="Arial"/>
          <w:color w:val="231F20"/>
          <w:w w:val="105"/>
          <w:sz w:val="24"/>
        </w:rPr>
        <w:t>w</w:t>
      </w:r>
      <w:hyperlink r:id="rId5">
        <w:r>
          <w:rPr>
            <w:rFonts w:ascii="Arial"/>
            <w:color w:val="231F20"/>
            <w:w w:val="105"/>
            <w:sz w:val="24"/>
          </w:rPr>
          <w:t>.bankofengland.co.uk/mpc9805.pdf).</w:t>
        </w:r>
      </w:hyperlink>
    </w:p>
    <w:p>
      <w:pPr>
        <w:pStyle w:val="BodyText"/>
        <w:spacing w:before="2"/>
        <w:rPr>
          <w:rFonts w:ascii="Arial"/>
          <w:sz w:val="26"/>
        </w:rPr>
      </w:pPr>
    </w:p>
    <w:p>
      <w:pPr>
        <w:spacing w:line="288" w:lineRule="auto" w:before="0"/>
        <w:ind w:left="100" w:right="201" w:firstLine="0"/>
        <w:jc w:val="left"/>
        <w:rPr>
          <w:rFonts w:ascii="Arial"/>
          <w:sz w:val="26"/>
        </w:rPr>
      </w:pPr>
      <w:r>
        <w:rPr>
          <w:rFonts w:ascii="Arial"/>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no later than</w:t>
      </w:r>
    </w:p>
    <w:p>
      <w:pPr>
        <w:spacing w:line="288" w:lineRule="auto" w:before="5"/>
        <w:ind w:left="100" w:right="21" w:firstLine="0"/>
        <w:jc w:val="left"/>
        <w:rPr>
          <w:rFonts w:ascii="Arial"/>
          <w:sz w:val="26"/>
        </w:rPr>
      </w:pPr>
      <w:r>
        <w:rPr>
          <w:rFonts w:ascii="Arial"/>
          <w:color w:val="231F20"/>
          <w:sz w:val="26"/>
        </w:rPr>
        <w:t>6 weeks after each meeting. Accordingly, the minutes of the Committee meeting held on 3 and 4 June will be published on 15 July 1998.</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25"/>
        </w:rPr>
      </w:pPr>
      <w:r>
        <w:rPr/>
        <w:drawing>
          <wp:anchor distT="0" distB="0" distL="0" distR="0" allowOverlap="1" layoutInCell="1" locked="0" behindDoc="0" simplePos="0" relativeHeight="2">
            <wp:simplePos x="0" y="0"/>
            <wp:positionH relativeFrom="page">
              <wp:posOffset>5326279</wp:posOffset>
            </wp:positionH>
            <wp:positionV relativeFrom="paragraph">
              <wp:posOffset>211949</wp:posOffset>
            </wp:positionV>
            <wp:extent cx="1473517"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73517" cy="1438846"/>
                    </a:xfrm>
                    <a:prstGeom prst="rect">
                      <a:avLst/>
                    </a:prstGeom>
                  </pic:spPr>
                </pic:pic>
              </a:graphicData>
            </a:graphic>
          </wp:anchor>
        </w:drawing>
      </w:r>
    </w:p>
    <w:p>
      <w:pPr>
        <w:spacing w:after="0"/>
        <w:rPr>
          <w:rFonts w:ascii="Arial"/>
          <w:sz w:val="25"/>
        </w:rPr>
        <w:sectPr>
          <w:type w:val="continuous"/>
          <w:pgSz w:w="11920" w:h="16840"/>
          <w:pgMar w:top="1340" w:bottom="280" w:left="880" w:right="880"/>
        </w:sectPr>
      </w:pPr>
    </w:p>
    <w:p>
      <w:pPr>
        <w:pStyle w:val="BodyText"/>
        <w:rPr>
          <w:rFonts w:ascii="Arial"/>
          <w:sz w:val="20"/>
        </w:rPr>
      </w:pPr>
    </w:p>
    <w:p>
      <w:pPr>
        <w:pStyle w:val="BodyText"/>
        <w:rPr>
          <w:rFonts w:ascii="Arial"/>
          <w:sz w:val="20"/>
        </w:rPr>
      </w:pPr>
    </w:p>
    <w:p>
      <w:pPr>
        <w:pStyle w:val="BodyText"/>
        <w:rPr>
          <w:rFonts w:ascii="Arial"/>
          <w:sz w:val="20"/>
        </w:rPr>
      </w:pPr>
    </w:p>
    <w:p>
      <w:pPr>
        <w:pStyle w:val="Heading1"/>
        <w:spacing w:before="223"/>
      </w:pPr>
      <w:r>
        <w:rPr/>
        <w:t>MINUTES OF MONETARY POLICY COMMITTEE MEETING ON 6-7 MAY 1998</w:t>
      </w:r>
    </w:p>
    <w:p>
      <w:pPr>
        <w:pStyle w:val="BodyText"/>
        <w:rPr>
          <w:b/>
          <w:sz w:val="26"/>
        </w:rPr>
      </w:pPr>
    </w:p>
    <w:p>
      <w:pPr>
        <w:pStyle w:val="BodyText"/>
        <w:spacing w:before="5"/>
        <w:rPr>
          <w:b/>
          <w:sz w:val="23"/>
        </w:rPr>
      </w:pPr>
    </w:p>
    <w:p>
      <w:pPr>
        <w:pStyle w:val="ListParagraph"/>
        <w:numPr>
          <w:ilvl w:val="0"/>
          <w:numId w:val="1"/>
        </w:numPr>
        <w:tabs>
          <w:tab w:pos="573" w:val="left" w:leader="none"/>
          <w:tab w:pos="574" w:val="left" w:leader="none"/>
        </w:tabs>
        <w:spacing w:line="372" w:lineRule="auto" w:before="1" w:after="0"/>
        <w:ind w:left="117" w:right="326" w:firstLine="0"/>
        <w:jc w:val="left"/>
        <w:rPr>
          <w:sz w:val="24"/>
        </w:rPr>
      </w:pPr>
      <w:r>
        <w:rPr>
          <w:sz w:val="24"/>
        </w:rPr>
        <w:t>The</w:t>
      </w:r>
      <w:r>
        <w:rPr>
          <w:spacing w:val="-10"/>
          <w:sz w:val="24"/>
        </w:rPr>
        <w:t> </w:t>
      </w:r>
      <w:r>
        <w:rPr>
          <w:sz w:val="24"/>
        </w:rPr>
        <w:t>Committee</w:t>
      </w:r>
      <w:r>
        <w:rPr>
          <w:spacing w:val="-11"/>
          <w:sz w:val="24"/>
        </w:rPr>
        <w:t> </w:t>
      </w:r>
      <w:r>
        <w:rPr>
          <w:sz w:val="24"/>
        </w:rPr>
        <w:t>discussed</w:t>
      </w:r>
      <w:r>
        <w:rPr>
          <w:spacing w:val="-11"/>
          <w:sz w:val="24"/>
        </w:rPr>
        <w:t> </w:t>
      </w:r>
      <w:r>
        <w:rPr>
          <w:sz w:val="24"/>
        </w:rPr>
        <w:t>monetary</w:t>
      </w:r>
      <w:r>
        <w:rPr>
          <w:spacing w:val="-11"/>
          <w:sz w:val="24"/>
        </w:rPr>
        <w:t> </w:t>
      </w:r>
      <w:r>
        <w:rPr>
          <w:sz w:val="24"/>
        </w:rPr>
        <w:t>developments,</w:t>
      </w:r>
      <w:r>
        <w:rPr>
          <w:spacing w:val="-12"/>
          <w:sz w:val="24"/>
        </w:rPr>
        <w:t> </w:t>
      </w:r>
      <w:r>
        <w:rPr>
          <w:sz w:val="24"/>
        </w:rPr>
        <w:t>demand</w:t>
      </w:r>
      <w:r>
        <w:rPr>
          <w:spacing w:val="-11"/>
          <w:sz w:val="24"/>
        </w:rPr>
        <w:t> </w:t>
      </w:r>
      <w:r>
        <w:rPr>
          <w:sz w:val="24"/>
        </w:rPr>
        <w:t>and</w:t>
      </w:r>
      <w:r>
        <w:rPr>
          <w:spacing w:val="-11"/>
          <w:sz w:val="24"/>
        </w:rPr>
        <w:t> </w:t>
      </w:r>
      <w:r>
        <w:rPr>
          <w:spacing w:val="3"/>
          <w:sz w:val="24"/>
        </w:rPr>
        <w:t>output,</w:t>
      </w:r>
      <w:r>
        <w:rPr>
          <w:spacing w:val="-7"/>
          <w:sz w:val="24"/>
        </w:rPr>
        <w:t> </w:t>
      </w:r>
      <w:r>
        <w:rPr>
          <w:sz w:val="24"/>
        </w:rPr>
        <w:t>and</w:t>
      </w:r>
      <w:r>
        <w:rPr>
          <w:spacing w:val="-11"/>
          <w:sz w:val="24"/>
        </w:rPr>
        <w:t> </w:t>
      </w:r>
      <w:r>
        <w:rPr>
          <w:sz w:val="24"/>
        </w:rPr>
        <w:t>questions</w:t>
      </w:r>
      <w:r>
        <w:rPr>
          <w:spacing w:val="-11"/>
          <w:sz w:val="24"/>
        </w:rPr>
        <w:t> </w:t>
      </w:r>
      <w:r>
        <w:rPr>
          <w:sz w:val="24"/>
        </w:rPr>
        <w:t>about</w:t>
      </w:r>
      <w:r>
        <w:rPr>
          <w:spacing w:val="-7"/>
          <w:sz w:val="24"/>
        </w:rPr>
        <w:t> </w:t>
      </w:r>
      <w:r>
        <w:rPr>
          <w:sz w:val="24"/>
        </w:rPr>
        <w:t>the degree of labour market tightness before agreeing the May inflation forecast and turning </w:t>
      </w:r>
      <w:r>
        <w:rPr>
          <w:spacing w:val="2"/>
          <w:sz w:val="24"/>
        </w:rPr>
        <w:t>to </w:t>
      </w:r>
      <w:r>
        <w:rPr>
          <w:sz w:val="24"/>
        </w:rPr>
        <w:t>its immediate policy</w:t>
      </w:r>
      <w:r>
        <w:rPr>
          <w:spacing w:val="2"/>
          <w:sz w:val="24"/>
        </w:rPr>
        <w:t> </w:t>
      </w:r>
      <w:r>
        <w:rPr>
          <w:sz w:val="24"/>
        </w:rPr>
        <w:t>decision.</w:t>
      </w:r>
    </w:p>
    <w:p>
      <w:pPr>
        <w:pStyle w:val="BodyText"/>
        <w:spacing w:before="4"/>
        <w:rPr>
          <w:sz w:val="37"/>
        </w:rPr>
      </w:pPr>
    </w:p>
    <w:p>
      <w:pPr>
        <w:pStyle w:val="Heading1"/>
        <w:spacing w:before="1"/>
      </w:pPr>
      <w:r>
        <w:rPr/>
        <w:t>Monetary developments</w:t>
      </w:r>
    </w:p>
    <w:p>
      <w:pPr>
        <w:pStyle w:val="BodyText"/>
        <w:rPr>
          <w:b/>
          <w:sz w:val="26"/>
        </w:rPr>
      </w:pPr>
    </w:p>
    <w:p>
      <w:pPr>
        <w:pStyle w:val="BodyText"/>
        <w:spacing w:before="9"/>
        <w:rPr>
          <w:b/>
          <w:sz w:val="23"/>
        </w:rPr>
      </w:pPr>
    </w:p>
    <w:p>
      <w:pPr>
        <w:pStyle w:val="ListParagraph"/>
        <w:numPr>
          <w:ilvl w:val="0"/>
          <w:numId w:val="1"/>
        </w:numPr>
        <w:tabs>
          <w:tab w:pos="573" w:val="left" w:leader="none"/>
          <w:tab w:pos="574" w:val="left" w:leader="none"/>
        </w:tabs>
        <w:spacing w:line="372" w:lineRule="auto" w:before="1" w:after="0"/>
        <w:ind w:left="117" w:right="385" w:firstLine="0"/>
        <w:jc w:val="left"/>
        <w:rPr>
          <w:sz w:val="24"/>
        </w:rPr>
      </w:pPr>
      <w:r>
        <w:rPr>
          <w:sz w:val="24"/>
        </w:rPr>
        <w:t>The Committee noted the continuing signs of slowing monetary growth. The twelve month growth rate of M4 had fallen below 10% in March, having been above 11% during the middle of 1997; and the 3 and 6 month annualised growth rates were in a 8-9% range. Slower growth in the narrower</w:t>
      </w:r>
      <w:r>
        <w:rPr>
          <w:spacing w:val="-6"/>
          <w:sz w:val="24"/>
        </w:rPr>
        <w:t> </w:t>
      </w:r>
      <w:r>
        <w:rPr>
          <w:sz w:val="24"/>
        </w:rPr>
        <w:t>aggregates</w:t>
      </w:r>
      <w:r>
        <w:rPr>
          <w:spacing w:val="-6"/>
          <w:sz w:val="24"/>
        </w:rPr>
        <w:t> </w:t>
      </w:r>
      <w:r>
        <w:rPr>
          <w:sz w:val="24"/>
        </w:rPr>
        <w:t>-</w:t>
      </w:r>
      <w:r>
        <w:rPr>
          <w:spacing w:val="-4"/>
          <w:sz w:val="24"/>
        </w:rPr>
        <w:t> </w:t>
      </w:r>
      <w:r>
        <w:rPr>
          <w:sz w:val="24"/>
        </w:rPr>
        <w:t>M0,</w:t>
      </w:r>
      <w:r>
        <w:rPr>
          <w:spacing w:val="-6"/>
          <w:sz w:val="24"/>
        </w:rPr>
        <w:t> </w:t>
      </w:r>
      <w:r>
        <w:rPr>
          <w:sz w:val="24"/>
        </w:rPr>
        <w:t>retail</w:t>
      </w:r>
      <w:r>
        <w:rPr>
          <w:spacing w:val="-4"/>
          <w:sz w:val="24"/>
        </w:rPr>
        <w:t> </w:t>
      </w:r>
      <w:r>
        <w:rPr>
          <w:sz w:val="24"/>
        </w:rPr>
        <w:t>M4,</w:t>
      </w:r>
      <w:r>
        <w:rPr>
          <w:spacing w:val="-5"/>
          <w:sz w:val="24"/>
        </w:rPr>
        <w:t> </w:t>
      </w:r>
      <w:r>
        <w:rPr>
          <w:sz w:val="24"/>
        </w:rPr>
        <w:t>Divisia</w:t>
      </w:r>
      <w:r>
        <w:rPr>
          <w:spacing w:val="-6"/>
          <w:sz w:val="24"/>
        </w:rPr>
        <w:t> </w:t>
      </w:r>
      <w:r>
        <w:rPr>
          <w:sz w:val="24"/>
        </w:rPr>
        <w:t>-</w:t>
      </w:r>
      <w:r>
        <w:rPr>
          <w:spacing w:val="-4"/>
          <w:sz w:val="24"/>
        </w:rPr>
        <w:t> </w:t>
      </w:r>
      <w:r>
        <w:rPr>
          <w:sz w:val="24"/>
        </w:rPr>
        <w:t>and</w:t>
      </w:r>
      <w:r>
        <w:rPr>
          <w:spacing w:val="-6"/>
          <w:sz w:val="24"/>
        </w:rPr>
        <w:t> </w:t>
      </w:r>
      <w:r>
        <w:rPr>
          <w:sz w:val="24"/>
        </w:rPr>
        <w:t>in</w:t>
      </w:r>
      <w:r>
        <w:rPr>
          <w:spacing w:val="-5"/>
          <w:sz w:val="24"/>
        </w:rPr>
        <w:t> </w:t>
      </w:r>
      <w:r>
        <w:rPr>
          <w:sz w:val="24"/>
        </w:rPr>
        <w:t>personal</w:t>
      </w:r>
      <w:r>
        <w:rPr>
          <w:spacing w:val="-6"/>
          <w:sz w:val="24"/>
        </w:rPr>
        <w:t> </w:t>
      </w:r>
      <w:r>
        <w:rPr>
          <w:sz w:val="24"/>
        </w:rPr>
        <w:t>sector</w:t>
      </w:r>
      <w:r>
        <w:rPr>
          <w:spacing w:val="-1"/>
          <w:sz w:val="24"/>
        </w:rPr>
        <w:t> </w:t>
      </w:r>
      <w:r>
        <w:rPr>
          <w:sz w:val="24"/>
        </w:rPr>
        <w:t>M4</w:t>
      </w:r>
      <w:r>
        <w:rPr>
          <w:spacing w:val="-6"/>
          <w:sz w:val="24"/>
        </w:rPr>
        <w:t> </w:t>
      </w:r>
      <w:r>
        <w:rPr>
          <w:sz w:val="24"/>
        </w:rPr>
        <w:t>supported</w:t>
      </w:r>
      <w:r>
        <w:rPr>
          <w:spacing w:val="-6"/>
          <w:sz w:val="24"/>
        </w:rPr>
        <w:t> </w:t>
      </w:r>
      <w:r>
        <w:rPr>
          <w:sz w:val="24"/>
        </w:rPr>
        <w:t>this</w:t>
      </w:r>
      <w:r>
        <w:rPr>
          <w:spacing w:val="-5"/>
          <w:sz w:val="24"/>
        </w:rPr>
        <w:t> </w:t>
      </w:r>
      <w:r>
        <w:rPr>
          <w:sz w:val="24"/>
        </w:rPr>
        <w:t>picture</w:t>
      </w:r>
      <w:r>
        <w:rPr>
          <w:spacing w:val="-6"/>
          <w:sz w:val="24"/>
        </w:rPr>
        <w:t> </w:t>
      </w:r>
      <w:r>
        <w:rPr>
          <w:sz w:val="24"/>
        </w:rPr>
        <w:t>and suggested that, in addition </w:t>
      </w:r>
      <w:r>
        <w:rPr>
          <w:spacing w:val="2"/>
          <w:sz w:val="24"/>
        </w:rPr>
        <w:t>to </w:t>
      </w:r>
      <w:r>
        <w:rPr>
          <w:sz w:val="24"/>
        </w:rPr>
        <w:t>a worsening external position, past increases in </w:t>
      </w:r>
      <w:r>
        <w:rPr>
          <w:spacing w:val="3"/>
          <w:sz w:val="24"/>
        </w:rPr>
        <w:t>official </w:t>
      </w:r>
      <w:r>
        <w:rPr>
          <w:sz w:val="24"/>
        </w:rPr>
        <w:t>interest rates were having an effect, both indirectly via slower demand growth and directly via the greater </w:t>
      </w:r>
      <w:r>
        <w:rPr>
          <w:spacing w:val="3"/>
          <w:sz w:val="24"/>
        </w:rPr>
        <w:t>opportunity</w:t>
      </w:r>
      <w:r>
        <w:rPr>
          <w:spacing w:val="-7"/>
          <w:sz w:val="24"/>
        </w:rPr>
        <w:t> </w:t>
      </w:r>
      <w:r>
        <w:rPr>
          <w:sz w:val="24"/>
        </w:rPr>
        <w:t>cost</w:t>
      </w:r>
      <w:r>
        <w:rPr>
          <w:spacing w:val="-6"/>
          <w:sz w:val="24"/>
        </w:rPr>
        <w:t> </w:t>
      </w:r>
      <w:r>
        <w:rPr>
          <w:sz w:val="24"/>
        </w:rPr>
        <w:t>of</w:t>
      </w:r>
      <w:r>
        <w:rPr>
          <w:spacing w:val="-7"/>
          <w:sz w:val="24"/>
        </w:rPr>
        <w:t> </w:t>
      </w:r>
      <w:r>
        <w:rPr>
          <w:sz w:val="24"/>
        </w:rPr>
        <w:t>holding</w:t>
      </w:r>
      <w:r>
        <w:rPr>
          <w:spacing w:val="-10"/>
          <w:sz w:val="24"/>
        </w:rPr>
        <w:t> </w:t>
      </w:r>
      <w:r>
        <w:rPr>
          <w:sz w:val="24"/>
        </w:rPr>
        <w:t>zero</w:t>
      </w:r>
      <w:r>
        <w:rPr>
          <w:spacing w:val="-11"/>
          <w:sz w:val="24"/>
        </w:rPr>
        <w:t> </w:t>
      </w:r>
      <w:r>
        <w:rPr>
          <w:sz w:val="24"/>
        </w:rPr>
        <w:t>or</w:t>
      </w:r>
      <w:r>
        <w:rPr>
          <w:spacing w:val="-6"/>
          <w:sz w:val="24"/>
        </w:rPr>
        <w:t> </w:t>
      </w:r>
      <w:r>
        <w:rPr>
          <w:sz w:val="24"/>
        </w:rPr>
        <w:t>low</w:t>
      </w:r>
      <w:r>
        <w:rPr>
          <w:spacing w:val="-10"/>
          <w:sz w:val="24"/>
        </w:rPr>
        <w:t> </w:t>
      </w:r>
      <w:r>
        <w:rPr>
          <w:sz w:val="24"/>
        </w:rPr>
        <w:t>interest-bearing</w:t>
      </w:r>
      <w:r>
        <w:rPr>
          <w:spacing w:val="-11"/>
          <w:sz w:val="24"/>
        </w:rPr>
        <w:t> </w:t>
      </w:r>
      <w:r>
        <w:rPr>
          <w:sz w:val="24"/>
        </w:rPr>
        <w:t>deposit</w:t>
      </w:r>
      <w:r>
        <w:rPr>
          <w:spacing w:val="-6"/>
          <w:sz w:val="24"/>
        </w:rPr>
        <w:t> </w:t>
      </w:r>
      <w:r>
        <w:rPr>
          <w:sz w:val="24"/>
        </w:rPr>
        <w:t>accounts</w:t>
      </w:r>
      <w:r>
        <w:rPr>
          <w:spacing w:val="-11"/>
          <w:sz w:val="24"/>
        </w:rPr>
        <w:t> </w:t>
      </w:r>
      <w:r>
        <w:rPr>
          <w:sz w:val="24"/>
        </w:rPr>
        <w:t>rather</w:t>
      </w:r>
      <w:r>
        <w:rPr>
          <w:spacing w:val="-9"/>
          <w:sz w:val="24"/>
        </w:rPr>
        <w:t> </w:t>
      </w:r>
      <w:r>
        <w:rPr>
          <w:sz w:val="24"/>
        </w:rPr>
        <w:t>than</w:t>
      </w:r>
      <w:r>
        <w:rPr>
          <w:spacing w:val="-10"/>
          <w:sz w:val="24"/>
        </w:rPr>
        <w:t> </w:t>
      </w:r>
      <w:r>
        <w:rPr>
          <w:spacing w:val="3"/>
          <w:sz w:val="24"/>
        </w:rPr>
        <w:t>other</w:t>
      </w:r>
      <w:r>
        <w:rPr>
          <w:spacing w:val="-6"/>
          <w:sz w:val="24"/>
        </w:rPr>
        <w:t> </w:t>
      </w:r>
      <w:r>
        <w:rPr>
          <w:sz w:val="24"/>
        </w:rPr>
        <w:t>financial assets.</w:t>
      </w:r>
    </w:p>
    <w:p>
      <w:pPr>
        <w:pStyle w:val="BodyText"/>
        <w:spacing w:before="8"/>
        <w:rPr>
          <w:sz w:val="36"/>
        </w:rPr>
      </w:pPr>
    </w:p>
    <w:p>
      <w:pPr>
        <w:pStyle w:val="ListParagraph"/>
        <w:numPr>
          <w:ilvl w:val="0"/>
          <w:numId w:val="1"/>
        </w:numPr>
        <w:tabs>
          <w:tab w:pos="573" w:val="left" w:leader="none"/>
          <w:tab w:pos="574" w:val="left" w:leader="none"/>
        </w:tabs>
        <w:spacing w:line="372" w:lineRule="auto" w:before="0" w:after="0"/>
        <w:ind w:left="117" w:right="198" w:firstLine="0"/>
        <w:jc w:val="left"/>
        <w:rPr>
          <w:sz w:val="24"/>
        </w:rPr>
      </w:pPr>
      <w:r>
        <w:rPr>
          <w:sz w:val="24"/>
        </w:rPr>
        <w:t>However, after slowing during 1997, there had recently been little change in aggregate credit growth. Annual growth in total credit </w:t>
      </w:r>
      <w:r>
        <w:rPr>
          <w:spacing w:val="2"/>
          <w:sz w:val="24"/>
        </w:rPr>
        <w:t>to </w:t>
      </w:r>
      <w:r>
        <w:rPr>
          <w:sz w:val="24"/>
        </w:rPr>
        <w:t>households had been steady at around 7% for </w:t>
      </w:r>
      <w:r>
        <w:rPr>
          <w:spacing w:val="3"/>
          <w:sz w:val="24"/>
        </w:rPr>
        <w:t>over </w:t>
      </w:r>
      <w:r>
        <w:rPr>
          <w:sz w:val="24"/>
        </w:rPr>
        <w:t>a year. While it was possible that mortgage lending had edged down, unsecured credit had if anything accelerated in recent months. Bank and building society lending </w:t>
      </w:r>
      <w:r>
        <w:rPr>
          <w:spacing w:val="2"/>
          <w:sz w:val="24"/>
        </w:rPr>
        <w:t>to </w:t>
      </w:r>
      <w:r>
        <w:rPr>
          <w:sz w:val="24"/>
        </w:rPr>
        <w:t>industrial and commercial companies (ICCs) had risen sharply in the first quarter. Arguably this was consistent with the past pattern of ICCs increasing borrowing following a monetary tightening. It could also be consistent with businesses in externally exposed sectors of the economy needing </w:t>
      </w:r>
      <w:r>
        <w:rPr>
          <w:spacing w:val="2"/>
          <w:sz w:val="24"/>
        </w:rPr>
        <w:t>to </w:t>
      </w:r>
      <w:r>
        <w:rPr>
          <w:sz w:val="24"/>
        </w:rPr>
        <w:t>make greater use of credit lines </w:t>
      </w:r>
      <w:r>
        <w:rPr>
          <w:spacing w:val="2"/>
          <w:sz w:val="24"/>
        </w:rPr>
        <w:t>to </w:t>
      </w:r>
      <w:r>
        <w:rPr>
          <w:sz w:val="24"/>
        </w:rPr>
        <w:t>finance working capital. But it was </w:t>
      </w:r>
      <w:r>
        <w:rPr>
          <w:spacing w:val="3"/>
          <w:sz w:val="24"/>
        </w:rPr>
        <w:t>too </w:t>
      </w:r>
      <w:r>
        <w:rPr>
          <w:sz w:val="24"/>
        </w:rPr>
        <w:t>early </w:t>
      </w:r>
      <w:r>
        <w:rPr>
          <w:spacing w:val="2"/>
          <w:sz w:val="24"/>
        </w:rPr>
        <w:t>to </w:t>
      </w:r>
      <w:r>
        <w:rPr>
          <w:sz w:val="24"/>
        </w:rPr>
        <w:t>judge whether this was the explanation or whether, alternatively, steady credit growth was a sign of continuing strength in those parts of the economy</w:t>
      </w:r>
      <w:r>
        <w:rPr>
          <w:spacing w:val="-15"/>
          <w:sz w:val="24"/>
        </w:rPr>
        <w:t> </w:t>
      </w:r>
      <w:r>
        <w:rPr>
          <w:sz w:val="24"/>
        </w:rPr>
        <w:t>which</w:t>
      </w:r>
      <w:r>
        <w:rPr>
          <w:spacing w:val="-15"/>
          <w:sz w:val="24"/>
        </w:rPr>
        <w:t> </w:t>
      </w:r>
      <w:r>
        <w:rPr>
          <w:sz w:val="24"/>
        </w:rPr>
        <w:t>were</w:t>
      </w:r>
      <w:r>
        <w:rPr>
          <w:spacing w:val="-15"/>
          <w:sz w:val="24"/>
        </w:rPr>
        <w:t> </w:t>
      </w:r>
      <w:r>
        <w:rPr>
          <w:sz w:val="24"/>
        </w:rPr>
        <w:t>relatively</w:t>
      </w:r>
      <w:r>
        <w:rPr>
          <w:spacing w:val="-14"/>
          <w:sz w:val="24"/>
        </w:rPr>
        <w:t> </w:t>
      </w:r>
      <w:r>
        <w:rPr>
          <w:sz w:val="24"/>
        </w:rPr>
        <w:t>sheltered</w:t>
      </w:r>
      <w:r>
        <w:rPr>
          <w:spacing w:val="-14"/>
          <w:sz w:val="24"/>
        </w:rPr>
        <w:t> </w:t>
      </w:r>
      <w:r>
        <w:rPr>
          <w:sz w:val="24"/>
        </w:rPr>
        <w:t>from</w:t>
      </w:r>
      <w:r>
        <w:rPr>
          <w:spacing w:val="-15"/>
          <w:sz w:val="24"/>
        </w:rPr>
        <w:t> </w:t>
      </w:r>
      <w:r>
        <w:rPr>
          <w:sz w:val="24"/>
        </w:rPr>
        <w:t>the</w:t>
      </w:r>
      <w:r>
        <w:rPr>
          <w:spacing w:val="-15"/>
          <w:sz w:val="24"/>
        </w:rPr>
        <w:t> </w:t>
      </w:r>
      <w:r>
        <w:rPr>
          <w:sz w:val="24"/>
        </w:rPr>
        <w:t>effects</w:t>
      </w:r>
      <w:r>
        <w:rPr>
          <w:spacing w:val="-15"/>
          <w:sz w:val="24"/>
        </w:rPr>
        <w:t> </w:t>
      </w:r>
      <w:r>
        <w:rPr>
          <w:sz w:val="24"/>
        </w:rPr>
        <w:t>of</w:t>
      </w:r>
      <w:r>
        <w:rPr>
          <w:spacing w:val="-11"/>
          <w:sz w:val="24"/>
        </w:rPr>
        <w:t> </w:t>
      </w:r>
      <w:r>
        <w:rPr>
          <w:spacing w:val="-3"/>
          <w:sz w:val="24"/>
        </w:rPr>
        <w:t>sterling’s</w:t>
      </w:r>
      <w:r>
        <w:rPr>
          <w:spacing w:val="-15"/>
          <w:sz w:val="24"/>
        </w:rPr>
        <w:t> </w:t>
      </w:r>
      <w:r>
        <w:rPr>
          <w:sz w:val="24"/>
        </w:rPr>
        <w:t>appreciation</w:t>
      </w:r>
      <w:r>
        <w:rPr>
          <w:spacing w:val="-15"/>
          <w:sz w:val="24"/>
        </w:rPr>
        <w:t> </w:t>
      </w:r>
      <w:r>
        <w:rPr>
          <w:sz w:val="24"/>
        </w:rPr>
        <w:t>and</w:t>
      </w:r>
      <w:r>
        <w:rPr>
          <w:spacing w:val="-15"/>
          <w:sz w:val="24"/>
        </w:rPr>
        <w:t> </w:t>
      </w:r>
      <w:r>
        <w:rPr>
          <w:sz w:val="24"/>
        </w:rPr>
        <w:t>still</w:t>
      </w:r>
      <w:r>
        <w:rPr>
          <w:spacing w:val="-15"/>
          <w:sz w:val="24"/>
        </w:rPr>
        <w:t> </w:t>
      </w:r>
      <w:r>
        <w:rPr>
          <w:sz w:val="24"/>
        </w:rPr>
        <w:t>growing</w:t>
      </w:r>
      <w:r>
        <w:rPr>
          <w:spacing w:val="-15"/>
          <w:sz w:val="24"/>
        </w:rPr>
        <w:t> </w:t>
      </w:r>
      <w:r>
        <w:rPr>
          <w:sz w:val="24"/>
        </w:rPr>
        <w:t>at close </w:t>
      </w:r>
      <w:r>
        <w:rPr>
          <w:spacing w:val="2"/>
          <w:sz w:val="24"/>
        </w:rPr>
        <w:t>to </w:t>
      </w:r>
      <w:r>
        <w:rPr>
          <w:sz w:val="24"/>
        </w:rPr>
        <w:t>or above trend</w:t>
      </w:r>
      <w:r>
        <w:rPr>
          <w:spacing w:val="16"/>
          <w:sz w:val="24"/>
        </w:rPr>
        <w:t> </w:t>
      </w:r>
      <w:r>
        <w:rPr>
          <w:sz w:val="24"/>
        </w:rPr>
        <w:t>rates.</w:t>
      </w:r>
    </w:p>
    <w:p>
      <w:pPr>
        <w:pStyle w:val="BodyText"/>
        <w:spacing w:before="7"/>
        <w:rPr>
          <w:sz w:val="36"/>
        </w:rPr>
      </w:pPr>
    </w:p>
    <w:p>
      <w:pPr>
        <w:pStyle w:val="ListParagraph"/>
        <w:numPr>
          <w:ilvl w:val="0"/>
          <w:numId w:val="1"/>
        </w:numPr>
        <w:tabs>
          <w:tab w:pos="573" w:val="left" w:leader="none"/>
          <w:tab w:pos="574" w:val="left" w:leader="none"/>
        </w:tabs>
        <w:spacing w:line="372" w:lineRule="auto" w:before="0" w:after="0"/>
        <w:ind w:left="117" w:right="373" w:firstLine="0"/>
        <w:jc w:val="left"/>
        <w:rPr>
          <w:sz w:val="24"/>
        </w:rPr>
      </w:pPr>
      <w:r>
        <w:rPr>
          <w:sz w:val="24"/>
        </w:rPr>
        <w:t>Overall,</w:t>
      </w:r>
      <w:r>
        <w:rPr>
          <w:spacing w:val="-15"/>
          <w:sz w:val="24"/>
        </w:rPr>
        <w:t> </w:t>
      </w:r>
      <w:r>
        <w:rPr>
          <w:sz w:val="24"/>
        </w:rPr>
        <w:t>the</w:t>
      </w:r>
      <w:r>
        <w:rPr>
          <w:spacing w:val="-15"/>
          <w:sz w:val="24"/>
        </w:rPr>
        <w:t> </w:t>
      </w:r>
      <w:r>
        <w:rPr>
          <w:sz w:val="24"/>
        </w:rPr>
        <w:t>Committee</w:t>
      </w:r>
      <w:r>
        <w:rPr>
          <w:spacing w:val="-15"/>
          <w:sz w:val="24"/>
        </w:rPr>
        <w:t> </w:t>
      </w:r>
      <w:r>
        <w:rPr>
          <w:sz w:val="24"/>
        </w:rPr>
        <w:t>felt</w:t>
      </w:r>
      <w:r>
        <w:rPr>
          <w:spacing w:val="-11"/>
          <w:sz w:val="24"/>
        </w:rPr>
        <w:t> </w:t>
      </w:r>
      <w:r>
        <w:rPr>
          <w:sz w:val="24"/>
        </w:rPr>
        <w:t>that</w:t>
      </w:r>
      <w:r>
        <w:rPr>
          <w:spacing w:val="-11"/>
          <w:sz w:val="24"/>
        </w:rPr>
        <w:t> </w:t>
      </w:r>
      <w:r>
        <w:rPr>
          <w:sz w:val="24"/>
        </w:rPr>
        <w:t>the</w:t>
      </w:r>
      <w:r>
        <w:rPr>
          <w:spacing w:val="-15"/>
          <w:sz w:val="24"/>
        </w:rPr>
        <w:t> </w:t>
      </w:r>
      <w:r>
        <w:rPr>
          <w:sz w:val="24"/>
        </w:rPr>
        <w:t>money</w:t>
      </w:r>
      <w:r>
        <w:rPr>
          <w:spacing w:val="-15"/>
          <w:sz w:val="24"/>
        </w:rPr>
        <w:t> </w:t>
      </w:r>
      <w:r>
        <w:rPr>
          <w:sz w:val="24"/>
        </w:rPr>
        <w:t>numbers</w:t>
      </w:r>
      <w:r>
        <w:rPr>
          <w:spacing w:val="-15"/>
          <w:sz w:val="24"/>
        </w:rPr>
        <w:t> </w:t>
      </w:r>
      <w:r>
        <w:rPr>
          <w:sz w:val="24"/>
        </w:rPr>
        <w:t>were</w:t>
      </w:r>
      <w:r>
        <w:rPr>
          <w:spacing w:val="-15"/>
          <w:sz w:val="24"/>
        </w:rPr>
        <w:t> </w:t>
      </w:r>
      <w:r>
        <w:rPr>
          <w:sz w:val="24"/>
        </w:rPr>
        <w:t>broadly</w:t>
      </w:r>
      <w:r>
        <w:rPr>
          <w:spacing w:val="-15"/>
          <w:sz w:val="24"/>
        </w:rPr>
        <w:t> </w:t>
      </w:r>
      <w:r>
        <w:rPr>
          <w:sz w:val="24"/>
        </w:rPr>
        <w:t>consistent</w:t>
      </w:r>
      <w:r>
        <w:rPr>
          <w:spacing w:val="-11"/>
          <w:sz w:val="24"/>
        </w:rPr>
        <w:t> </w:t>
      </w:r>
      <w:r>
        <w:rPr>
          <w:sz w:val="24"/>
        </w:rPr>
        <w:t>with</w:t>
      </w:r>
      <w:r>
        <w:rPr>
          <w:spacing w:val="-15"/>
          <w:sz w:val="24"/>
        </w:rPr>
        <w:t> </w:t>
      </w:r>
      <w:r>
        <w:rPr>
          <w:sz w:val="24"/>
        </w:rPr>
        <w:t>some</w:t>
      </w:r>
      <w:r>
        <w:rPr>
          <w:spacing w:val="-15"/>
          <w:sz w:val="24"/>
        </w:rPr>
        <w:t> </w:t>
      </w:r>
      <w:r>
        <w:rPr>
          <w:sz w:val="24"/>
        </w:rPr>
        <w:t>slowing of demand and activity but that this was less evident in the recent credit</w:t>
      </w:r>
      <w:r>
        <w:rPr>
          <w:spacing w:val="12"/>
          <w:sz w:val="24"/>
        </w:rPr>
        <w:t> </w:t>
      </w:r>
      <w:r>
        <w:rPr>
          <w:sz w:val="24"/>
        </w:rPr>
        <w:t>data.</w:t>
      </w:r>
    </w:p>
    <w:p>
      <w:pPr>
        <w:spacing w:after="0" w:line="372" w:lineRule="auto"/>
        <w:jc w:val="left"/>
        <w:rPr>
          <w:sz w:val="24"/>
        </w:rPr>
        <w:sectPr>
          <w:pgSz w:w="11900" w:h="16840"/>
          <w:pgMar w:top="1600" w:bottom="280" w:left="1020" w:right="880"/>
        </w:sectPr>
      </w:pPr>
    </w:p>
    <w:p>
      <w:pPr>
        <w:pStyle w:val="BodyText"/>
        <w:rPr>
          <w:sz w:val="20"/>
        </w:rPr>
      </w:pPr>
    </w:p>
    <w:p>
      <w:pPr>
        <w:pStyle w:val="BodyText"/>
        <w:spacing w:before="8"/>
        <w:rPr>
          <w:sz w:val="16"/>
        </w:rPr>
      </w:pPr>
    </w:p>
    <w:p>
      <w:pPr>
        <w:pStyle w:val="Heading1"/>
        <w:spacing w:before="90"/>
      </w:pPr>
      <w:r>
        <w:rPr/>
        <w:t>GDP growth</w:t>
      </w:r>
    </w:p>
    <w:p>
      <w:pPr>
        <w:pStyle w:val="BodyText"/>
        <w:rPr>
          <w:b/>
          <w:sz w:val="26"/>
        </w:rPr>
      </w:pPr>
    </w:p>
    <w:p>
      <w:pPr>
        <w:pStyle w:val="BodyText"/>
        <w:spacing w:before="10"/>
        <w:rPr>
          <w:b/>
          <w:sz w:val="23"/>
        </w:rPr>
      </w:pPr>
    </w:p>
    <w:p>
      <w:pPr>
        <w:pStyle w:val="ListParagraph"/>
        <w:numPr>
          <w:ilvl w:val="0"/>
          <w:numId w:val="1"/>
        </w:numPr>
        <w:tabs>
          <w:tab w:pos="573" w:val="left" w:leader="none"/>
          <w:tab w:pos="574" w:val="left" w:leader="none"/>
        </w:tabs>
        <w:spacing w:line="372" w:lineRule="auto" w:before="0" w:after="0"/>
        <w:ind w:left="117" w:right="298" w:firstLine="0"/>
        <w:jc w:val="left"/>
        <w:rPr>
          <w:sz w:val="24"/>
        </w:rPr>
      </w:pPr>
      <w:r>
        <w:rPr>
          <w:sz w:val="24"/>
        </w:rPr>
        <w:t>The Committee noted that the Office of National Statistics’ </w:t>
      </w:r>
      <w:r>
        <w:rPr>
          <w:spacing w:val="-5"/>
          <w:sz w:val="24"/>
        </w:rPr>
        <w:t>(ONS’s) </w:t>
      </w:r>
      <w:r>
        <w:rPr>
          <w:sz w:val="24"/>
        </w:rPr>
        <w:t>first estimate of GDP growth in Q1 - 0.4%, 0.5% excluding </w:t>
      </w:r>
      <w:r>
        <w:rPr>
          <w:spacing w:val="2"/>
          <w:sz w:val="24"/>
        </w:rPr>
        <w:t>oil </w:t>
      </w:r>
      <w:r>
        <w:rPr>
          <w:sz w:val="24"/>
        </w:rPr>
        <w:t>and gas - was lower than expected. The level of GDP</w:t>
      </w:r>
      <w:r>
        <w:rPr>
          <w:spacing w:val="-21"/>
          <w:sz w:val="24"/>
        </w:rPr>
        <w:t> </w:t>
      </w:r>
      <w:r>
        <w:rPr>
          <w:sz w:val="24"/>
        </w:rPr>
        <w:t>was, on these estimates, about ½% below the central projection in the February Inflation</w:t>
      </w:r>
      <w:r>
        <w:rPr>
          <w:spacing w:val="-32"/>
          <w:sz w:val="24"/>
        </w:rPr>
        <w:t> </w:t>
      </w:r>
      <w:r>
        <w:rPr>
          <w:sz w:val="24"/>
        </w:rPr>
        <w:t>Report.</w:t>
      </w:r>
    </w:p>
    <w:p>
      <w:pPr>
        <w:pStyle w:val="BodyText"/>
        <w:rPr>
          <w:sz w:val="37"/>
        </w:rPr>
      </w:pPr>
    </w:p>
    <w:p>
      <w:pPr>
        <w:pStyle w:val="ListParagraph"/>
        <w:numPr>
          <w:ilvl w:val="0"/>
          <w:numId w:val="1"/>
        </w:numPr>
        <w:tabs>
          <w:tab w:pos="573" w:val="left" w:leader="none"/>
          <w:tab w:pos="574" w:val="left" w:leader="none"/>
        </w:tabs>
        <w:spacing w:line="372" w:lineRule="auto" w:before="0" w:after="0"/>
        <w:ind w:left="117" w:right="129" w:firstLine="0"/>
        <w:jc w:val="left"/>
        <w:rPr>
          <w:sz w:val="24"/>
        </w:rPr>
      </w:pPr>
      <w:r>
        <w:rPr>
          <w:sz w:val="24"/>
        </w:rPr>
        <w:t>Annual growth of total GDP had peaked in Q3 1997 at 3.4%, with a fall since then </w:t>
      </w:r>
      <w:r>
        <w:rPr>
          <w:spacing w:val="2"/>
          <w:sz w:val="24"/>
        </w:rPr>
        <w:t>to </w:t>
      </w:r>
      <w:r>
        <w:rPr>
          <w:sz w:val="24"/>
        </w:rPr>
        <w:t>2.8% by Q1 1998; quarterly growth rates had peaked in Q2 1997. Backward-looking survey data were, however, stronger than the ONS figures. When surveys had been stronger than </w:t>
      </w:r>
      <w:r>
        <w:rPr>
          <w:spacing w:val="3"/>
          <w:sz w:val="24"/>
        </w:rPr>
        <w:t>official </w:t>
      </w:r>
      <w:r>
        <w:rPr>
          <w:sz w:val="24"/>
        </w:rPr>
        <w:t>estimates in the past, the tendency had been for the </w:t>
      </w:r>
      <w:r>
        <w:rPr>
          <w:spacing w:val="3"/>
          <w:sz w:val="24"/>
        </w:rPr>
        <w:t>official </w:t>
      </w:r>
      <w:r>
        <w:rPr>
          <w:sz w:val="24"/>
        </w:rPr>
        <w:t>data </w:t>
      </w:r>
      <w:r>
        <w:rPr>
          <w:spacing w:val="2"/>
          <w:sz w:val="24"/>
        </w:rPr>
        <w:t>to </w:t>
      </w:r>
      <w:r>
        <w:rPr>
          <w:sz w:val="24"/>
        </w:rPr>
        <w:t>be revised up </w:t>
      </w:r>
      <w:r>
        <w:rPr>
          <w:spacing w:val="2"/>
          <w:sz w:val="24"/>
        </w:rPr>
        <w:t>to </w:t>
      </w:r>
      <w:r>
        <w:rPr>
          <w:sz w:val="24"/>
        </w:rPr>
        <w:t>close part of the gap. If this pattern</w:t>
      </w:r>
      <w:r>
        <w:rPr>
          <w:spacing w:val="-6"/>
          <w:sz w:val="24"/>
        </w:rPr>
        <w:t> </w:t>
      </w:r>
      <w:r>
        <w:rPr>
          <w:sz w:val="24"/>
        </w:rPr>
        <w:t>were</w:t>
      </w:r>
      <w:r>
        <w:rPr>
          <w:spacing w:val="-6"/>
          <w:sz w:val="24"/>
        </w:rPr>
        <w:t> </w:t>
      </w:r>
      <w:r>
        <w:rPr>
          <w:sz w:val="24"/>
        </w:rPr>
        <w:t>repeated,</w:t>
      </w:r>
      <w:r>
        <w:rPr>
          <w:spacing w:val="-4"/>
          <w:sz w:val="24"/>
        </w:rPr>
        <w:t> </w:t>
      </w:r>
      <w:r>
        <w:rPr>
          <w:sz w:val="24"/>
        </w:rPr>
        <w:t>the</w:t>
      </w:r>
      <w:r>
        <w:rPr>
          <w:spacing w:val="-5"/>
          <w:sz w:val="24"/>
        </w:rPr>
        <w:t> </w:t>
      </w:r>
      <w:r>
        <w:rPr>
          <w:spacing w:val="3"/>
          <w:sz w:val="24"/>
        </w:rPr>
        <w:t>official</w:t>
      </w:r>
      <w:r>
        <w:rPr>
          <w:spacing w:val="-2"/>
          <w:sz w:val="24"/>
        </w:rPr>
        <w:t> </w:t>
      </w:r>
      <w:r>
        <w:rPr>
          <w:sz w:val="24"/>
        </w:rPr>
        <w:t>activity</w:t>
      </w:r>
      <w:r>
        <w:rPr>
          <w:spacing w:val="-5"/>
          <w:sz w:val="24"/>
        </w:rPr>
        <w:t> </w:t>
      </w:r>
      <w:r>
        <w:rPr>
          <w:sz w:val="24"/>
        </w:rPr>
        <w:t>data</w:t>
      </w:r>
      <w:r>
        <w:rPr>
          <w:spacing w:val="-6"/>
          <w:sz w:val="24"/>
        </w:rPr>
        <w:t> </w:t>
      </w:r>
      <w:r>
        <w:rPr>
          <w:sz w:val="24"/>
        </w:rPr>
        <w:t>for</w:t>
      </w:r>
      <w:r>
        <w:rPr>
          <w:spacing w:val="-6"/>
          <w:sz w:val="24"/>
        </w:rPr>
        <w:t> </w:t>
      </w:r>
      <w:r>
        <w:rPr>
          <w:sz w:val="24"/>
        </w:rPr>
        <w:t>1997</w:t>
      </w:r>
      <w:r>
        <w:rPr>
          <w:spacing w:val="-5"/>
          <w:sz w:val="24"/>
        </w:rPr>
        <w:t> </w:t>
      </w:r>
      <w:r>
        <w:rPr>
          <w:sz w:val="24"/>
        </w:rPr>
        <w:t>and</w:t>
      </w:r>
      <w:r>
        <w:rPr>
          <w:spacing w:val="-6"/>
          <w:sz w:val="24"/>
        </w:rPr>
        <w:t> </w:t>
      </w:r>
      <w:r>
        <w:rPr>
          <w:sz w:val="24"/>
        </w:rPr>
        <w:t>the</w:t>
      </w:r>
      <w:r>
        <w:rPr>
          <w:spacing w:val="-6"/>
          <w:sz w:val="24"/>
        </w:rPr>
        <w:t> </w:t>
      </w:r>
      <w:r>
        <w:rPr>
          <w:sz w:val="24"/>
        </w:rPr>
        <w:t>first</w:t>
      </w:r>
      <w:r>
        <w:rPr>
          <w:spacing w:val="-1"/>
          <w:sz w:val="24"/>
        </w:rPr>
        <w:t> </w:t>
      </w:r>
      <w:r>
        <w:rPr>
          <w:sz w:val="24"/>
        </w:rPr>
        <w:t>part</w:t>
      </w:r>
      <w:r>
        <w:rPr>
          <w:spacing w:val="-1"/>
          <w:sz w:val="24"/>
        </w:rPr>
        <w:t> </w:t>
      </w:r>
      <w:r>
        <w:rPr>
          <w:sz w:val="24"/>
        </w:rPr>
        <w:t>of</w:t>
      </w:r>
      <w:r>
        <w:rPr>
          <w:spacing w:val="-1"/>
          <w:sz w:val="24"/>
        </w:rPr>
        <w:t> </w:t>
      </w:r>
      <w:r>
        <w:rPr>
          <w:sz w:val="24"/>
        </w:rPr>
        <w:t>1998</w:t>
      </w:r>
      <w:r>
        <w:rPr>
          <w:spacing w:val="-6"/>
          <w:sz w:val="24"/>
        </w:rPr>
        <w:t> </w:t>
      </w:r>
      <w:r>
        <w:rPr>
          <w:sz w:val="24"/>
        </w:rPr>
        <w:t>could</w:t>
      </w:r>
      <w:r>
        <w:rPr>
          <w:spacing w:val="-6"/>
          <w:sz w:val="24"/>
        </w:rPr>
        <w:t> </w:t>
      </w:r>
      <w:r>
        <w:rPr>
          <w:sz w:val="24"/>
        </w:rPr>
        <w:t>be</w:t>
      </w:r>
      <w:r>
        <w:rPr>
          <w:spacing w:val="-5"/>
          <w:sz w:val="24"/>
        </w:rPr>
        <w:t> </w:t>
      </w:r>
      <w:r>
        <w:rPr>
          <w:sz w:val="24"/>
        </w:rPr>
        <w:t>revised</w:t>
      </w:r>
      <w:r>
        <w:rPr>
          <w:spacing w:val="-4"/>
          <w:sz w:val="24"/>
        </w:rPr>
        <w:t> </w:t>
      </w:r>
      <w:r>
        <w:rPr>
          <w:sz w:val="24"/>
        </w:rPr>
        <w:t>up. It seemed likely, however, that any such revisions would leave intact the growth profile, with the turning point in</w:t>
      </w:r>
      <w:r>
        <w:rPr>
          <w:spacing w:val="9"/>
          <w:sz w:val="24"/>
        </w:rPr>
        <w:t> </w:t>
      </w:r>
      <w:r>
        <w:rPr>
          <w:sz w:val="24"/>
        </w:rPr>
        <w:t>mid-1997.</w:t>
      </w:r>
    </w:p>
    <w:p>
      <w:pPr>
        <w:pStyle w:val="BodyText"/>
        <w:spacing w:before="9"/>
        <w:rPr>
          <w:sz w:val="36"/>
        </w:rPr>
      </w:pPr>
    </w:p>
    <w:p>
      <w:pPr>
        <w:pStyle w:val="ListParagraph"/>
        <w:numPr>
          <w:ilvl w:val="0"/>
          <w:numId w:val="1"/>
        </w:numPr>
        <w:tabs>
          <w:tab w:pos="573" w:val="left" w:leader="none"/>
          <w:tab w:pos="574" w:val="left" w:leader="none"/>
        </w:tabs>
        <w:spacing w:line="372" w:lineRule="auto" w:before="0" w:after="0"/>
        <w:ind w:left="117" w:right="474" w:firstLine="0"/>
        <w:jc w:val="left"/>
        <w:rPr>
          <w:sz w:val="24"/>
        </w:rPr>
      </w:pPr>
      <w:r>
        <w:rPr>
          <w:sz w:val="24"/>
        </w:rPr>
        <w:t>The</w:t>
      </w:r>
      <w:r>
        <w:rPr>
          <w:spacing w:val="-7"/>
          <w:sz w:val="24"/>
        </w:rPr>
        <w:t> </w:t>
      </w:r>
      <w:r>
        <w:rPr>
          <w:sz w:val="24"/>
        </w:rPr>
        <w:t>sectoral</w:t>
      </w:r>
      <w:r>
        <w:rPr>
          <w:spacing w:val="-9"/>
          <w:sz w:val="24"/>
        </w:rPr>
        <w:t> </w:t>
      </w:r>
      <w:r>
        <w:rPr>
          <w:sz w:val="24"/>
        </w:rPr>
        <w:t>picture</w:t>
      </w:r>
      <w:r>
        <w:rPr>
          <w:spacing w:val="-8"/>
          <w:sz w:val="24"/>
        </w:rPr>
        <w:t> </w:t>
      </w:r>
      <w:r>
        <w:rPr>
          <w:sz w:val="24"/>
        </w:rPr>
        <w:t>varied.</w:t>
      </w:r>
      <w:r>
        <w:rPr>
          <w:spacing w:val="43"/>
          <w:sz w:val="24"/>
        </w:rPr>
        <w:t> </w:t>
      </w:r>
      <w:r>
        <w:rPr>
          <w:sz w:val="24"/>
        </w:rPr>
        <w:t>Growth</w:t>
      </w:r>
      <w:r>
        <w:rPr>
          <w:spacing w:val="-8"/>
          <w:sz w:val="24"/>
        </w:rPr>
        <w:t> </w:t>
      </w:r>
      <w:r>
        <w:rPr>
          <w:sz w:val="24"/>
        </w:rPr>
        <w:t>in</w:t>
      </w:r>
      <w:r>
        <w:rPr>
          <w:spacing w:val="-9"/>
          <w:sz w:val="24"/>
        </w:rPr>
        <w:t> </w:t>
      </w:r>
      <w:r>
        <w:rPr>
          <w:sz w:val="24"/>
        </w:rPr>
        <w:t>the</w:t>
      </w:r>
      <w:r>
        <w:rPr>
          <w:spacing w:val="-8"/>
          <w:sz w:val="24"/>
        </w:rPr>
        <w:t> </w:t>
      </w:r>
      <w:r>
        <w:rPr>
          <w:sz w:val="24"/>
        </w:rPr>
        <w:t>energy</w:t>
      </w:r>
      <w:r>
        <w:rPr>
          <w:spacing w:val="-9"/>
          <w:sz w:val="24"/>
        </w:rPr>
        <w:t> </w:t>
      </w:r>
      <w:r>
        <w:rPr>
          <w:sz w:val="24"/>
        </w:rPr>
        <w:t>supply</w:t>
      </w:r>
      <w:r>
        <w:rPr>
          <w:spacing w:val="-8"/>
          <w:sz w:val="24"/>
        </w:rPr>
        <w:t> </w:t>
      </w:r>
      <w:r>
        <w:rPr>
          <w:sz w:val="24"/>
        </w:rPr>
        <w:t>industries</w:t>
      </w:r>
      <w:r>
        <w:rPr>
          <w:spacing w:val="-9"/>
          <w:sz w:val="24"/>
        </w:rPr>
        <w:t> </w:t>
      </w:r>
      <w:r>
        <w:rPr>
          <w:sz w:val="24"/>
        </w:rPr>
        <w:t>had</w:t>
      </w:r>
      <w:r>
        <w:rPr>
          <w:spacing w:val="-8"/>
          <w:sz w:val="24"/>
        </w:rPr>
        <w:t> </w:t>
      </w:r>
      <w:r>
        <w:rPr>
          <w:sz w:val="24"/>
        </w:rPr>
        <w:t>been</w:t>
      </w:r>
      <w:r>
        <w:rPr>
          <w:spacing w:val="-9"/>
          <w:sz w:val="24"/>
        </w:rPr>
        <w:t> </w:t>
      </w:r>
      <w:r>
        <w:rPr>
          <w:sz w:val="24"/>
        </w:rPr>
        <w:t>depressed</w:t>
      </w:r>
      <w:r>
        <w:rPr>
          <w:spacing w:val="-8"/>
          <w:sz w:val="24"/>
        </w:rPr>
        <w:t> </w:t>
      </w:r>
      <w:r>
        <w:rPr>
          <w:sz w:val="24"/>
        </w:rPr>
        <w:t>by</w:t>
      </w:r>
      <w:r>
        <w:rPr>
          <w:spacing w:val="-8"/>
          <w:sz w:val="24"/>
        </w:rPr>
        <w:t> </w:t>
      </w:r>
      <w:r>
        <w:rPr>
          <w:sz w:val="24"/>
        </w:rPr>
        <w:t>the unusually mild winter, so that underlying activity growth might not have weakened as much as suggested by the headline</w:t>
      </w:r>
      <w:r>
        <w:rPr>
          <w:spacing w:val="5"/>
          <w:sz w:val="24"/>
        </w:rPr>
        <w:t> </w:t>
      </w:r>
      <w:r>
        <w:rPr>
          <w:sz w:val="24"/>
        </w:rPr>
        <w:t>numbers.</w:t>
      </w:r>
    </w:p>
    <w:p>
      <w:pPr>
        <w:pStyle w:val="BodyText"/>
        <w:rPr>
          <w:sz w:val="37"/>
        </w:rPr>
      </w:pPr>
    </w:p>
    <w:p>
      <w:pPr>
        <w:pStyle w:val="ListParagraph"/>
        <w:numPr>
          <w:ilvl w:val="0"/>
          <w:numId w:val="1"/>
        </w:numPr>
        <w:tabs>
          <w:tab w:pos="573" w:val="left" w:leader="none"/>
          <w:tab w:pos="574" w:val="left" w:leader="none"/>
        </w:tabs>
        <w:spacing w:line="372" w:lineRule="auto" w:before="0" w:after="0"/>
        <w:ind w:left="117" w:right="194" w:firstLine="0"/>
        <w:jc w:val="left"/>
        <w:rPr>
          <w:sz w:val="24"/>
        </w:rPr>
      </w:pPr>
      <w:r>
        <w:rPr>
          <w:sz w:val="24"/>
        </w:rPr>
        <w:t>Manufacturing was clearly slowing, and quite possibly facing recession, due </w:t>
      </w:r>
      <w:r>
        <w:rPr>
          <w:spacing w:val="2"/>
          <w:sz w:val="24"/>
        </w:rPr>
        <w:t>to </w:t>
      </w:r>
      <w:r>
        <w:rPr>
          <w:sz w:val="24"/>
        </w:rPr>
        <w:t>the impact of </w:t>
      </w:r>
      <w:r>
        <w:rPr>
          <w:spacing w:val="-3"/>
          <w:sz w:val="24"/>
        </w:rPr>
        <w:t>sterling’s </w:t>
      </w:r>
      <w:r>
        <w:rPr>
          <w:sz w:val="24"/>
        </w:rPr>
        <w:t>appreciation on external demand and on </w:t>
      </w:r>
      <w:r>
        <w:rPr>
          <w:spacing w:val="3"/>
          <w:sz w:val="24"/>
        </w:rPr>
        <w:t>overseas </w:t>
      </w:r>
      <w:r>
        <w:rPr>
          <w:sz w:val="24"/>
        </w:rPr>
        <w:t>competition in home markets. By contrast, construction seemed recently </w:t>
      </w:r>
      <w:r>
        <w:rPr>
          <w:spacing w:val="2"/>
          <w:sz w:val="24"/>
        </w:rPr>
        <w:t>to </w:t>
      </w:r>
      <w:r>
        <w:rPr>
          <w:sz w:val="24"/>
        </w:rPr>
        <w:t>have been buoyant, particularly on the basis of survey data and anecdotal reports from the </w:t>
      </w:r>
      <w:r>
        <w:rPr>
          <w:spacing w:val="-6"/>
          <w:sz w:val="24"/>
        </w:rPr>
        <w:t>Bank’s </w:t>
      </w:r>
      <w:r>
        <w:rPr>
          <w:sz w:val="24"/>
        </w:rPr>
        <w:t>regional Agents and </w:t>
      </w:r>
      <w:r>
        <w:rPr>
          <w:spacing w:val="3"/>
          <w:sz w:val="24"/>
        </w:rPr>
        <w:t>other </w:t>
      </w:r>
      <w:r>
        <w:rPr>
          <w:sz w:val="24"/>
        </w:rPr>
        <w:t>industry contacts. It was, moreover, widely expected </w:t>
      </w:r>
      <w:r>
        <w:rPr>
          <w:spacing w:val="2"/>
          <w:sz w:val="24"/>
        </w:rPr>
        <w:t>to </w:t>
      </w:r>
      <w:r>
        <w:rPr>
          <w:sz w:val="24"/>
        </w:rPr>
        <w:t>remain so through 1999, supported by Millennium-related</w:t>
      </w:r>
      <w:r>
        <w:rPr>
          <w:spacing w:val="-23"/>
          <w:sz w:val="24"/>
        </w:rPr>
        <w:t> </w:t>
      </w:r>
      <w:r>
        <w:rPr>
          <w:sz w:val="24"/>
        </w:rPr>
        <w:t>projects.</w:t>
      </w:r>
    </w:p>
    <w:p>
      <w:pPr>
        <w:pStyle w:val="BodyText"/>
        <w:spacing w:before="10"/>
        <w:rPr>
          <w:sz w:val="36"/>
        </w:rPr>
      </w:pPr>
    </w:p>
    <w:p>
      <w:pPr>
        <w:pStyle w:val="ListParagraph"/>
        <w:numPr>
          <w:ilvl w:val="0"/>
          <w:numId w:val="1"/>
        </w:numPr>
        <w:tabs>
          <w:tab w:pos="573" w:val="left" w:leader="none"/>
          <w:tab w:pos="574" w:val="left" w:leader="none"/>
        </w:tabs>
        <w:spacing w:line="372" w:lineRule="auto" w:before="1" w:after="0"/>
        <w:ind w:left="117" w:right="349" w:firstLine="0"/>
        <w:jc w:val="left"/>
        <w:rPr>
          <w:sz w:val="24"/>
        </w:rPr>
      </w:pPr>
      <w:r>
        <w:rPr>
          <w:sz w:val="24"/>
        </w:rPr>
        <w:t>Recent developments and prospects in the services sector were agreed </w:t>
      </w:r>
      <w:r>
        <w:rPr>
          <w:spacing w:val="2"/>
          <w:sz w:val="24"/>
        </w:rPr>
        <w:t>to </w:t>
      </w:r>
      <w:r>
        <w:rPr>
          <w:sz w:val="24"/>
        </w:rPr>
        <w:t>be less clear. On the </w:t>
      </w:r>
      <w:r>
        <w:rPr>
          <w:spacing w:val="2"/>
          <w:sz w:val="24"/>
        </w:rPr>
        <w:t>one </w:t>
      </w:r>
      <w:r>
        <w:rPr>
          <w:sz w:val="24"/>
        </w:rPr>
        <w:t>hand, the ONS first estimate of Q1 growth was 0.8%, down from 1.2% in Q4 1997; and the service</w:t>
      </w:r>
      <w:r>
        <w:rPr>
          <w:spacing w:val="-7"/>
          <w:sz w:val="24"/>
        </w:rPr>
        <w:t> </w:t>
      </w:r>
      <w:r>
        <w:rPr>
          <w:sz w:val="24"/>
        </w:rPr>
        <w:t>sector</w:t>
      </w:r>
      <w:r>
        <w:rPr>
          <w:spacing w:val="-2"/>
          <w:sz w:val="24"/>
        </w:rPr>
        <w:t> </w:t>
      </w:r>
      <w:r>
        <w:rPr>
          <w:sz w:val="24"/>
        </w:rPr>
        <w:t>trade</w:t>
      </w:r>
      <w:r>
        <w:rPr>
          <w:spacing w:val="-7"/>
          <w:sz w:val="24"/>
        </w:rPr>
        <w:t> </w:t>
      </w:r>
      <w:r>
        <w:rPr>
          <w:sz w:val="24"/>
        </w:rPr>
        <w:t>surplus</w:t>
      </w:r>
      <w:r>
        <w:rPr>
          <w:spacing w:val="-7"/>
          <w:sz w:val="24"/>
        </w:rPr>
        <w:t> </w:t>
      </w:r>
      <w:r>
        <w:rPr>
          <w:sz w:val="24"/>
        </w:rPr>
        <w:t>had</w:t>
      </w:r>
      <w:r>
        <w:rPr>
          <w:spacing w:val="-6"/>
          <w:sz w:val="24"/>
        </w:rPr>
        <w:t> </w:t>
      </w:r>
      <w:r>
        <w:rPr>
          <w:sz w:val="24"/>
        </w:rPr>
        <w:t>fallen.</w:t>
      </w:r>
      <w:r>
        <w:rPr>
          <w:spacing w:val="47"/>
          <w:sz w:val="24"/>
        </w:rPr>
        <w:t> </w:t>
      </w:r>
      <w:r>
        <w:rPr>
          <w:sz w:val="24"/>
        </w:rPr>
        <w:t>On</w:t>
      </w:r>
      <w:r>
        <w:rPr>
          <w:spacing w:val="-7"/>
          <w:sz w:val="24"/>
        </w:rPr>
        <w:t> </w:t>
      </w:r>
      <w:r>
        <w:rPr>
          <w:sz w:val="24"/>
        </w:rPr>
        <w:t>the</w:t>
      </w:r>
      <w:r>
        <w:rPr>
          <w:spacing w:val="-7"/>
          <w:sz w:val="24"/>
        </w:rPr>
        <w:t> </w:t>
      </w:r>
      <w:r>
        <w:rPr>
          <w:spacing w:val="3"/>
          <w:sz w:val="24"/>
        </w:rPr>
        <w:t>other</w:t>
      </w:r>
      <w:r>
        <w:rPr>
          <w:spacing w:val="-2"/>
          <w:sz w:val="24"/>
        </w:rPr>
        <w:t> </w:t>
      </w:r>
      <w:r>
        <w:rPr>
          <w:sz w:val="24"/>
        </w:rPr>
        <w:t>hand,</w:t>
      </w:r>
      <w:r>
        <w:rPr>
          <w:spacing w:val="-6"/>
          <w:sz w:val="24"/>
        </w:rPr>
        <w:t> </w:t>
      </w:r>
      <w:r>
        <w:rPr>
          <w:sz w:val="24"/>
        </w:rPr>
        <w:t>the</w:t>
      </w:r>
      <w:r>
        <w:rPr>
          <w:spacing w:val="-7"/>
          <w:sz w:val="24"/>
        </w:rPr>
        <w:t> </w:t>
      </w:r>
      <w:r>
        <w:rPr>
          <w:sz w:val="24"/>
        </w:rPr>
        <w:t>first</w:t>
      </w:r>
      <w:r>
        <w:rPr>
          <w:spacing w:val="-2"/>
          <w:sz w:val="24"/>
        </w:rPr>
        <w:t> </w:t>
      </w:r>
      <w:r>
        <w:rPr>
          <w:sz w:val="24"/>
        </w:rPr>
        <w:t>estimate</w:t>
      </w:r>
      <w:r>
        <w:rPr>
          <w:spacing w:val="-7"/>
          <w:sz w:val="24"/>
        </w:rPr>
        <w:t> </w:t>
      </w:r>
      <w:r>
        <w:rPr>
          <w:sz w:val="24"/>
        </w:rPr>
        <w:t>was</w:t>
      </w:r>
      <w:r>
        <w:rPr>
          <w:spacing w:val="-7"/>
          <w:sz w:val="24"/>
        </w:rPr>
        <w:t> </w:t>
      </w:r>
      <w:r>
        <w:rPr>
          <w:sz w:val="24"/>
        </w:rPr>
        <w:t>not</w:t>
      </w:r>
      <w:r>
        <w:rPr>
          <w:spacing w:val="-2"/>
          <w:sz w:val="24"/>
        </w:rPr>
        <w:t> </w:t>
      </w:r>
      <w:r>
        <w:rPr>
          <w:sz w:val="24"/>
        </w:rPr>
        <w:t>based</w:t>
      </w:r>
      <w:r>
        <w:rPr>
          <w:spacing w:val="-6"/>
          <w:sz w:val="24"/>
        </w:rPr>
        <w:t> </w:t>
      </w:r>
      <w:r>
        <w:rPr>
          <w:sz w:val="24"/>
        </w:rPr>
        <w:t>on</w:t>
      </w:r>
      <w:r>
        <w:rPr>
          <w:spacing w:val="-3"/>
          <w:sz w:val="24"/>
        </w:rPr>
        <w:t> </w:t>
      </w:r>
      <w:r>
        <w:rPr>
          <w:sz w:val="24"/>
        </w:rPr>
        <w:t>all</w:t>
      </w:r>
      <w:r>
        <w:rPr>
          <w:spacing w:val="-6"/>
          <w:sz w:val="24"/>
        </w:rPr>
        <w:t> </w:t>
      </w:r>
      <w:r>
        <w:rPr>
          <w:sz w:val="24"/>
        </w:rPr>
        <w:t>the hard data that would eventually become available; and the Chartered Institute of Purchasing</w:t>
      </w:r>
      <w:r>
        <w:rPr>
          <w:spacing w:val="-23"/>
          <w:sz w:val="24"/>
        </w:rPr>
        <w:t> </w:t>
      </w:r>
      <w:r>
        <w:rPr>
          <w:sz w:val="24"/>
        </w:rPr>
        <w:t>and</w:t>
      </w:r>
    </w:p>
    <w:p>
      <w:pPr>
        <w:pStyle w:val="BodyText"/>
        <w:rPr>
          <w:sz w:val="26"/>
        </w:rPr>
      </w:pPr>
    </w:p>
    <w:p>
      <w:pPr>
        <w:pStyle w:val="BodyText"/>
        <w:rPr>
          <w:sz w:val="26"/>
        </w:rPr>
      </w:pPr>
    </w:p>
    <w:p>
      <w:pPr>
        <w:pStyle w:val="BodyText"/>
        <w:rPr>
          <w:sz w:val="26"/>
        </w:rPr>
      </w:pPr>
    </w:p>
    <w:p>
      <w:pPr>
        <w:pStyle w:val="BodyText"/>
        <w:spacing w:before="2"/>
        <w:rPr>
          <w:sz w:val="33"/>
        </w:rPr>
      </w:pPr>
    </w:p>
    <w:p>
      <w:pPr>
        <w:pStyle w:val="BodyText"/>
        <w:ind w:left="117"/>
      </w:pPr>
      <w:r>
        <w:rPr/>
        <w:t>Supply (CIPS) services survey suggested an increase in the growth rate in Q1 compared with Q4,</w:t>
      </w:r>
    </w:p>
    <w:p>
      <w:pPr>
        <w:spacing w:after="0"/>
        <w:sectPr>
          <w:headerReference w:type="default" r:id="rId7"/>
          <w:pgSz w:w="11900" w:h="16840"/>
          <w:pgMar w:header="867" w:footer="0" w:top="1320" w:bottom="280" w:left="1020" w:right="880"/>
          <w:pgNumType w:start="2"/>
        </w:sectPr>
      </w:pPr>
    </w:p>
    <w:p>
      <w:pPr>
        <w:pStyle w:val="BodyText"/>
        <w:spacing w:line="372" w:lineRule="auto" w:before="80"/>
        <w:ind w:left="117" w:right="199"/>
      </w:pPr>
      <w:r>
        <w:rPr/>
        <w:t>although not all services were covered by CIPS. On balance it was likely that the services sector was slowing, but that its growth rate remained above trend.</w:t>
      </w:r>
    </w:p>
    <w:p>
      <w:pPr>
        <w:pStyle w:val="BodyText"/>
        <w:spacing w:before="5"/>
        <w:rPr>
          <w:sz w:val="37"/>
        </w:rPr>
      </w:pPr>
    </w:p>
    <w:p>
      <w:pPr>
        <w:pStyle w:val="Heading1"/>
      </w:pPr>
      <w:r>
        <w:rPr/>
        <w:t>Domestic demand</w:t>
      </w:r>
    </w:p>
    <w:p>
      <w:pPr>
        <w:pStyle w:val="BodyText"/>
        <w:rPr>
          <w:b/>
          <w:sz w:val="26"/>
        </w:rPr>
      </w:pPr>
    </w:p>
    <w:p>
      <w:pPr>
        <w:pStyle w:val="BodyText"/>
        <w:spacing w:before="10"/>
        <w:rPr>
          <w:b/>
          <w:sz w:val="23"/>
        </w:rPr>
      </w:pPr>
    </w:p>
    <w:p>
      <w:pPr>
        <w:pStyle w:val="ListParagraph"/>
        <w:numPr>
          <w:ilvl w:val="0"/>
          <w:numId w:val="1"/>
        </w:numPr>
        <w:tabs>
          <w:tab w:pos="573" w:val="left" w:leader="none"/>
          <w:tab w:pos="574" w:val="left" w:leader="none"/>
        </w:tabs>
        <w:spacing w:line="372" w:lineRule="auto" w:before="0" w:after="0"/>
        <w:ind w:left="117" w:right="240" w:firstLine="0"/>
        <w:jc w:val="left"/>
        <w:rPr>
          <w:sz w:val="24"/>
        </w:rPr>
      </w:pPr>
      <w:r>
        <w:rPr>
          <w:sz w:val="24"/>
        </w:rPr>
        <w:t>Domestic demand had grown in a 3 ½-4% range for most of last year and the available data on net trade and GDP implied little if any slowdown in Q1. Domestic demand was likely </w:t>
      </w:r>
      <w:r>
        <w:rPr>
          <w:spacing w:val="2"/>
          <w:sz w:val="24"/>
        </w:rPr>
        <w:t>to </w:t>
      </w:r>
      <w:r>
        <w:rPr>
          <w:sz w:val="24"/>
        </w:rPr>
        <w:t>have been driven</w:t>
      </w:r>
      <w:r>
        <w:rPr>
          <w:spacing w:val="-12"/>
          <w:sz w:val="24"/>
        </w:rPr>
        <w:t> </w:t>
      </w:r>
      <w:r>
        <w:rPr>
          <w:sz w:val="24"/>
        </w:rPr>
        <w:t>by</w:t>
      </w:r>
      <w:r>
        <w:rPr>
          <w:spacing w:val="-12"/>
          <w:sz w:val="24"/>
        </w:rPr>
        <w:t> </w:t>
      </w:r>
      <w:r>
        <w:rPr>
          <w:sz w:val="24"/>
        </w:rPr>
        <w:t>consumption,</w:t>
      </w:r>
      <w:r>
        <w:rPr>
          <w:spacing w:val="-12"/>
          <w:sz w:val="24"/>
        </w:rPr>
        <w:t> </w:t>
      </w:r>
      <w:r>
        <w:rPr>
          <w:sz w:val="24"/>
        </w:rPr>
        <w:t>consistent</w:t>
      </w:r>
      <w:r>
        <w:rPr>
          <w:spacing w:val="-8"/>
          <w:sz w:val="24"/>
        </w:rPr>
        <w:t> </w:t>
      </w:r>
      <w:r>
        <w:rPr>
          <w:sz w:val="24"/>
        </w:rPr>
        <w:t>with</w:t>
      </w:r>
      <w:r>
        <w:rPr>
          <w:spacing w:val="-12"/>
          <w:sz w:val="24"/>
        </w:rPr>
        <w:t> </w:t>
      </w:r>
      <w:r>
        <w:rPr>
          <w:sz w:val="24"/>
        </w:rPr>
        <w:t>Q1</w:t>
      </w:r>
      <w:r>
        <w:rPr>
          <w:spacing w:val="-12"/>
          <w:sz w:val="24"/>
        </w:rPr>
        <w:t> </w:t>
      </w:r>
      <w:r>
        <w:rPr>
          <w:sz w:val="24"/>
        </w:rPr>
        <w:t>growth</w:t>
      </w:r>
      <w:r>
        <w:rPr>
          <w:spacing w:val="-12"/>
          <w:sz w:val="24"/>
        </w:rPr>
        <w:t> </w:t>
      </w:r>
      <w:r>
        <w:rPr>
          <w:sz w:val="24"/>
        </w:rPr>
        <w:t>of</w:t>
      </w:r>
      <w:r>
        <w:rPr>
          <w:spacing w:val="-8"/>
          <w:sz w:val="24"/>
        </w:rPr>
        <w:t> </w:t>
      </w:r>
      <w:r>
        <w:rPr>
          <w:sz w:val="24"/>
        </w:rPr>
        <w:t>0.9%</w:t>
      </w:r>
      <w:r>
        <w:rPr>
          <w:spacing w:val="-12"/>
          <w:sz w:val="24"/>
        </w:rPr>
        <w:t> </w:t>
      </w:r>
      <w:r>
        <w:rPr>
          <w:sz w:val="24"/>
        </w:rPr>
        <w:t>in</w:t>
      </w:r>
      <w:r>
        <w:rPr>
          <w:spacing w:val="-12"/>
          <w:sz w:val="24"/>
        </w:rPr>
        <w:t> </w:t>
      </w:r>
      <w:r>
        <w:rPr>
          <w:sz w:val="24"/>
        </w:rPr>
        <w:t>retail</w:t>
      </w:r>
      <w:r>
        <w:rPr>
          <w:spacing w:val="-10"/>
          <w:sz w:val="24"/>
        </w:rPr>
        <w:t> </w:t>
      </w:r>
      <w:r>
        <w:rPr>
          <w:sz w:val="24"/>
        </w:rPr>
        <w:t>sales,</w:t>
      </w:r>
      <w:r>
        <w:rPr>
          <w:spacing w:val="-12"/>
          <w:sz w:val="24"/>
        </w:rPr>
        <w:t> </w:t>
      </w:r>
      <w:r>
        <w:rPr>
          <w:sz w:val="24"/>
        </w:rPr>
        <w:t>which</w:t>
      </w:r>
      <w:r>
        <w:rPr>
          <w:spacing w:val="-12"/>
          <w:sz w:val="24"/>
        </w:rPr>
        <w:t> </w:t>
      </w:r>
      <w:r>
        <w:rPr>
          <w:sz w:val="24"/>
        </w:rPr>
        <w:t>was</w:t>
      </w:r>
      <w:r>
        <w:rPr>
          <w:spacing w:val="-12"/>
          <w:sz w:val="24"/>
        </w:rPr>
        <w:t> </w:t>
      </w:r>
      <w:r>
        <w:rPr>
          <w:sz w:val="24"/>
        </w:rPr>
        <w:t>modestly</w:t>
      </w:r>
      <w:r>
        <w:rPr>
          <w:spacing w:val="-12"/>
          <w:sz w:val="24"/>
        </w:rPr>
        <w:t> </w:t>
      </w:r>
      <w:r>
        <w:rPr>
          <w:sz w:val="24"/>
        </w:rPr>
        <w:t>slower than through 1997 but nevertheless left the annual rate at 5%. The </w:t>
      </w:r>
      <w:r>
        <w:rPr>
          <w:spacing w:val="-6"/>
          <w:sz w:val="24"/>
        </w:rPr>
        <w:t>Bank’s </w:t>
      </w:r>
      <w:r>
        <w:rPr>
          <w:sz w:val="24"/>
        </w:rPr>
        <w:t>February forecast had not, however, expected a material slowdown in consumption growth during</w:t>
      </w:r>
      <w:r>
        <w:rPr>
          <w:spacing w:val="-5"/>
          <w:sz w:val="24"/>
        </w:rPr>
        <w:t> </w:t>
      </w:r>
      <w:r>
        <w:rPr>
          <w:sz w:val="24"/>
        </w:rPr>
        <w:t>Q1.</w:t>
      </w:r>
    </w:p>
    <w:p>
      <w:pPr>
        <w:pStyle w:val="BodyText"/>
        <w:spacing w:before="10"/>
        <w:rPr>
          <w:sz w:val="36"/>
        </w:rPr>
      </w:pPr>
    </w:p>
    <w:p>
      <w:pPr>
        <w:pStyle w:val="ListParagraph"/>
        <w:numPr>
          <w:ilvl w:val="0"/>
          <w:numId w:val="1"/>
        </w:numPr>
        <w:tabs>
          <w:tab w:pos="573" w:val="left" w:leader="none"/>
          <w:tab w:pos="574" w:val="left" w:leader="none"/>
        </w:tabs>
        <w:spacing w:line="372" w:lineRule="auto" w:before="1" w:after="0"/>
        <w:ind w:left="117" w:right="237" w:firstLine="0"/>
        <w:jc w:val="left"/>
        <w:rPr>
          <w:sz w:val="24"/>
        </w:rPr>
      </w:pPr>
      <w:r>
        <w:rPr>
          <w:sz w:val="24"/>
        </w:rPr>
        <w:t>Looking ahead, there were </w:t>
      </w:r>
      <w:r>
        <w:rPr>
          <w:spacing w:val="3"/>
          <w:sz w:val="24"/>
        </w:rPr>
        <w:t>opposing </w:t>
      </w:r>
      <w:r>
        <w:rPr>
          <w:sz w:val="24"/>
        </w:rPr>
        <w:t>forces. While house price inflation was relatively modest compared with past cyclical upturns, the cumulative rise in equity prices had taken the ratio of financial wealth-to-income </w:t>
      </w:r>
      <w:r>
        <w:rPr>
          <w:spacing w:val="2"/>
          <w:sz w:val="24"/>
        </w:rPr>
        <w:t>to </w:t>
      </w:r>
      <w:r>
        <w:rPr>
          <w:sz w:val="24"/>
        </w:rPr>
        <w:t>its highest ever level. This was likely </w:t>
      </w:r>
      <w:r>
        <w:rPr>
          <w:spacing w:val="2"/>
          <w:sz w:val="24"/>
        </w:rPr>
        <w:t>to </w:t>
      </w:r>
      <w:r>
        <w:rPr>
          <w:sz w:val="24"/>
        </w:rPr>
        <w:t>support continuing robust consumption</w:t>
      </w:r>
      <w:r>
        <w:rPr>
          <w:spacing w:val="-13"/>
          <w:sz w:val="24"/>
        </w:rPr>
        <w:t> </w:t>
      </w:r>
      <w:r>
        <w:rPr>
          <w:sz w:val="24"/>
        </w:rPr>
        <w:t>growth.</w:t>
      </w:r>
      <w:r>
        <w:rPr>
          <w:spacing w:val="36"/>
          <w:sz w:val="24"/>
        </w:rPr>
        <w:t> </w:t>
      </w:r>
      <w:r>
        <w:rPr>
          <w:sz w:val="24"/>
        </w:rPr>
        <w:t>But</w:t>
      </w:r>
      <w:r>
        <w:rPr>
          <w:spacing w:val="-8"/>
          <w:sz w:val="24"/>
        </w:rPr>
        <w:t> </w:t>
      </w:r>
      <w:r>
        <w:rPr>
          <w:sz w:val="24"/>
        </w:rPr>
        <w:t>consumption</w:t>
      </w:r>
      <w:r>
        <w:rPr>
          <w:spacing w:val="-13"/>
          <w:sz w:val="24"/>
        </w:rPr>
        <w:t> </w:t>
      </w:r>
      <w:r>
        <w:rPr>
          <w:sz w:val="24"/>
        </w:rPr>
        <w:t>demand</w:t>
      </w:r>
      <w:r>
        <w:rPr>
          <w:spacing w:val="-12"/>
          <w:sz w:val="24"/>
        </w:rPr>
        <w:t> </w:t>
      </w:r>
      <w:r>
        <w:rPr>
          <w:sz w:val="24"/>
        </w:rPr>
        <w:t>should</w:t>
      </w:r>
      <w:r>
        <w:rPr>
          <w:spacing w:val="-12"/>
          <w:sz w:val="24"/>
        </w:rPr>
        <w:t> </w:t>
      </w:r>
      <w:r>
        <w:rPr>
          <w:sz w:val="24"/>
        </w:rPr>
        <w:t>gradually</w:t>
      </w:r>
      <w:r>
        <w:rPr>
          <w:spacing w:val="-12"/>
          <w:sz w:val="24"/>
        </w:rPr>
        <w:t> </w:t>
      </w:r>
      <w:r>
        <w:rPr>
          <w:sz w:val="24"/>
        </w:rPr>
        <w:t>be</w:t>
      </w:r>
      <w:r>
        <w:rPr>
          <w:spacing w:val="-12"/>
          <w:sz w:val="24"/>
        </w:rPr>
        <w:t> </w:t>
      </w:r>
      <w:r>
        <w:rPr>
          <w:sz w:val="24"/>
        </w:rPr>
        <w:t>moderated</w:t>
      </w:r>
      <w:r>
        <w:rPr>
          <w:spacing w:val="-13"/>
          <w:sz w:val="24"/>
        </w:rPr>
        <w:t> </w:t>
      </w:r>
      <w:r>
        <w:rPr>
          <w:sz w:val="24"/>
        </w:rPr>
        <w:t>by</w:t>
      </w:r>
      <w:r>
        <w:rPr>
          <w:spacing w:val="-12"/>
          <w:sz w:val="24"/>
        </w:rPr>
        <w:t> </w:t>
      </w:r>
      <w:r>
        <w:rPr>
          <w:sz w:val="24"/>
        </w:rPr>
        <w:t>the</w:t>
      </w:r>
      <w:r>
        <w:rPr>
          <w:spacing w:val="-12"/>
          <w:sz w:val="24"/>
        </w:rPr>
        <w:t> </w:t>
      </w:r>
      <w:r>
        <w:rPr>
          <w:sz w:val="24"/>
        </w:rPr>
        <w:t>past</w:t>
      </w:r>
      <w:r>
        <w:rPr>
          <w:spacing w:val="-8"/>
          <w:sz w:val="24"/>
        </w:rPr>
        <w:t> </w:t>
      </w:r>
      <w:r>
        <w:rPr>
          <w:sz w:val="24"/>
        </w:rPr>
        <w:t>tightening of monetary and fiscal policy; and annual growth rates should fall as the effects of the initial concentration of spending </w:t>
      </w:r>
      <w:r>
        <w:rPr>
          <w:spacing w:val="2"/>
          <w:sz w:val="24"/>
        </w:rPr>
        <w:t>out </w:t>
      </w:r>
      <w:r>
        <w:rPr>
          <w:sz w:val="24"/>
        </w:rPr>
        <w:t>of building society windfalls in 1997 unwound. The CBI distributive Trades Survey already suggested slowing retail sales growth, taking account of the month-to-month fluctuations reflecting the timing of</w:t>
      </w:r>
      <w:r>
        <w:rPr>
          <w:spacing w:val="12"/>
          <w:sz w:val="24"/>
        </w:rPr>
        <w:t> </w:t>
      </w:r>
      <w:r>
        <w:rPr>
          <w:sz w:val="24"/>
        </w:rPr>
        <w:t>Easter.</w:t>
      </w:r>
    </w:p>
    <w:p>
      <w:pPr>
        <w:pStyle w:val="BodyText"/>
        <w:spacing w:before="1"/>
        <w:rPr>
          <w:sz w:val="37"/>
        </w:rPr>
      </w:pPr>
    </w:p>
    <w:p>
      <w:pPr>
        <w:pStyle w:val="Heading1"/>
        <w:spacing w:before="1"/>
      </w:pPr>
      <w:r>
        <w:rPr/>
        <w:t>Net trade</w:t>
      </w:r>
    </w:p>
    <w:p>
      <w:pPr>
        <w:pStyle w:val="BodyText"/>
        <w:rPr>
          <w:b/>
          <w:sz w:val="26"/>
        </w:rPr>
      </w:pPr>
    </w:p>
    <w:p>
      <w:pPr>
        <w:pStyle w:val="BodyText"/>
        <w:spacing w:before="10"/>
        <w:rPr>
          <w:b/>
          <w:sz w:val="23"/>
        </w:rPr>
      </w:pPr>
    </w:p>
    <w:p>
      <w:pPr>
        <w:pStyle w:val="ListParagraph"/>
        <w:numPr>
          <w:ilvl w:val="0"/>
          <w:numId w:val="1"/>
        </w:numPr>
        <w:tabs>
          <w:tab w:pos="573" w:val="left" w:leader="none"/>
          <w:tab w:pos="574" w:val="left" w:leader="none"/>
        </w:tabs>
        <w:spacing w:line="372" w:lineRule="auto" w:before="0" w:after="0"/>
        <w:ind w:left="117" w:right="185" w:firstLine="0"/>
        <w:jc w:val="left"/>
        <w:rPr>
          <w:sz w:val="24"/>
        </w:rPr>
      </w:pPr>
      <w:r>
        <w:rPr>
          <w:sz w:val="24"/>
        </w:rPr>
        <w:t>It was clear that net exports had been weakening quite sharply, with an estimated negative contribution </w:t>
      </w:r>
      <w:r>
        <w:rPr>
          <w:spacing w:val="2"/>
          <w:sz w:val="24"/>
        </w:rPr>
        <w:t>to </w:t>
      </w:r>
      <w:r>
        <w:rPr>
          <w:sz w:val="24"/>
        </w:rPr>
        <w:t>Q1 GDP growth of around ½%. Data for 1997 had been progressively revised, bringing</w:t>
      </w:r>
      <w:r>
        <w:rPr>
          <w:spacing w:val="-11"/>
          <w:sz w:val="24"/>
        </w:rPr>
        <w:t> </w:t>
      </w:r>
      <w:r>
        <w:rPr>
          <w:sz w:val="24"/>
        </w:rPr>
        <w:t>them</w:t>
      </w:r>
      <w:r>
        <w:rPr>
          <w:spacing w:val="-11"/>
          <w:sz w:val="24"/>
        </w:rPr>
        <w:t> </w:t>
      </w:r>
      <w:r>
        <w:rPr>
          <w:sz w:val="24"/>
        </w:rPr>
        <w:t>more</w:t>
      </w:r>
      <w:r>
        <w:rPr>
          <w:spacing w:val="-11"/>
          <w:sz w:val="24"/>
        </w:rPr>
        <w:t> </w:t>
      </w:r>
      <w:r>
        <w:rPr>
          <w:sz w:val="24"/>
        </w:rPr>
        <w:t>into</w:t>
      </w:r>
      <w:r>
        <w:rPr>
          <w:spacing w:val="-7"/>
          <w:sz w:val="24"/>
        </w:rPr>
        <w:t> </w:t>
      </w:r>
      <w:r>
        <w:rPr>
          <w:sz w:val="24"/>
        </w:rPr>
        <w:t>line</w:t>
      </w:r>
      <w:r>
        <w:rPr>
          <w:spacing w:val="-11"/>
          <w:sz w:val="24"/>
        </w:rPr>
        <w:t> </w:t>
      </w:r>
      <w:r>
        <w:rPr>
          <w:sz w:val="24"/>
        </w:rPr>
        <w:t>with</w:t>
      </w:r>
      <w:r>
        <w:rPr>
          <w:spacing w:val="-11"/>
          <w:sz w:val="24"/>
        </w:rPr>
        <w:t> </w:t>
      </w:r>
      <w:r>
        <w:rPr>
          <w:sz w:val="24"/>
        </w:rPr>
        <w:t>what</w:t>
      </w:r>
      <w:r>
        <w:rPr>
          <w:spacing w:val="-7"/>
          <w:sz w:val="24"/>
        </w:rPr>
        <w:t> </w:t>
      </w:r>
      <w:r>
        <w:rPr>
          <w:sz w:val="24"/>
        </w:rPr>
        <w:t>surveys</w:t>
      </w:r>
      <w:r>
        <w:rPr>
          <w:spacing w:val="-11"/>
          <w:sz w:val="24"/>
        </w:rPr>
        <w:t> </w:t>
      </w:r>
      <w:r>
        <w:rPr>
          <w:sz w:val="24"/>
        </w:rPr>
        <w:t>had</w:t>
      </w:r>
      <w:r>
        <w:rPr>
          <w:spacing w:val="-11"/>
          <w:sz w:val="24"/>
        </w:rPr>
        <w:t> </w:t>
      </w:r>
      <w:r>
        <w:rPr>
          <w:sz w:val="24"/>
        </w:rPr>
        <w:t>been</w:t>
      </w:r>
      <w:r>
        <w:rPr>
          <w:spacing w:val="-11"/>
          <w:sz w:val="24"/>
        </w:rPr>
        <w:t> </w:t>
      </w:r>
      <w:r>
        <w:rPr>
          <w:sz w:val="24"/>
        </w:rPr>
        <w:t>saying</w:t>
      </w:r>
      <w:r>
        <w:rPr>
          <w:spacing w:val="-11"/>
          <w:sz w:val="24"/>
        </w:rPr>
        <w:t> </w:t>
      </w:r>
      <w:r>
        <w:rPr>
          <w:sz w:val="24"/>
        </w:rPr>
        <w:t>at</w:t>
      </w:r>
      <w:r>
        <w:rPr>
          <w:spacing w:val="-7"/>
          <w:sz w:val="24"/>
        </w:rPr>
        <w:t> </w:t>
      </w:r>
      <w:r>
        <w:rPr>
          <w:sz w:val="24"/>
        </w:rPr>
        <w:t>the</w:t>
      </w:r>
      <w:r>
        <w:rPr>
          <w:spacing w:val="-11"/>
          <w:sz w:val="24"/>
        </w:rPr>
        <w:t> </w:t>
      </w:r>
      <w:r>
        <w:rPr>
          <w:sz w:val="24"/>
        </w:rPr>
        <w:t>time</w:t>
      </w:r>
      <w:r>
        <w:rPr>
          <w:spacing w:val="-10"/>
          <w:sz w:val="24"/>
        </w:rPr>
        <w:t> </w:t>
      </w:r>
      <w:r>
        <w:rPr>
          <w:sz w:val="24"/>
        </w:rPr>
        <w:t>and</w:t>
      </w:r>
      <w:r>
        <w:rPr>
          <w:spacing w:val="-11"/>
          <w:sz w:val="24"/>
        </w:rPr>
        <w:t> </w:t>
      </w:r>
      <w:r>
        <w:rPr>
          <w:sz w:val="24"/>
        </w:rPr>
        <w:t>with</w:t>
      </w:r>
      <w:r>
        <w:rPr>
          <w:spacing w:val="-11"/>
          <w:sz w:val="24"/>
        </w:rPr>
        <w:t> </w:t>
      </w:r>
      <w:r>
        <w:rPr>
          <w:sz w:val="24"/>
        </w:rPr>
        <w:t>the</w:t>
      </w:r>
      <w:r>
        <w:rPr>
          <w:spacing w:val="-11"/>
          <w:sz w:val="24"/>
        </w:rPr>
        <w:t> </w:t>
      </w:r>
      <w:r>
        <w:rPr>
          <w:spacing w:val="-6"/>
          <w:sz w:val="24"/>
        </w:rPr>
        <w:t>Bank’s</w:t>
      </w:r>
      <w:r>
        <w:rPr>
          <w:spacing w:val="-11"/>
          <w:sz w:val="24"/>
        </w:rPr>
        <w:t> </w:t>
      </w:r>
      <w:r>
        <w:rPr>
          <w:sz w:val="24"/>
        </w:rPr>
        <w:t>earlier expectations.</w:t>
      </w:r>
    </w:p>
    <w:p>
      <w:pPr>
        <w:pStyle w:val="BodyText"/>
        <w:spacing w:before="10"/>
        <w:rPr>
          <w:sz w:val="36"/>
        </w:rPr>
      </w:pPr>
    </w:p>
    <w:p>
      <w:pPr>
        <w:pStyle w:val="ListParagraph"/>
        <w:numPr>
          <w:ilvl w:val="0"/>
          <w:numId w:val="1"/>
        </w:numPr>
        <w:tabs>
          <w:tab w:pos="573" w:val="left" w:leader="none"/>
          <w:tab w:pos="574" w:val="left" w:leader="none"/>
        </w:tabs>
        <w:spacing w:line="372" w:lineRule="auto" w:before="1" w:after="0"/>
        <w:ind w:left="117" w:right="474" w:firstLine="0"/>
        <w:jc w:val="left"/>
        <w:rPr>
          <w:sz w:val="24"/>
        </w:rPr>
      </w:pPr>
      <w:r>
        <w:rPr>
          <w:sz w:val="24"/>
        </w:rPr>
        <w:t>Puzzles</w:t>
      </w:r>
      <w:r>
        <w:rPr>
          <w:spacing w:val="-9"/>
          <w:sz w:val="24"/>
        </w:rPr>
        <w:t> </w:t>
      </w:r>
      <w:r>
        <w:rPr>
          <w:sz w:val="24"/>
        </w:rPr>
        <w:t>remained,</w:t>
      </w:r>
      <w:r>
        <w:rPr>
          <w:spacing w:val="-8"/>
          <w:sz w:val="24"/>
        </w:rPr>
        <w:t> </w:t>
      </w:r>
      <w:r>
        <w:rPr>
          <w:sz w:val="24"/>
        </w:rPr>
        <w:t>however,</w:t>
      </w:r>
      <w:r>
        <w:rPr>
          <w:spacing w:val="-10"/>
          <w:sz w:val="24"/>
        </w:rPr>
        <w:t> </w:t>
      </w:r>
      <w:r>
        <w:rPr>
          <w:sz w:val="24"/>
        </w:rPr>
        <w:t>about</w:t>
      </w:r>
      <w:r>
        <w:rPr>
          <w:spacing w:val="-6"/>
          <w:sz w:val="24"/>
        </w:rPr>
        <w:t> </w:t>
      </w:r>
      <w:r>
        <w:rPr>
          <w:sz w:val="24"/>
        </w:rPr>
        <w:t>both</w:t>
      </w:r>
      <w:r>
        <w:rPr>
          <w:spacing w:val="-10"/>
          <w:sz w:val="24"/>
        </w:rPr>
        <w:t> </w:t>
      </w:r>
      <w:r>
        <w:rPr>
          <w:sz w:val="24"/>
        </w:rPr>
        <w:t>composition</w:t>
      </w:r>
      <w:r>
        <w:rPr>
          <w:spacing w:val="-9"/>
          <w:sz w:val="24"/>
        </w:rPr>
        <w:t> </w:t>
      </w:r>
      <w:r>
        <w:rPr>
          <w:sz w:val="24"/>
        </w:rPr>
        <w:t>and</w:t>
      </w:r>
      <w:r>
        <w:rPr>
          <w:spacing w:val="-10"/>
          <w:sz w:val="24"/>
        </w:rPr>
        <w:t> </w:t>
      </w:r>
      <w:r>
        <w:rPr>
          <w:sz w:val="24"/>
        </w:rPr>
        <w:t>causes.</w:t>
      </w:r>
      <w:r>
        <w:rPr>
          <w:spacing w:val="41"/>
          <w:sz w:val="24"/>
        </w:rPr>
        <w:t> </w:t>
      </w:r>
      <w:r>
        <w:rPr>
          <w:sz w:val="24"/>
        </w:rPr>
        <w:t>The</w:t>
      </w:r>
      <w:r>
        <w:rPr>
          <w:spacing w:val="-9"/>
          <w:sz w:val="24"/>
        </w:rPr>
        <w:t> </w:t>
      </w:r>
      <w:r>
        <w:rPr>
          <w:sz w:val="24"/>
        </w:rPr>
        <w:t>relative</w:t>
      </w:r>
      <w:r>
        <w:rPr>
          <w:spacing w:val="-8"/>
          <w:sz w:val="24"/>
        </w:rPr>
        <w:t> </w:t>
      </w:r>
      <w:r>
        <w:rPr>
          <w:sz w:val="24"/>
        </w:rPr>
        <w:t>resilience</w:t>
      </w:r>
      <w:r>
        <w:rPr>
          <w:spacing w:val="-8"/>
          <w:sz w:val="24"/>
        </w:rPr>
        <w:t> </w:t>
      </w:r>
      <w:r>
        <w:rPr>
          <w:sz w:val="24"/>
        </w:rPr>
        <w:t>of</w:t>
      </w:r>
      <w:r>
        <w:rPr>
          <w:spacing w:val="-5"/>
          <w:sz w:val="24"/>
        </w:rPr>
        <w:t> </w:t>
      </w:r>
      <w:r>
        <w:rPr>
          <w:sz w:val="24"/>
        </w:rPr>
        <w:t>net exports </w:t>
      </w:r>
      <w:r>
        <w:rPr>
          <w:spacing w:val="2"/>
          <w:sz w:val="24"/>
        </w:rPr>
        <w:t>to </w:t>
      </w:r>
      <w:r>
        <w:rPr>
          <w:sz w:val="24"/>
        </w:rPr>
        <w:t>EU countries was difficult </w:t>
      </w:r>
      <w:r>
        <w:rPr>
          <w:spacing w:val="2"/>
          <w:sz w:val="24"/>
        </w:rPr>
        <w:t>to </w:t>
      </w:r>
      <w:r>
        <w:rPr>
          <w:sz w:val="24"/>
        </w:rPr>
        <w:t>understand given that </w:t>
      </w:r>
      <w:r>
        <w:rPr>
          <w:spacing w:val="-3"/>
          <w:sz w:val="24"/>
        </w:rPr>
        <w:t>sterling’s </w:t>
      </w:r>
      <w:r>
        <w:rPr>
          <w:sz w:val="24"/>
        </w:rPr>
        <w:t>appreciation had been so much greater against those currencies. The </w:t>
      </w:r>
      <w:r>
        <w:rPr>
          <w:spacing w:val="-6"/>
          <w:sz w:val="24"/>
        </w:rPr>
        <w:t>Bank’s </w:t>
      </w:r>
      <w:r>
        <w:rPr>
          <w:sz w:val="24"/>
        </w:rPr>
        <w:t>Agents suggested that this might reflect</w:t>
      </w:r>
      <w:r>
        <w:rPr>
          <w:spacing w:val="12"/>
          <w:sz w:val="24"/>
        </w:rPr>
        <w:t> </w:t>
      </w:r>
      <w:r>
        <w:rPr>
          <w:sz w:val="24"/>
        </w:rPr>
        <w:t>UK</w:t>
      </w:r>
    </w:p>
    <w:p>
      <w:pPr>
        <w:pStyle w:val="BodyText"/>
        <w:rPr>
          <w:sz w:val="26"/>
        </w:rPr>
      </w:pPr>
    </w:p>
    <w:p>
      <w:pPr>
        <w:pStyle w:val="BodyText"/>
        <w:rPr>
          <w:sz w:val="26"/>
        </w:rPr>
      </w:pPr>
    </w:p>
    <w:p>
      <w:pPr>
        <w:pStyle w:val="BodyText"/>
        <w:spacing w:before="1"/>
        <w:rPr>
          <w:sz w:val="22"/>
        </w:rPr>
      </w:pPr>
    </w:p>
    <w:p>
      <w:pPr>
        <w:pStyle w:val="BodyText"/>
        <w:ind w:left="117"/>
      </w:pPr>
      <w:r>
        <w:rPr/>
        <w:t>exporters attaching strategic importance to retaining their position in European markets, even when</w:t>
      </w:r>
    </w:p>
    <w:p>
      <w:pPr>
        <w:spacing w:after="0"/>
        <w:sectPr>
          <w:pgSz w:w="11900" w:h="16840"/>
          <w:pgMar w:header="867" w:footer="0" w:top="1320" w:bottom="280" w:left="1020" w:right="880"/>
        </w:sectPr>
      </w:pPr>
    </w:p>
    <w:p>
      <w:pPr>
        <w:pStyle w:val="BodyText"/>
        <w:spacing w:line="372" w:lineRule="auto" w:before="80"/>
        <w:ind w:left="117" w:right="273" w:hanging="1"/>
      </w:pPr>
      <w:r>
        <w:rPr/>
        <w:t>profitability</w:t>
      </w:r>
      <w:r>
        <w:rPr>
          <w:spacing w:val="-14"/>
        </w:rPr>
        <w:t> </w:t>
      </w:r>
      <w:r>
        <w:rPr/>
        <w:t>was</w:t>
      </w:r>
      <w:r>
        <w:rPr>
          <w:spacing w:val="-13"/>
        </w:rPr>
        <w:t> </w:t>
      </w:r>
      <w:r>
        <w:rPr/>
        <w:t>low.</w:t>
      </w:r>
      <w:r>
        <w:rPr>
          <w:spacing w:val="34"/>
        </w:rPr>
        <w:t> </w:t>
      </w:r>
      <w:r>
        <w:rPr/>
        <w:t>There</w:t>
      </w:r>
      <w:r>
        <w:rPr>
          <w:spacing w:val="-11"/>
        </w:rPr>
        <w:t> </w:t>
      </w:r>
      <w:r>
        <w:rPr/>
        <w:t>had</w:t>
      </w:r>
      <w:r>
        <w:rPr>
          <w:spacing w:val="-13"/>
        </w:rPr>
        <w:t> </w:t>
      </w:r>
      <w:r>
        <w:rPr/>
        <w:t>been</w:t>
      </w:r>
      <w:r>
        <w:rPr>
          <w:spacing w:val="-14"/>
        </w:rPr>
        <w:t> </w:t>
      </w:r>
      <w:r>
        <w:rPr/>
        <w:t>a</w:t>
      </w:r>
      <w:r>
        <w:rPr>
          <w:spacing w:val="-13"/>
        </w:rPr>
        <w:t> </w:t>
      </w:r>
      <w:r>
        <w:rPr/>
        <w:t>striking</w:t>
      </w:r>
      <w:r>
        <w:rPr>
          <w:spacing w:val="-13"/>
        </w:rPr>
        <w:t> </w:t>
      </w:r>
      <w:r>
        <w:rPr/>
        <w:t>fall</w:t>
      </w:r>
      <w:r>
        <w:rPr>
          <w:spacing w:val="-13"/>
        </w:rPr>
        <w:t> </w:t>
      </w:r>
      <w:r>
        <w:rPr/>
        <w:t>in</w:t>
      </w:r>
      <w:r>
        <w:rPr>
          <w:spacing w:val="-13"/>
        </w:rPr>
        <w:t> </w:t>
      </w:r>
      <w:r>
        <w:rPr/>
        <w:t>exports</w:t>
      </w:r>
      <w:r>
        <w:rPr>
          <w:spacing w:val="-13"/>
        </w:rPr>
        <w:t> </w:t>
      </w:r>
      <w:r>
        <w:rPr>
          <w:spacing w:val="2"/>
        </w:rPr>
        <w:t>to</w:t>
      </w:r>
      <w:r>
        <w:rPr>
          <w:spacing w:val="-9"/>
        </w:rPr>
        <w:t> </w:t>
      </w:r>
      <w:r>
        <w:rPr/>
        <w:t>crisis-affected</w:t>
      </w:r>
      <w:r>
        <w:rPr>
          <w:spacing w:val="-13"/>
        </w:rPr>
        <w:t> </w:t>
      </w:r>
      <w:r>
        <w:rPr/>
        <w:t>Asian</w:t>
      </w:r>
      <w:r>
        <w:rPr>
          <w:spacing w:val="-13"/>
        </w:rPr>
        <w:t> </w:t>
      </w:r>
      <w:r>
        <w:rPr/>
        <w:t>countries</w:t>
      </w:r>
      <w:r>
        <w:rPr>
          <w:spacing w:val="-13"/>
        </w:rPr>
        <w:t> </w:t>
      </w:r>
      <w:r>
        <w:rPr/>
        <w:t>since the autumn, but this was </w:t>
      </w:r>
      <w:r>
        <w:rPr>
          <w:spacing w:val="3"/>
        </w:rPr>
        <w:t>only </w:t>
      </w:r>
      <w:r>
        <w:rPr/>
        <w:t>a modest part of total </w:t>
      </w:r>
      <w:r>
        <w:rPr>
          <w:spacing w:val="3"/>
        </w:rPr>
        <w:t>overseas</w:t>
      </w:r>
      <w:r>
        <w:rPr>
          <w:spacing w:val="33"/>
        </w:rPr>
        <w:t> </w:t>
      </w:r>
      <w:r>
        <w:rPr/>
        <w:t>trade.</w:t>
      </w:r>
    </w:p>
    <w:p>
      <w:pPr>
        <w:pStyle w:val="BodyText"/>
        <w:rPr>
          <w:sz w:val="37"/>
        </w:rPr>
      </w:pPr>
    </w:p>
    <w:p>
      <w:pPr>
        <w:pStyle w:val="ListParagraph"/>
        <w:numPr>
          <w:ilvl w:val="0"/>
          <w:numId w:val="1"/>
        </w:numPr>
        <w:tabs>
          <w:tab w:pos="573" w:val="left" w:leader="none"/>
          <w:tab w:pos="574" w:val="left" w:leader="none"/>
        </w:tabs>
        <w:spacing w:line="372" w:lineRule="auto" w:before="0" w:after="0"/>
        <w:ind w:left="117" w:right="253" w:firstLine="0"/>
        <w:jc w:val="left"/>
        <w:rPr>
          <w:sz w:val="24"/>
        </w:rPr>
      </w:pPr>
      <w:r>
        <w:rPr>
          <w:sz w:val="24"/>
        </w:rPr>
        <w:t>A</w:t>
      </w:r>
      <w:r>
        <w:rPr>
          <w:spacing w:val="-13"/>
          <w:sz w:val="24"/>
        </w:rPr>
        <w:t> </w:t>
      </w:r>
      <w:r>
        <w:rPr>
          <w:sz w:val="24"/>
        </w:rPr>
        <w:t>particularly</w:t>
      </w:r>
      <w:r>
        <w:rPr>
          <w:spacing w:val="-13"/>
          <w:sz w:val="24"/>
        </w:rPr>
        <w:t> </w:t>
      </w:r>
      <w:r>
        <w:rPr>
          <w:sz w:val="24"/>
        </w:rPr>
        <w:t>important</w:t>
      </w:r>
      <w:r>
        <w:rPr>
          <w:spacing w:val="-9"/>
          <w:sz w:val="24"/>
        </w:rPr>
        <w:t> </w:t>
      </w:r>
      <w:r>
        <w:rPr>
          <w:sz w:val="24"/>
        </w:rPr>
        <w:t>question,</w:t>
      </w:r>
      <w:r>
        <w:rPr>
          <w:spacing w:val="-13"/>
          <w:sz w:val="24"/>
        </w:rPr>
        <w:t> </w:t>
      </w:r>
      <w:r>
        <w:rPr>
          <w:sz w:val="24"/>
        </w:rPr>
        <w:t>which</w:t>
      </w:r>
      <w:r>
        <w:rPr>
          <w:spacing w:val="-12"/>
          <w:sz w:val="24"/>
        </w:rPr>
        <w:t> </w:t>
      </w:r>
      <w:r>
        <w:rPr>
          <w:sz w:val="24"/>
        </w:rPr>
        <w:t>the</w:t>
      </w:r>
      <w:r>
        <w:rPr>
          <w:spacing w:val="-13"/>
          <w:sz w:val="24"/>
        </w:rPr>
        <w:t> </w:t>
      </w:r>
      <w:r>
        <w:rPr>
          <w:sz w:val="24"/>
        </w:rPr>
        <w:t>Committee</w:t>
      </w:r>
      <w:r>
        <w:rPr>
          <w:spacing w:val="-13"/>
          <w:sz w:val="24"/>
        </w:rPr>
        <w:t> </w:t>
      </w:r>
      <w:r>
        <w:rPr>
          <w:sz w:val="24"/>
        </w:rPr>
        <w:t>had</w:t>
      </w:r>
      <w:r>
        <w:rPr>
          <w:spacing w:val="-12"/>
          <w:sz w:val="24"/>
        </w:rPr>
        <w:t> </w:t>
      </w:r>
      <w:r>
        <w:rPr>
          <w:sz w:val="24"/>
        </w:rPr>
        <w:t>discussed</w:t>
      </w:r>
      <w:r>
        <w:rPr>
          <w:spacing w:val="-13"/>
          <w:sz w:val="24"/>
        </w:rPr>
        <w:t> </w:t>
      </w:r>
      <w:r>
        <w:rPr>
          <w:sz w:val="24"/>
        </w:rPr>
        <w:t>an</w:t>
      </w:r>
      <w:r>
        <w:rPr>
          <w:spacing w:val="-13"/>
          <w:sz w:val="24"/>
        </w:rPr>
        <w:t> </w:t>
      </w:r>
      <w:r>
        <w:rPr>
          <w:sz w:val="24"/>
        </w:rPr>
        <w:t>earlier</w:t>
      </w:r>
      <w:r>
        <w:rPr>
          <w:spacing w:val="-12"/>
          <w:sz w:val="24"/>
        </w:rPr>
        <w:t> </w:t>
      </w:r>
      <w:r>
        <w:rPr>
          <w:spacing w:val="3"/>
          <w:sz w:val="24"/>
        </w:rPr>
        <w:t>occasions,</w:t>
      </w:r>
      <w:r>
        <w:rPr>
          <w:spacing w:val="-9"/>
          <w:sz w:val="24"/>
        </w:rPr>
        <w:t> </w:t>
      </w:r>
      <w:r>
        <w:rPr>
          <w:sz w:val="24"/>
        </w:rPr>
        <w:t>was whether net exports were being depressed by weakening external demand or by continuing strong domestic demand drawing in imports, which could be a sign of latent inflationary pressures. The latest surveys and data </w:t>
      </w:r>
      <w:r>
        <w:rPr>
          <w:spacing w:val="3"/>
          <w:sz w:val="24"/>
        </w:rPr>
        <w:t>offered </w:t>
      </w:r>
      <w:r>
        <w:rPr>
          <w:sz w:val="24"/>
        </w:rPr>
        <w:t>some comfort that it was, at least in part, the former. That suggested that</w:t>
      </w:r>
      <w:r>
        <w:rPr>
          <w:spacing w:val="-7"/>
          <w:sz w:val="24"/>
        </w:rPr>
        <w:t> </w:t>
      </w:r>
      <w:r>
        <w:rPr>
          <w:sz w:val="24"/>
        </w:rPr>
        <w:t>the</w:t>
      </w:r>
      <w:r>
        <w:rPr>
          <w:spacing w:val="-10"/>
          <w:sz w:val="24"/>
        </w:rPr>
        <w:t> </w:t>
      </w:r>
      <w:r>
        <w:rPr>
          <w:sz w:val="24"/>
        </w:rPr>
        <w:t>effects</w:t>
      </w:r>
      <w:r>
        <w:rPr>
          <w:spacing w:val="-10"/>
          <w:sz w:val="24"/>
        </w:rPr>
        <w:t> </w:t>
      </w:r>
      <w:r>
        <w:rPr>
          <w:sz w:val="24"/>
        </w:rPr>
        <w:t>of</w:t>
      </w:r>
      <w:r>
        <w:rPr>
          <w:spacing w:val="-7"/>
          <w:sz w:val="24"/>
        </w:rPr>
        <w:t> </w:t>
      </w:r>
      <w:r>
        <w:rPr>
          <w:spacing w:val="-3"/>
          <w:sz w:val="24"/>
        </w:rPr>
        <w:t>sterling’s</w:t>
      </w:r>
      <w:r>
        <w:rPr>
          <w:spacing w:val="-10"/>
          <w:sz w:val="24"/>
        </w:rPr>
        <w:t> </w:t>
      </w:r>
      <w:r>
        <w:rPr>
          <w:sz w:val="24"/>
        </w:rPr>
        <w:t>appreciation</w:t>
      </w:r>
      <w:r>
        <w:rPr>
          <w:spacing w:val="-10"/>
          <w:sz w:val="24"/>
        </w:rPr>
        <w:t> </w:t>
      </w:r>
      <w:r>
        <w:rPr>
          <w:sz w:val="24"/>
        </w:rPr>
        <w:t>were</w:t>
      </w:r>
      <w:r>
        <w:rPr>
          <w:spacing w:val="-10"/>
          <w:sz w:val="24"/>
        </w:rPr>
        <w:t> </w:t>
      </w:r>
      <w:r>
        <w:rPr>
          <w:sz w:val="24"/>
        </w:rPr>
        <w:t>slower</w:t>
      </w:r>
      <w:r>
        <w:rPr>
          <w:spacing w:val="-11"/>
          <w:sz w:val="24"/>
        </w:rPr>
        <w:t> </w:t>
      </w:r>
      <w:r>
        <w:rPr>
          <w:spacing w:val="2"/>
          <w:sz w:val="24"/>
        </w:rPr>
        <w:t>to</w:t>
      </w:r>
      <w:r>
        <w:rPr>
          <w:spacing w:val="-6"/>
          <w:sz w:val="24"/>
        </w:rPr>
        <w:t> </w:t>
      </w:r>
      <w:r>
        <w:rPr>
          <w:sz w:val="24"/>
        </w:rPr>
        <w:t>come</w:t>
      </w:r>
      <w:r>
        <w:rPr>
          <w:spacing w:val="-10"/>
          <w:sz w:val="24"/>
        </w:rPr>
        <w:t> </w:t>
      </w:r>
      <w:r>
        <w:rPr>
          <w:sz w:val="24"/>
        </w:rPr>
        <w:t>through</w:t>
      </w:r>
      <w:r>
        <w:rPr>
          <w:spacing w:val="-11"/>
          <w:sz w:val="24"/>
        </w:rPr>
        <w:t> </w:t>
      </w:r>
      <w:r>
        <w:rPr>
          <w:sz w:val="24"/>
        </w:rPr>
        <w:t>than</w:t>
      </w:r>
      <w:r>
        <w:rPr>
          <w:spacing w:val="-10"/>
          <w:sz w:val="24"/>
        </w:rPr>
        <w:t> </w:t>
      </w:r>
      <w:r>
        <w:rPr>
          <w:spacing w:val="3"/>
          <w:sz w:val="24"/>
        </w:rPr>
        <w:t>originally</w:t>
      </w:r>
      <w:r>
        <w:rPr>
          <w:spacing w:val="-6"/>
          <w:sz w:val="24"/>
        </w:rPr>
        <w:t> </w:t>
      </w:r>
      <w:r>
        <w:rPr>
          <w:sz w:val="24"/>
        </w:rPr>
        <w:t>expected</w:t>
      </w:r>
      <w:r>
        <w:rPr>
          <w:spacing w:val="-10"/>
          <w:sz w:val="24"/>
        </w:rPr>
        <w:t> </w:t>
      </w:r>
      <w:r>
        <w:rPr>
          <w:sz w:val="24"/>
        </w:rPr>
        <w:t>rather than the cumulative effect being materially smaller, although some members thought that this could still not be ruled</w:t>
      </w:r>
      <w:r>
        <w:rPr>
          <w:spacing w:val="13"/>
          <w:sz w:val="24"/>
        </w:rPr>
        <w:t> </w:t>
      </w:r>
      <w:r>
        <w:rPr>
          <w:sz w:val="24"/>
        </w:rPr>
        <w:t>out.</w:t>
      </w:r>
    </w:p>
    <w:p>
      <w:pPr>
        <w:pStyle w:val="BodyText"/>
        <w:spacing w:before="9"/>
        <w:rPr>
          <w:sz w:val="36"/>
        </w:rPr>
      </w:pPr>
    </w:p>
    <w:p>
      <w:pPr>
        <w:pStyle w:val="ListParagraph"/>
        <w:numPr>
          <w:ilvl w:val="0"/>
          <w:numId w:val="1"/>
        </w:numPr>
        <w:tabs>
          <w:tab w:pos="573" w:val="left" w:leader="none"/>
          <w:tab w:pos="574" w:val="left" w:leader="none"/>
        </w:tabs>
        <w:spacing w:line="372" w:lineRule="auto" w:before="0" w:after="0"/>
        <w:ind w:left="117" w:right="232" w:firstLine="0"/>
        <w:jc w:val="left"/>
        <w:rPr>
          <w:sz w:val="24"/>
        </w:rPr>
      </w:pPr>
      <w:r>
        <w:rPr>
          <w:sz w:val="24"/>
        </w:rPr>
        <w:t>The Committee discussed the implications of the sharp turnaround it expected in the current account, almost 3% of GDP from mid-97 </w:t>
      </w:r>
      <w:r>
        <w:rPr>
          <w:spacing w:val="2"/>
          <w:sz w:val="24"/>
        </w:rPr>
        <w:t>to </w:t>
      </w:r>
      <w:r>
        <w:rPr>
          <w:sz w:val="24"/>
        </w:rPr>
        <w:t>end-98. Given the forecast that the </w:t>
      </w:r>
      <w:r>
        <w:rPr>
          <w:spacing w:val="-3"/>
          <w:sz w:val="24"/>
        </w:rPr>
        <w:t>Government’s </w:t>
      </w:r>
      <w:r>
        <w:rPr>
          <w:sz w:val="24"/>
        </w:rPr>
        <w:t>finances</w:t>
      </w:r>
      <w:r>
        <w:rPr>
          <w:spacing w:val="-9"/>
          <w:sz w:val="24"/>
        </w:rPr>
        <w:t> </w:t>
      </w:r>
      <w:r>
        <w:rPr>
          <w:sz w:val="24"/>
        </w:rPr>
        <w:t>would</w:t>
      </w:r>
      <w:r>
        <w:rPr>
          <w:spacing w:val="-8"/>
          <w:sz w:val="24"/>
        </w:rPr>
        <w:t> </w:t>
      </w:r>
      <w:r>
        <w:rPr>
          <w:sz w:val="24"/>
        </w:rPr>
        <w:t>be</w:t>
      </w:r>
      <w:r>
        <w:rPr>
          <w:spacing w:val="-8"/>
          <w:sz w:val="24"/>
        </w:rPr>
        <w:t> </w:t>
      </w:r>
      <w:r>
        <w:rPr>
          <w:sz w:val="24"/>
        </w:rPr>
        <w:t>close</w:t>
      </w:r>
      <w:r>
        <w:rPr>
          <w:spacing w:val="-8"/>
          <w:sz w:val="24"/>
        </w:rPr>
        <w:t> </w:t>
      </w:r>
      <w:r>
        <w:rPr>
          <w:spacing w:val="2"/>
          <w:sz w:val="24"/>
        </w:rPr>
        <w:t>to</w:t>
      </w:r>
      <w:r>
        <w:rPr>
          <w:spacing w:val="-3"/>
          <w:sz w:val="24"/>
        </w:rPr>
        <w:t> </w:t>
      </w:r>
      <w:r>
        <w:rPr>
          <w:sz w:val="24"/>
        </w:rPr>
        <w:t>balance,</w:t>
      </w:r>
      <w:r>
        <w:rPr>
          <w:spacing w:val="-8"/>
          <w:sz w:val="24"/>
        </w:rPr>
        <w:t> </w:t>
      </w:r>
      <w:r>
        <w:rPr>
          <w:sz w:val="24"/>
        </w:rPr>
        <w:t>the</w:t>
      </w:r>
      <w:r>
        <w:rPr>
          <w:spacing w:val="-8"/>
          <w:sz w:val="24"/>
        </w:rPr>
        <w:t> </w:t>
      </w:r>
      <w:r>
        <w:rPr>
          <w:sz w:val="24"/>
        </w:rPr>
        <w:t>private</w:t>
      </w:r>
      <w:r>
        <w:rPr>
          <w:spacing w:val="-8"/>
          <w:sz w:val="24"/>
        </w:rPr>
        <w:t> </w:t>
      </w:r>
      <w:r>
        <w:rPr>
          <w:sz w:val="24"/>
        </w:rPr>
        <w:t>sector</w:t>
      </w:r>
      <w:r>
        <w:rPr>
          <w:spacing w:val="-4"/>
          <w:sz w:val="24"/>
        </w:rPr>
        <w:t> </w:t>
      </w:r>
      <w:r>
        <w:rPr>
          <w:sz w:val="24"/>
        </w:rPr>
        <w:t>would</w:t>
      </w:r>
      <w:r>
        <w:rPr>
          <w:spacing w:val="-8"/>
          <w:sz w:val="24"/>
        </w:rPr>
        <w:t> </w:t>
      </w:r>
      <w:r>
        <w:rPr>
          <w:sz w:val="24"/>
        </w:rPr>
        <w:t>be</w:t>
      </w:r>
      <w:r>
        <w:rPr>
          <w:spacing w:val="-8"/>
          <w:sz w:val="24"/>
        </w:rPr>
        <w:t> </w:t>
      </w:r>
      <w:r>
        <w:rPr>
          <w:sz w:val="24"/>
        </w:rPr>
        <w:t>expected</w:t>
      </w:r>
      <w:r>
        <w:rPr>
          <w:spacing w:val="-8"/>
          <w:sz w:val="24"/>
        </w:rPr>
        <w:t> </w:t>
      </w:r>
      <w:r>
        <w:rPr>
          <w:spacing w:val="2"/>
          <w:sz w:val="24"/>
        </w:rPr>
        <w:t>to</w:t>
      </w:r>
      <w:r>
        <w:rPr>
          <w:spacing w:val="-4"/>
          <w:sz w:val="24"/>
        </w:rPr>
        <w:t> </w:t>
      </w:r>
      <w:r>
        <w:rPr>
          <w:sz w:val="24"/>
        </w:rPr>
        <w:t>accumulate</w:t>
      </w:r>
      <w:r>
        <w:rPr>
          <w:spacing w:val="-8"/>
          <w:sz w:val="24"/>
        </w:rPr>
        <w:t> </w:t>
      </w:r>
      <w:r>
        <w:rPr>
          <w:sz w:val="24"/>
        </w:rPr>
        <w:t>external</w:t>
      </w:r>
      <w:r>
        <w:rPr>
          <w:spacing w:val="-8"/>
          <w:sz w:val="24"/>
        </w:rPr>
        <w:t> </w:t>
      </w:r>
      <w:r>
        <w:rPr>
          <w:sz w:val="24"/>
        </w:rPr>
        <w:t>debt. It started with a stronger balance sheet and thus was in a better position </w:t>
      </w:r>
      <w:r>
        <w:rPr>
          <w:spacing w:val="2"/>
          <w:sz w:val="24"/>
        </w:rPr>
        <w:t>to </w:t>
      </w:r>
      <w:r>
        <w:rPr>
          <w:sz w:val="24"/>
        </w:rPr>
        <w:t>do so than in some previous cycles. However there might also be a larger depreciation of sterling than in the May Inflation Report central projection, which assumed that sterling would fall gradually in line with implied</w:t>
      </w:r>
      <w:r>
        <w:rPr>
          <w:spacing w:val="-12"/>
          <w:sz w:val="24"/>
        </w:rPr>
        <w:t> </w:t>
      </w:r>
      <w:r>
        <w:rPr>
          <w:sz w:val="24"/>
        </w:rPr>
        <w:t>interest</w:t>
      </w:r>
      <w:r>
        <w:rPr>
          <w:spacing w:val="-8"/>
          <w:sz w:val="24"/>
        </w:rPr>
        <w:t> </w:t>
      </w:r>
      <w:r>
        <w:rPr>
          <w:sz w:val="24"/>
        </w:rPr>
        <w:t>rate</w:t>
      </w:r>
      <w:r>
        <w:rPr>
          <w:spacing w:val="-11"/>
          <w:sz w:val="24"/>
        </w:rPr>
        <w:t> </w:t>
      </w:r>
      <w:r>
        <w:rPr>
          <w:sz w:val="24"/>
        </w:rPr>
        <w:t>differentials.</w:t>
      </w:r>
      <w:r>
        <w:rPr>
          <w:spacing w:val="36"/>
          <w:sz w:val="24"/>
        </w:rPr>
        <w:t> </w:t>
      </w:r>
      <w:r>
        <w:rPr>
          <w:sz w:val="24"/>
        </w:rPr>
        <w:t>A</w:t>
      </w:r>
      <w:r>
        <w:rPr>
          <w:spacing w:val="-11"/>
          <w:sz w:val="24"/>
        </w:rPr>
        <w:t> </w:t>
      </w:r>
      <w:r>
        <w:rPr>
          <w:sz w:val="24"/>
        </w:rPr>
        <w:t>greater</w:t>
      </w:r>
      <w:r>
        <w:rPr>
          <w:spacing w:val="-12"/>
          <w:sz w:val="24"/>
        </w:rPr>
        <w:t> </w:t>
      </w:r>
      <w:r>
        <w:rPr>
          <w:sz w:val="24"/>
        </w:rPr>
        <w:t>depreciation</w:t>
      </w:r>
      <w:r>
        <w:rPr>
          <w:spacing w:val="-12"/>
          <w:sz w:val="24"/>
        </w:rPr>
        <w:t> </w:t>
      </w:r>
      <w:r>
        <w:rPr>
          <w:sz w:val="24"/>
        </w:rPr>
        <w:t>was,</w:t>
      </w:r>
      <w:r>
        <w:rPr>
          <w:spacing w:val="-12"/>
          <w:sz w:val="24"/>
        </w:rPr>
        <w:t> </w:t>
      </w:r>
      <w:r>
        <w:rPr>
          <w:sz w:val="24"/>
        </w:rPr>
        <w:t>as</w:t>
      </w:r>
      <w:r>
        <w:rPr>
          <w:spacing w:val="-12"/>
          <w:sz w:val="24"/>
        </w:rPr>
        <w:t> </w:t>
      </w:r>
      <w:r>
        <w:rPr>
          <w:sz w:val="24"/>
        </w:rPr>
        <w:t>in</w:t>
      </w:r>
      <w:r>
        <w:rPr>
          <w:spacing w:val="-12"/>
          <w:sz w:val="24"/>
        </w:rPr>
        <w:t> </w:t>
      </w:r>
      <w:r>
        <w:rPr>
          <w:sz w:val="24"/>
        </w:rPr>
        <w:t>February,</w:t>
      </w:r>
      <w:r>
        <w:rPr>
          <w:spacing w:val="-12"/>
          <w:sz w:val="24"/>
        </w:rPr>
        <w:t> </w:t>
      </w:r>
      <w:r>
        <w:rPr>
          <w:sz w:val="24"/>
        </w:rPr>
        <w:t>included</w:t>
      </w:r>
      <w:r>
        <w:rPr>
          <w:spacing w:val="-12"/>
          <w:sz w:val="24"/>
        </w:rPr>
        <w:t> </w:t>
      </w:r>
      <w:r>
        <w:rPr>
          <w:sz w:val="24"/>
        </w:rPr>
        <w:t>in</w:t>
      </w:r>
      <w:r>
        <w:rPr>
          <w:spacing w:val="-12"/>
          <w:sz w:val="24"/>
        </w:rPr>
        <w:t> </w:t>
      </w:r>
      <w:r>
        <w:rPr>
          <w:sz w:val="24"/>
        </w:rPr>
        <w:t>the</w:t>
      </w:r>
      <w:r>
        <w:rPr>
          <w:spacing w:val="-12"/>
          <w:sz w:val="24"/>
        </w:rPr>
        <w:t> </w:t>
      </w:r>
      <w:r>
        <w:rPr>
          <w:sz w:val="24"/>
        </w:rPr>
        <w:t>forecast as a</w:t>
      </w:r>
      <w:r>
        <w:rPr>
          <w:spacing w:val="3"/>
          <w:sz w:val="24"/>
        </w:rPr>
        <w:t> </w:t>
      </w:r>
      <w:r>
        <w:rPr>
          <w:sz w:val="24"/>
        </w:rPr>
        <w:t>risk.</w:t>
      </w:r>
    </w:p>
    <w:p>
      <w:pPr>
        <w:pStyle w:val="BodyText"/>
        <w:spacing w:before="2"/>
        <w:rPr>
          <w:sz w:val="37"/>
        </w:rPr>
      </w:pPr>
    </w:p>
    <w:p>
      <w:pPr>
        <w:pStyle w:val="Heading1"/>
      </w:pPr>
      <w:r>
        <w:rPr/>
        <w:t>The labour market</w:t>
      </w:r>
    </w:p>
    <w:p>
      <w:pPr>
        <w:pStyle w:val="BodyText"/>
        <w:rPr>
          <w:b/>
          <w:sz w:val="26"/>
        </w:rPr>
      </w:pPr>
    </w:p>
    <w:p>
      <w:pPr>
        <w:pStyle w:val="BodyText"/>
        <w:spacing w:before="10"/>
        <w:rPr>
          <w:b/>
          <w:sz w:val="23"/>
        </w:rPr>
      </w:pPr>
    </w:p>
    <w:p>
      <w:pPr>
        <w:pStyle w:val="ListParagraph"/>
        <w:numPr>
          <w:ilvl w:val="0"/>
          <w:numId w:val="1"/>
        </w:numPr>
        <w:tabs>
          <w:tab w:pos="573" w:val="left" w:leader="none"/>
          <w:tab w:pos="574" w:val="left" w:leader="none"/>
        </w:tabs>
        <w:spacing w:line="372" w:lineRule="auto" w:before="1" w:after="0"/>
        <w:ind w:left="117" w:right="250" w:firstLine="0"/>
        <w:jc w:val="left"/>
        <w:rPr>
          <w:sz w:val="24"/>
        </w:rPr>
      </w:pPr>
      <w:r>
        <w:rPr>
          <w:sz w:val="24"/>
        </w:rPr>
        <w:t>LFS unemployment had fallen </w:t>
      </w:r>
      <w:r>
        <w:rPr>
          <w:spacing w:val="2"/>
          <w:sz w:val="24"/>
        </w:rPr>
        <w:t>to </w:t>
      </w:r>
      <w:r>
        <w:rPr>
          <w:sz w:val="24"/>
        </w:rPr>
        <w:t>6.4% in February from 6.5% in January. This and most other data suggested that labour market conditions were still getting tighter. One piece of contrary evidence was a recorded fall in hours worked in December-February compared with the previous three months, but this was difficult </w:t>
      </w:r>
      <w:r>
        <w:rPr>
          <w:spacing w:val="2"/>
          <w:sz w:val="24"/>
        </w:rPr>
        <w:t>to </w:t>
      </w:r>
      <w:r>
        <w:rPr>
          <w:sz w:val="24"/>
        </w:rPr>
        <w:t>interpret because there had been a similar fall last year which had</w:t>
      </w:r>
      <w:r>
        <w:rPr>
          <w:spacing w:val="-8"/>
          <w:sz w:val="24"/>
        </w:rPr>
        <w:t> </w:t>
      </w:r>
      <w:r>
        <w:rPr>
          <w:sz w:val="24"/>
        </w:rPr>
        <w:t>been</w:t>
      </w:r>
      <w:r>
        <w:rPr>
          <w:spacing w:val="-8"/>
          <w:sz w:val="24"/>
        </w:rPr>
        <w:t> </w:t>
      </w:r>
      <w:r>
        <w:rPr>
          <w:sz w:val="24"/>
        </w:rPr>
        <w:t>followed</w:t>
      </w:r>
      <w:r>
        <w:rPr>
          <w:spacing w:val="-8"/>
          <w:sz w:val="24"/>
        </w:rPr>
        <w:t> </w:t>
      </w:r>
      <w:r>
        <w:rPr>
          <w:sz w:val="24"/>
        </w:rPr>
        <w:t>by</w:t>
      </w:r>
      <w:r>
        <w:rPr>
          <w:spacing w:val="-8"/>
          <w:sz w:val="24"/>
        </w:rPr>
        <w:t> </w:t>
      </w:r>
      <w:r>
        <w:rPr>
          <w:sz w:val="24"/>
        </w:rPr>
        <w:t>an</w:t>
      </w:r>
      <w:r>
        <w:rPr>
          <w:spacing w:val="-8"/>
          <w:sz w:val="24"/>
        </w:rPr>
        <w:t> </w:t>
      </w:r>
      <w:r>
        <w:rPr>
          <w:sz w:val="24"/>
        </w:rPr>
        <w:t>increase.</w:t>
      </w:r>
      <w:r>
        <w:rPr>
          <w:spacing w:val="45"/>
          <w:sz w:val="24"/>
        </w:rPr>
        <w:t> </w:t>
      </w:r>
      <w:r>
        <w:rPr>
          <w:sz w:val="24"/>
        </w:rPr>
        <w:t>It</w:t>
      </w:r>
      <w:r>
        <w:rPr>
          <w:spacing w:val="-6"/>
          <w:sz w:val="24"/>
        </w:rPr>
        <w:t> </w:t>
      </w:r>
      <w:r>
        <w:rPr>
          <w:sz w:val="24"/>
        </w:rPr>
        <w:t>was,</w:t>
      </w:r>
      <w:r>
        <w:rPr>
          <w:spacing w:val="-8"/>
          <w:sz w:val="24"/>
        </w:rPr>
        <w:t> </w:t>
      </w:r>
      <w:r>
        <w:rPr>
          <w:sz w:val="24"/>
        </w:rPr>
        <w:t>however,</w:t>
      </w:r>
      <w:r>
        <w:rPr>
          <w:spacing w:val="-8"/>
          <w:sz w:val="24"/>
        </w:rPr>
        <w:t> </w:t>
      </w:r>
      <w:r>
        <w:rPr>
          <w:sz w:val="24"/>
        </w:rPr>
        <w:t>clear</w:t>
      </w:r>
      <w:r>
        <w:rPr>
          <w:spacing w:val="-8"/>
          <w:sz w:val="24"/>
        </w:rPr>
        <w:t> </w:t>
      </w:r>
      <w:r>
        <w:rPr>
          <w:sz w:val="24"/>
        </w:rPr>
        <w:t>that</w:t>
      </w:r>
      <w:r>
        <w:rPr>
          <w:spacing w:val="-3"/>
          <w:sz w:val="24"/>
        </w:rPr>
        <w:t> </w:t>
      </w:r>
      <w:r>
        <w:rPr>
          <w:sz w:val="24"/>
        </w:rPr>
        <w:t>the</w:t>
      </w:r>
      <w:r>
        <w:rPr>
          <w:spacing w:val="-8"/>
          <w:sz w:val="24"/>
        </w:rPr>
        <w:t> </w:t>
      </w:r>
      <w:r>
        <w:rPr>
          <w:sz w:val="24"/>
        </w:rPr>
        <w:t>pace</w:t>
      </w:r>
      <w:r>
        <w:rPr>
          <w:spacing w:val="-8"/>
          <w:sz w:val="24"/>
        </w:rPr>
        <w:t> </w:t>
      </w:r>
      <w:r>
        <w:rPr>
          <w:sz w:val="24"/>
        </w:rPr>
        <w:t>of</w:t>
      </w:r>
      <w:r>
        <w:rPr>
          <w:spacing w:val="-4"/>
          <w:sz w:val="24"/>
        </w:rPr>
        <w:t> </w:t>
      </w:r>
      <w:r>
        <w:rPr>
          <w:sz w:val="24"/>
        </w:rPr>
        <w:t>tightening</w:t>
      </w:r>
      <w:r>
        <w:rPr>
          <w:spacing w:val="-7"/>
          <w:sz w:val="24"/>
        </w:rPr>
        <w:t> </w:t>
      </w:r>
      <w:r>
        <w:rPr>
          <w:sz w:val="24"/>
        </w:rPr>
        <w:t>had</w:t>
      </w:r>
      <w:r>
        <w:rPr>
          <w:spacing w:val="-8"/>
          <w:sz w:val="24"/>
        </w:rPr>
        <w:t> </w:t>
      </w:r>
      <w:r>
        <w:rPr>
          <w:sz w:val="24"/>
        </w:rPr>
        <w:t>slowed</w:t>
      </w:r>
      <w:r>
        <w:rPr>
          <w:spacing w:val="-8"/>
          <w:sz w:val="24"/>
        </w:rPr>
        <w:t> </w:t>
      </w:r>
      <w:r>
        <w:rPr>
          <w:sz w:val="24"/>
        </w:rPr>
        <w:t>quite markedly. Surveys suggested that skill shortages were more widespread than the long-run average, but less so than during the late 1980s’</w:t>
      </w:r>
      <w:r>
        <w:rPr>
          <w:spacing w:val="-14"/>
          <w:sz w:val="24"/>
        </w:rPr>
        <w:t> </w:t>
      </w:r>
      <w:r>
        <w:rPr>
          <w:sz w:val="24"/>
        </w:rPr>
        <w:t>upturn.</w:t>
      </w:r>
    </w:p>
    <w:p>
      <w:pPr>
        <w:pStyle w:val="BodyText"/>
        <w:spacing w:before="9"/>
        <w:rPr>
          <w:sz w:val="36"/>
        </w:rPr>
      </w:pPr>
    </w:p>
    <w:p>
      <w:pPr>
        <w:pStyle w:val="ListParagraph"/>
        <w:numPr>
          <w:ilvl w:val="0"/>
          <w:numId w:val="1"/>
        </w:numPr>
        <w:tabs>
          <w:tab w:pos="573" w:val="left" w:leader="none"/>
          <w:tab w:pos="574" w:val="left" w:leader="none"/>
        </w:tabs>
        <w:spacing w:line="372" w:lineRule="auto" w:before="0" w:after="0"/>
        <w:ind w:left="117" w:right="673" w:firstLine="0"/>
        <w:jc w:val="left"/>
        <w:rPr>
          <w:sz w:val="24"/>
        </w:rPr>
      </w:pPr>
      <w:r>
        <w:rPr>
          <w:sz w:val="24"/>
        </w:rPr>
        <w:t>The Committee discussed how best </w:t>
      </w:r>
      <w:r>
        <w:rPr>
          <w:spacing w:val="2"/>
          <w:sz w:val="24"/>
        </w:rPr>
        <w:t>to </w:t>
      </w:r>
      <w:r>
        <w:rPr>
          <w:sz w:val="24"/>
        </w:rPr>
        <w:t>interpret the fall in long-term unemployment. One possibility</w:t>
      </w:r>
      <w:r>
        <w:rPr>
          <w:spacing w:val="-15"/>
          <w:sz w:val="24"/>
        </w:rPr>
        <w:t> </w:t>
      </w:r>
      <w:r>
        <w:rPr>
          <w:sz w:val="24"/>
        </w:rPr>
        <w:t>was</w:t>
      </w:r>
      <w:r>
        <w:rPr>
          <w:spacing w:val="-15"/>
          <w:sz w:val="24"/>
        </w:rPr>
        <w:t> </w:t>
      </w:r>
      <w:r>
        <w:rPr>
          <w:sz w:val="24"/>
        </w:rPr>
        <w:t>that</w:t>
      </w:r>
      <w:r>
        <w:rPr>
          <w:spacing w:val="-12"/>
          <w:sz w:val="24"/>
        </w:rPr>
        <w:t> </w:t>
      </w:r>
      <w:r>
        <w:rPr>
          <w:sz w:val="24"/>
        </w:rPr>
        <w:t>current</w:t>
      </w:r>
      <w:r>
        <w:rPr>
          <w:spacing w:val="-11"/>
          <w:sz w:val="24"/>
        </w:rPr>
        <w:t> </w:t>
      </w:r>
      <w:r>
        <w:rPr>
          <w:sz w:val="24"/>
        </w:rPr>
        <w:t>and</w:t>
      </w:r>
      <w:r>
        <w:rPr>
          <w:spacing w:val="-15"/>
          <w:sz w:val="24"/>
        </w:rPr>
        <w:t> </w:t>
      </w:r>
      <w:r>
        <w:rPr>
          <w:sz w:val="24"/>
        </w:rPr>
        <w:t>earlier</w:t>
      </w:r>
      <w:r>
        <w:rPr>
          <w:spacing w:val="-15"/>
          <w:sz w:val="24"/>
        </w:rPr>
        <w:t> </w:t>
      </w:r>
      <w:r>
        <w:rPr>
          <w:sz w:val="24"/>
        </w:rPr>
        <w:t>structural</w:t>
      </w:r>
      <w:r>
        <w:rPr>
          <w:spacing w:val="-15"/>
          <w:sz w:val="24"/>
        </w:rPr>
        <w:t> </w:t>
      </w:r>
      <w:r>
        <w:rPr>
          <w:sz w:val="24"/>
        </w:rPr>
        <w:t>reforms</w:t>
      </w:r>
      <w:r>
        <w:rPr>
          <w:spacing w:val="-13"/>
          <w:sz w:val="24"/>
        </w:rPr>
        <w:t> </w:t>
      </w:r>
      <w:r>
        <w:rPr>
          <w:sz w:val="24"/>
        </w:rPr>
        <w:t>were</w:t>
      </w:r>
      <w:r>
        <w:rPr>
          <w:spacing w:val="-15"/>
          <w:sz w:val="24"/>
        </w:rPr>
        <w:t> </w:t>
      </w:r>
      <w:r>
        <w:rPr>
          <w:sz w:val="24"/>
        </w:rPr>
        <w:t>increasing</w:t>
      </w:r>
      <w:r>
        <w:rPr>
          <w:spacing w:val="-15"/>
          <w:sz w:val="24"/>
        </w:rPr>
        <w:t> </w:t>
      </w:r>
      <w:r>
        <w:rPr>
          <w:sz w:val="24"/>
        </w:rPr>
        <w:t>the</w:t>
      </w:r>
      <w:r>
        <w:rPr>
          <w:spacing w:val="-15"/>
          <w:sz w:val="24"/>
        </w:rPr>
        <w:t> </w:t>
      </w:r>
      <w:r>
        <w:rPr>
          <w:sz w:val="24"/>
        </w:rPr>
        <w:t>employability</w:t>
      </w:r>
      <w:r>
        <w:rPr>
          <w:spacing w:val="-15"/>
          <w:sz w:val="24"/>
        </w:rPr>
        <w:t> </w:t>
      </w:r>
      <w:r>
        <w:rPr>
          <w:sz w:val="24"/>
        </w:rPr>
        <w:t>of</w:t>
      </w:r>
      <w:r>
        <w:rPr>
          <w:spacing w:val="-12"/>
          <w:sz w:val="24"/>
        </w:rPr>
        <w:t> </w:t>
      </w:r>
      <w:r>
        <w:rPr>
          <w:sz w:val="24"/>
        </w:rPr>
        <w:t>the long-run</w:t>
      </w:r>
      <w:r>
        <w:rPr>
          <w:spacing w:val="-11"/>
          <w:sz w:val="24"/>
        </w:rPr>
        <w:t> </w:t>
      </w:r>
      <w:r>
        <w:rPr>
          <w:sz w:val="24"/>
        </w:rPr>
        <w:t>employed,</w:t>
      </w:r>
      <w:r>
        <w:rPr>
          <w:spacing w:val="-10"/>
          <w:sz w:val="24"/>
        </w:rPr>
        <w:t> </w:t>
      </w:r>
      <w:r>
        <w:rPr>
          <w:sz w:val="24"/>
        </w:rPr>
        <w:t>which</w:t>
      </w:r>
      <w:r>
        <w:rPr>
          <w:spacing w:val="-10"/>
          <w:sz w:val="24"/>
        </w:rPr>
        <w:t> </w:t>
      </w:r>
      <w:r>
        <w:rPr>
          <w:sz w:val="24"/>
        </w:rPr>
        <w:t>would</w:t>
      </w:r>
      <w:r>
        <w:rPr>
          <w:spacing w:val="-10"/>
          <w:sz w:val="24"/>
        </w:rPr>
        <w:t> </w:t>
      </w:r>
      <w:r>
        <w:rPr>
          <w:sz w:val="24"/>
        </w:rPr>
        <w:t>be</w:t>
      </w:r>
      <w:r>
        <w:rPr>
          <w:spacing w:val="-10"/>
          <w:sz w:val="24"/>
        </w:rPr>
        <w:t> </w:t>
      </w:r>
      <w:r>
        <w:rPr>
          <w:sz w:val="24"/>
        </w:rPr>
        <w:t>helping</w:t>
      </w:r>
      <w:r>
        <w:rPr>
          <w:spacing w:val="-10"/>
          <w:sz w:val="24"/>
        </w:rPr>
        <w:t> </w:t>
      </w:r>
      <w:r>
        <w:rPr>
          <w:spacing w:val="2"/>
          <w:sz w:val="24"/>
        </w:rPr>
        <w:t>to</w:t>
      </w:r>
      <w:r>
        <w:rPr>
          <w:spacing w:val="-6"/>
          <w:sz w:val="24"/>
        </w:rPr>
        <w:t> </w:t>
      </w:r>
      <w:r>
        <w:rPr>
          <w:sz w:val="24"/>
        </w:rPr>
        <w:t>relieve</w:t>
      </w:r>
      <w:r>
        <w:rPr>
          <w:spacing w:val="-8"/>
          <w:sz w:val="24"/>
        </w:rPr>
        <w:t> </w:t>
      </w:r>
      <w:r>
        <w:rPr>
          <w:sz w:val="24"/>
        </w:rPr>
        <w:t>labour</w:t>
      </w:r>
      <w:r>
        <w:rPr>
          <w:spacing w:val="-11"/>
          <w:sz w:val="24"/>
        </w:rPr>
        <w:t> </w:t>
      </w:r>
      <w:r>
        <w:rPr>
          <w:sz w:val="24"/>
        </w:rPr>
        <w:t>market</w:t>
      </w:r>
      <w:r>
        <w:rPr>
          <w:spacing w:val="-6"/>
          <w:sz w:val="24"/>
        </w:rPr>
        <w:t> </w:t>
      </w:r>
      <w:r>
        <w:rPr>
          <w:sz w:val="24"/>
        </w:rPr>
        <w:t>pressures.</w:t>
      </w:r>
      <w:r>
        <w:rPr>
          <w:spacing w:val="40"/>
          <w:sz w:val="24"/>
        </w:rPr>
        <w:t> </w:t>
      </w:r>
      <w:r>
        <w:rPr>
          <w:sz w:val="24"/>
        </w:rPr>
        <w:t>It</w:t>
      </w:r>
      <w:r>
        <w:rPr>
          <w:spacing w:val="-8"/>
          <w:sz w:val="24"/>
        </w:rPr>
        <w:t> </w:t>
      </w:r>
      <w:r>
        <w:rPr>
          <w:sz w:val="24"/>
        </w:rPr>
        <w:t>might</w:t>
      </w:r>
      <w:r>
        <w:rPr>
          <w:spacing w:val="-6"/>
          <w:sz w:val="24"/>
        </w:rPr>
        <w:t> </w:t>
      </w:r>
      <w:r>
        <w:rPr>
          <w:sz w:val="24"/>
        </w:rPr>
        <w:t>also</w:t>
      </w:r>
      <w:r>
        <w:rPr>
          <w:spacing w:val="-10"/>
          <w:sz w:val="24"/>
        </w:rPr>
        <w:t> </w:t>
      </w:r>
      <w:r>
        <w:rPr>
          <w:sz w:val="24"/>
        </w:rPr>
        <w:t>be</w:t>
      </w:r>
    </w:p>
    <w:p>
      <w:pPr>
        <w:spacing w:after="0" w:line="372" w:lineRule="auto"/>
        <w:jc w:val="left"/>
        <w:rPr>
          <w:sz w:val="24"/>
        </w:rPr>
        <w:sectPr>
          <w:pgSz w:w="11900" w:h="16840"/>
          <w:pgMar w:header="867" w:footer="0" w:top="1320" w:bottom="280" w:left="1020" w:right="880"/>
        </w:sectPr>
      </w:pPr>
    </w:p>
    <w:p>
      <w:pPr>
        <w:pStyle w:val="BodyText"/>
        <w:spacing w:line="372" w:lineRule="auto" w:before="80"/>
        <w:ind w:left="117" w:right="614"/>
      </w:pPr>
      <w:r>
        <w:rPr/>
        <w:t>signalling</w:t>
      </w:r>
      <w:r>
        <w:rPr>
          <w:spacing w:val="-15"/>
        </w:rPr>
        <w:t> </w:t>
      </w:r>
      <w:r>
        <w:rPr/>
        <w:t>a</w:t>
      </w:r>
      <w:r>
        <w:rPr>
          <w:spacing w:val="-15"/>
        </w:rPr>
        <w:t> </w:t>
      </w:r>
      <w:r>
        <w:rPr/>
        <w:t>very</w:t>
      </w:r>
      <w:r>
        <w:rPr>
          <w:spacing w:val="-15"/>
        </w:rPr>
        <w:t> </w:t>
      </w:r>
      <w:r>
        <w:rPr/>
        <w:t>tight</w:t>
      </w:r>
      <w:r>
        <w:rPr>
          <w:spacing w:val="-11"/>
        </w:rPr>
        <w:t> </w:t>
      </w:r>
      <w:r>
        <w:rPr/>
        <w:t>market,</w:t>
      </w:r>
      <w:r>
        <w:rPr>
          <w:spacing w:val="-11"/>
        </w:rPr>
        <w:t> </w:t>
      </w:r>
      <w:r>
        <w:rPr/>
        <w:t>with</w:t>
      </w:r>
      <w:r>
        <w:rPr>
          <w:spacing w:val="-15"/>
        </w:rPr>
        <w:t> </w:t>
      </w:r>
      <w:r>
        <w:rPr/>
        <w:t>short-term</w:t>
      </w:r>
      <w:r>
        <w:rPr>
          <w:spacing w:val="-15"/>
        </w:rPr>
        <w:t> </w:t>
      </w:r>
      <w:r>
        <w:rPr/>
        <w:t>employment</w:t>
      </w:r>
      <w:r>
        <w:rPr>
          <w:spacing w:val="-11"/>
        </w:rPr>
        <w:t> </w:t>
      </w:r>
      <w:r>
        <w:rPr/>
        <w:t>having</w:t>
      </w:r>
      <w:r>
        <w:rPr>
          <w:spacing w:val="-15"/>
        </w:rPr>
        <w:t> </w:t>
      </w:r>
      <w:r>
        <w:rPr/>
        <w:t>fallen</w:t>
      </w:r>
      <w:r>
        <w:rPr>
          <w:spacing w:val="-15"/>
        </w:rPr>
        <w:t> </w:t>
      </w:r>
      <w:r>
        <w:rPr/>
        <w:t>as</w:t>
      </w:r>
      <w:r>
        <w:rPr>
          <w:spacing w:val="-15"/>
        </w:rPr>
        <w:t> </w:t>
      </w:r>
      <w:r>
        <w:rPr/>
        <w:t>far</w:t>
      </w:r>
      <w:r>
        <w:rPr>
          <w:spacing w:val="-15"/>
        </w:rPr>
        <w:t> </w:t>
      </w:r>
      <w:r>
        <w:rPr/>
        <w:t>as</w:t>
      </w:r>
      <w:r>
        <w:rPr>
          <w:spacing w:val="-15"/>
        </w:rPr>
        <w:t> </w:t>
      </w:r>
      <w:r>
        <w:rPr/>
        <w:t>it</w:t>
      </w:r>
      <w:r>
        <w:rPr>
          <w:spacing w:val="-11"/>
        </w:rPr>
        <w:t> </w:t>
      </w:r>
      <w:r>
        <w:rPr/>
        <w:t>could,</w:t>
      </w:r>
      <w:r>
        <w:rPr>
          <w:spacing w:val="-15"/>
        </w:rPr>
        <w:t> </w:t>
      </w:r>
      <w:r>
        <w:rPr/>
        <w:t>forcing firms</w:t>
      </w:r>
      <w:r>
        <w:rPr>
          <w:spacing w:val="-12"/>
        </w:rPr>
        <w:t> </w:t>
      </w:r>
      <w:r>
        <w:rPr>
          <w:spacing w:val="2"/>
        </w:rPr>
        <w:t>to</w:t>
      </w:r>
      <w:r>
        <w:rPr>
          <w:spacing w:val="-7"/>
        </w:rPr>
        <w:t> </w:t>
      </w:r>
      <w:r>
        <w:rPr/>
        <w:t>recruit</w:t>
      </w:r>
      <w:r>
        <w:rPr>
          <w:spacing w:val="-10"/>
        </w:rPr>
        <w:t> </w:t>
      </w:r>
      <w:r>
        <w:rPr/>
        <w:t>from</w:t>
      </w:r>
      <w:r>
        <w:rPr>
          <w:spacing w:val="-11"/>
        </w:rPr>
        <w:t> </w:t>
      </w:r>
      <w:r>
        <w:rPr/>
        <w:t>the</w:t>
      </w:r>
      <w:r>
        <w:rPr>
          <w:spacing w:val="-11"/>
        </w:rPr>
        <w:t> </w:t>
      </w:r>
      <w:r>
        <w:rPr/>
        <w:t>long-term</w:t>
      </w:r>
      <w:r>
        <w:rPr>
          <w:spacing w:val="-11"/>
        </w:rPr>
        <w:t> </w:t>
      </w:r>
      <w:r>
        <w:rPr/>
        <w:t>unemployed.</w:t>
      </w:r>
      <w:r>
        <w:rPr>
          <w:spacing w:val="37"/>
        </w:rPr>
        <w:t> </w:t>
      </w:r>
      <w:r>
        <w:rPr/>
        <w:t>Another</w:t>
      </w:r>
      <w:r>
        <w:rPr>
          <w:spacing w:val="-11"/>
        </w:rPr>
        <w:t> </w:t>
      </w:r>
      <w:r>
        <w:rPr/>
        <w:t>possibility</w:t>
      </w:r>
      <w:r>
        <w:rPr>
          <w:spacing w:val="-11"/>
        </w:rPr>
        <w:t> </w:t>
      </w:r>
      <w:r>
        <w:rPr/>
        <w:t>was</w:t>
      </w:r>
      <w:r>
        <w:rPr>
          <w:spacing w:val="-11"/>
        </w:rPr>
        <w:t> </w:t>
      </w:r>
      <w:r>
        <w:rPr/>
        <w:t>that</w:t>
      </w:r>
      <w:r>
        <w:rPr>
          <w:spacing w:val="-8"/>
        </w:rPr>
        <w:t> </w:t>
      </w:r>
      <w:r>
        <w:rPr/>
        <w:t>a</w:t>
      </w:r>
      <w:r>
        <w:rPr>
          <w:spacing w:val="-11"/>
        </w:rPr>
        <w:t> </w:t>
      </w:r>
      <w:r>
        <w:rPr/>
        <w:t>higher</w:t>
      </w:r>
      <w:r>
        <w:rPr>
          <w:spacing w:val="-11"/>
        </w:rPr>
        <w:t> </w:t>
      </w:r>
      <w:r>
        <w:rPr/>
        <w:t>than</w:t>
      </w:r>
      <w:r>
        <w:rPr>
          <w:spacing w:val="-11"/>
        </w:rPr>
        <w:t> </w:t>
      </w:r>
      <w:r>
        <w:rPr/>
        <w:t>usual proportion of the short-run unemployed might be finding jobs in conditions of continuing strong demand</w:t>
      </w:r>
      <w:r>
        <w:rPr>
          <w:spacing w:val="-11"/>
        </w:rPr>
        <w:t> </w:t>
      </w:r>
      <w:r>
        <w:rPr/>
        <w:t>and</w:t>
      </w:r>
      <w:r>
        <w:rPr>
          <w:spacing w:val="-10"/>
        </w:rPr>
        <w:t> </w:t>
      </w:r>
      <w:r>
        <w:rPr/>
        <w:t>activity</w:t>
      </w:r>
      <w:r>
        <w:rPr>
          <w:spacing w:val="-10"/>
        </w:rPr>
        <w:t> </w:t>
      </w:r>
      <w:r>
        <w:rPr/>
        <w:t>growth,</w:t>
      </w:r>
      <w:r>
        <w:rPr>
          <w:spacing w:val="-10"/>
        </w:rPr>
        <w:t> </w:t>
      </w:r>
      <w:r>
        <w:rPr/>
        <w:t>rather</w:t>
      </w:r>
      <w:r>
        <w:rPr>
          <w:spacing w:val="-9"/>
        </w:rPr>
        <w:t> </w:t>
      </w:r>
      <w:r>
        <w:rPr/>
        <w:t>than</w:t>
      </w:r>
      <w:r>
        <w:rPr>
          <w:spacing w:val="-10"/>
        </w:rPr>
        <w:t> </w:t>
      </w:r>
      <w:r>
        <w:rPr/>
        <w:t>becoming</w:t>
      </w:r>
      <w:r>
        <w:rPr>
          <w:spacing w:val="-10"/>
        </w:rPr>
        <w:t> </w:t>
      </w:r>
      <w:r>
        <w:rPr/>
        <w:t>long-term</w:t>
      </w:r>
      <w:r>
        <w:rPr>
          <w:spacing w:val="-10"/>
        </w:rPr>
        <w:t> </w:t>
      </w:r>
      <w:r>
        <w:rPr/>
        <w:t>unemployed.</w:t>
      </w:r>
      <w:r>
        <w:rPr>
          <w:spacing w:val="39"/>
        </w:rPr>
        <w:t> </w:t>
      </w:r>
      <w:r>
        <w:rPr/>
        <w:t>It</w:t>
      </w:r>
      <w:r>
        <w:rPr>
          <w:spacing w:val="-8"/>
        </w:rPr>
        <w:t> </w:t>
      </w:r>
      <w:r>
        <w:rPr/>
        <w:t>was</w:t>
      </w:r>
      <w:r>
        <w:rPr>
          <w:spacing w:val="-10"/>
        </w:rPr>
        <w:t> </w:t>
      </w:r>
      <w:r>
        <w:rPr>
          <w:spacing w:val="3"/>
        </w:rPr>
        <w:t>too</w:t>
      </w:r>
      <w:r>
        <w:rPr>
          <w:spacing w:val="-7"/>
        </w:rPr>
        <w:t> </w:t>
      </w:r>
      <w:r>
        <w:rPr/>
        <w:t>early</w:t>
      </w:r>
      <w:r>
        <w:rPr>
          <w:spacing w:val="-10"/>
        </w:rPr>
        <w:t> </w:t>
      </w:r>
      <w:r>
        <w:rPr>
          <w:spacing w:val="2"/>
        </w:rPr>
        <w:t>to</w:t>
      </w:r>
      <w:r>
        <w:rPr>
          <w:spacing w:val="-6"/>
        </w:rPr>
        <w:t> </w:t>
      </w:r>
      <w:r>
        <w:rPr/>
        <w:t>tell which of these was the main</w:t>
      </w:r>
      <w:r>
        <w:rPr>
          <w:spacing w:val="10"/>
        </w:rPr>
        <w:t> </w:t>
      </w:r>
      <w:r>
        <w:rPr/>
        <w:t>explanation.</w:t>
      </w:r>
    </w:p>
    <w:p>
      <w:pPr>
        <w:pStyle w:val="BodyText"/>
        <w:spacing w:before="10"/>
        <w:rPr>
          <w:sz w:val="36"/>
        </w:rPr>
      </w:pPr>
    </w:p>
    <w:p>
      <w:pPr>
        <w:pStyle w:val="ListParagraph"/>
        <w:numPr>
          <w:ilvl w:val="0"/>
          <w:numId w:val="1"/>
        </w:numPr>
        <w:tabs>
          <w:tab w:pos="573" w:val="left" w:leader="none"/>
          <w:tab w:pos="574" w:val="left" w:leader="none"/>
        </w:tabs>
        <w:spacing w:line="372" w:lineRule="auto" w:before="0" w:after="0"/>
        <w:ind w:left="117" w:right="197" w:firstLine="0"/>
        <w:jc w:val="left"/>
        <w:rPr>
          <w:sz w:val="24"/>
        </w:rPr>
      </w:pPr>
      <w:r>
        <w:rPr>
          <w:sz w:val="24"/>
        </w:rPr>
        <w:t>Headline</w:t>
      </w:r>
      <w:r>
        <w:rPr>
          <w:spacing w:val="-11"/>
          <w:sz w:val="24"/>
        </w:rPr>
        <w:t> </w:t>
      </w:r>
      <w:r>
        <w:rPr>
          <w:sz w:val="24"/>
        </w:rPr>
        <w:t>average</w:t>
      </w:r>
      <w:r>
        <w:rPr>
          <w:spacing w:val="-11"/>
          <w:sz w:val="24"/>
        </w:rPr>
        <w:t> </w:t>
      </w:r>
      <w:r>
        <w:rPr>
          <w:sz w:val="24"/>
        </w:rPr>
        <w:t>earnings</w:t>
      </w:r>
      <w:r>
        <w:rPr>
          <w:spacing w:val="-11"/>
          <w:sz w:val="24"/>
        </w:rPr>
        <w:t> </w:t>
      </w:r>
      <w:r>
        <w:rPr>
          <w:sz w:val="24"/>
        </w:rPr>
        <w:t>growth</w:t>
      </w:r>
      <w:r>
        <w:rPr>
          <w:spacing w:val="-11"/>
          <w:sz w:val="24"/>
        </w:rPr>
        <w:t> </w:t>
      </w:r>
      <w:r>
        <w:rPr>
          <w:sz w:val="24"/>
        </w:rPr>
        <w:t>had</w:t>
      </w:r>
      <w:r>
        <w:rPr>
          <w:spacing w:val="-11"/>
          <w:sz w:val="24"/>
        </w:rPr>
        <w:t> </w:t>
      </w:r>
      <w:r>
        <w:rPr>
          <w:sz w:val="24"/>
        </w:rPr>
        <w:t>remained</w:t>
      </w:r>
      <w:r>
        <w:rPr>
          <w:spacing w:val="-9"/>
          <w:sz w:val="24"/>
        </w:rPr>
        <w:t> </w:t>
      </w:r>
      <w:r>
        <w:rPr>
          <w:sz w:val="24"/>
        </w:rPr>
        <w:t>at</w:t>
      </w:r>
      <w:r>
        <w:rPr>
          <w:spacing w:val="-7"/>
          <w:sz w:val="24"/>
        </w:rPr>
        <w:t> </w:t>
      </w:r>
      <w:r>
        <w:rPr>
          <w:sz w:val="24"/>
        </w:rPr>
        <w:t>4.5%</w:t>
      </w:r>
      <w:r>
        <w:rPr>
          <w:spacing w:val="-11"/>
          <w:sz w:val="24"/>
        </w:rPr>
        <w:t> </w:t>
      </w:r>
      <w:r>
        <w:rPr>
          <w:sz w:val="24"/>
        </w:rPr>
        <w:t>in</w:t>
      </w:r>
      <w:r>
        <w:rPr>
          <w:spacing w:val="-11"/>
          <w:sz w:val="24"/>
        </w:rPr>
        <w:t> </w:t>
      </w:r>
      <w:r>
        <w:rPr>
          <w:sz w:val="24"/>
        </w:rPr>
        <w:t>February.</w:t>
      </w:r>
      <w:r>
        <w:rPr>
          <w:spacing w:val="38"/>
          <w:sz w:val="24"/>
        </w:rPr>
        <w:t> </w:t>
      </w:r>
      <w:r>
        <w:rPr>
          <w:sz w:val="24"/>
        </w:rPr>
        <w:t>Settlements,</w:t>
      </w:r>
      <w:r>
        <w:rPr>
          <w:spacing w:val="-10"/>
          <w:sz w:val="24"/>
        </w:rPr>
        <w:t> </w:t>
      </w:r>
      <w:r>
        <w:rPr>
          <w:sz w:val="24"/>
        </w:rPr>
        <w:t>including</w:t>
      </w:r>
      <w:r>
        <w:rPr>
          <w:spacing w:val="-11"/>
          <w:sz w:val="24"/>
        </w:rPr>
        <w:t> </w:t>
      </w:r>
      <w:r>
        <w:rPr>
          <w:sz w:val="24"/>
        </w:rPr>
        <w:t>the latest data covering the beginning of April, did not show signs of picking up further and had been steady since the autumn. These </w:t>
      </w:r>
      <w:r>
        <w:rPr>
          <w:spacing w:val="3"/>
          <w:sz w:val="24"/>
        </w:rPr>
        <w:t>outturns </w:t>
      </w:r>
      <w:r>
        <w:rPr>
          <w:sz w:val="24"/>
        </w:rPr>
        <w:t>were better than feared by some a quarter ago and much better</w:t>
      </w:r>
      <w:r>
        <w:rPr>
          <w:spacing w:val="-13"/>
          <w:sz w:val="24"/>
        </w:rPr>
        <w:t> </w:t>
      </w:r>
      <w:r>
        <w:rPr>
          <w:sz w:val="24"/>
        </w:rPr>
        <w:t>than</w:t>
      </w:r>
      <w:r>
        <w:rPr>
          <w:spacing w:val="-13"/>
          <w:sz w:val="24"/>
        </w:rPr>
        <w:t> </w:t>
      </w:r>
      <w:r>
        <w:rPr>
          <w:sz w:val="24"/>
        </w:rPr>
        <w:t>would</w:t>
      </w:r>
      <w:r>
        <w:rPr>
          <w:spacing w:val="-13"/>
          <w:sz w:val="24"/>
        </w:rPr>
        <w:t> </w:t>
      </w:r>
      <w:r>
        <w:rPr>
          <w:sz w:val="24"/>
        </w:rPr>
        <w:t>have</w:t>
      </w:r>
      <w:r>
        <w:rPr>
          <w:spacing w:val="-12"/>
          <w:sz w:val="24"/>
        </w:rPr>
        <w:t> </w:t>
      </w:r>
      <w:r>
        <w:rPr>
          <w:sz w:val="24"/>
        </w:rPr>
        <w:t>been</w:t>
      </w:r>
      <w:r>
        <w:rPr>
          <w:spacing w:val="-13"/>
          <w:sz w:val="24"/>
        </w:rPr>
        <w:t> </w:t>
      </w:r>
      <w:r>
        <w:rPr>
          <w:sz w:val="24"/>
        </w:rPr>
        <w:t>expected</w:t>
      </w:r>
      <w:r>
        <w:rPr>
          <w:spacing w:val="-13"/>
          <w:sz w:val="24"/>
        </w:rPr>
        <w:t> </w:t>
      </w:r>
      <w:r>
        <w:rPr>
          <w:sz w:val="24"/>
        </w:rPr>
        <w:t>given</w:t>
      </w:r>
      <w:r>
        <w:rPr>
          <w:spacing w:val="-13"/>
          <w:sz w:val="24"/>
        </w:rPr>
        <w:t> </w:t>
      </w:r>
      <w:r>
        <w:rPr>
          <w:sz w:val="24"/>
        </w:rPr>
        <w:t>the</w:t>
      </w:r>
      <w:r>
        <w:rPr>
          <w:spacing w:val="-12"/>
          <w:sz w:val="24"/>
        </w:rPr>
        <w:t> </w:t>
      </w:r>
      <w:r>
        <w:rPr>
          <w:sz w:val="24"/>
        </w:rPr>
        <w:t>fall</w:t>
      </w:r>
      <w:r>
        <w:rPr>
          <w:spacing w:val="-13"/>
          <w:sz w:val="24"/>
        </w:rPr>
        <w:t> </w:t>
      </w:r>
      <w:r>
        <w:rPr>
          <w:sz w:val="24"/>
        </w:rPr>
        <w:t>in</w:t>
      </w:r>
      <w:r>
        <w:rPr>
          <w:spacing w:val="-13"/>
          <w:sz w:val="24"/>
        </w:rPr>
        <w:t> </w:t>
      </w:r>
      <w:r>
        <w:rPr>
          <w:sz w:val="24"/>
        </w:rPr>
        <w:t>unemployment</w:t>
      </w:r>
      <w:r>
        <w:rPr>
          <w:spacing w:val="-9"/>
          <w:sz w:val="24"/>
        </w:rPr>
        <w:t> </w:t>
      </w:r>
      <w:r>
        <w:rPr>
          <w:sz w:val="24"/>
        </w:rPr>
        <w:t>and</w:t>
      </w:r>
      <w:r>
        <w:rPr>
          <w:spacing w:val="-13"/>
          <w:sz w:val="24"/>
        </w:rPr>
        <w:t> </w:t>
      </w:r>
      <w:r>
        <w:rPr>
          <w:sz w:val="24"/>
        </w:rPr>
        <w:t>rise</w:t>
      </w:r>
      <w:r>
        <w:rPr>
          <w:spacing w:val="-11"/>
          <w:sz w:val="24"/>
        </w:rPr>
        <w:t> </w:t>
      </w:r>
      <w:r>
        <w:rPr>
          <w:sz w:val="24"/>
        </w:rPr>
        <w:t>in</w:t>
      </w:r>
      <w:r>
        <w:rPr>
          <w:spacing w:val="-12"/>
          <w:sz w:val="24"/>
        </w:rPr>
        <w:t> </w:t>
      </w:r>
      <w:r>
        <w:rPr>
          <w:sz w:val="24"/>
        </w:rPr>
        <w:t>employment</w:t>
      </w:r>
      <w:r>
        <w:rPr>
          <w:spacing w:val="-9"/>
          <w:sz w:val="24"/>
        </w:rPr>
        <w:t> </w:t>
      </w:r>
      <w:r>
        <w:rPr>
          <w:spacing w:val="3"/>
          <w:sz w:val="24"/>
        </w:rPr>
        <w:t>over</w:t>
      </w:r>
      <w:r>
        <w:rPr>
          <w:spacing w:val="-9"/>
          <w:sz w:val="24"/>
        </w:rPr>
        <w:t> </w:t>
      </w:r>
      <w:r>
        <w:rPr>
          <w:sz w:val="24"/>
        </w:rPr>
        <w:t>the past</w:t>
      </w:r>
      <w:r>
        <w:rPr>
          <w:spacing w:val="6"/>
          <w:sz w:val="24"/>
        </w:rPr>
        <w:t> </w:t>
      </w:r>
      <w:r>
        <w:rPr>
          <w:sz w:val="24"/>
        </w:rPr>
        <w:t>year.</w:t>
      </w:r>
    </w:p>
    <w:p>
      <w:pPr>
        <w:pStyle w:val="BodyText"/>
        <w:spacing w:before="10"/>
        <w:rPr>
          <w:sz w:val="36"/>
        </w:rPr>
      </w:pPr>
    </w:p>
    <w:p>
      <w:pPr>
        <w:pStyle w:val="ListParagraph"/>
        <w:numPr>
          <w:ilvl w:val="0"/>
          <w:numId w:val="1"/>
        </w:numPr>
        <w:tabs>
          <w:tab w:pos="573" w:val="left" w:leader="none"/>
          <w:tab w:pos="574" w:val="left" w:leader="none"/>
        </w:tabs>
        <w:spacing w:line="372" w:lineRule="auto" w:before="0" w:after="0"/>
        <w:ind w:left="117" w:right="219" w:firstLine="0"/>
        <w:jc w:val="left"/>
        <w:rPr>
          <w:sz w:val="24"/>
        </w:rPr>
      </w:pPr>
      <w:r>
        <w:rPr>
          <w:sz w:val="24"/>
        </w:rPr>
        <w:t>It was possible that this meant the trade-off between unemployment and earnings growth had improved, either via continuing labour market reforms bringing down the natural rate of unemployment, or via a fall in inflation expectations reducing nominal earnings growth, or a combination of the two. It was also possible, moreover, that the forecast slowdown in </w:t>
      </w:r>
      <w:r>
        <w:rPr>
          <w:spacing w:val="3"/>
          <w:sz w:val="24"/>
        </w:rPr>
        <w:t>output </w:t>
      </w:r>
      <w:r>
        <w:rPr>
          <w:sz w:val="24"/>
        </w:rPr>
        <w:t>and aggregate demand growth in 1998 and 1999 would moderate wage claims and earnings growth. On</w:t>
      </w:r>
      <w:r>
        <w:rPr>
          <w:spacing w:val="-38"/>
          <w:sz w:val="24"/>
        </w:rPr>
        <w:t> </w:t>
      </w:r>
      <w:r>
        <w:rPr>
          <w:sz w:val="24"/>
        </w:rPr>
        <w:t>a benign view, therefore, it was possible that the period of greatest risk had already passed without earnings growth rising above the rate consistent with the inflation target and trend productivity growth.</w:t>
      </w:r>
    </w:p>
    <w:p>
      <w:pPr>
        <w:pStyle w:val="BodyText"/>
        <w:spacing w:before="9"/>
        <w:rPr>
          <w:sz w:val="36"/>
        </w:rPr>
      </w:pPr>
    </w:p>
    <w:p>
      <w:pPr>
        <w:pStyle w:val="ListParagraph"/>
        <w:numPr>
          <w:ilvl w:val="0"/>
          <w:numId w:val="1"/>
        </w:numPr>
        <w:tabs>
          <w:tab w:pos="573" w:val="left" w:leader="none"/>
          <w:tab w:pos="574" w:val="left" w:leader="none"/>
        </w:tabs>
        <w:spacing w:line="372" w:lineRule="auto" w:before="0" w:after="0"/>
        <w:ind w:left="117" w:right="180" w:firstLine="0"/>
        <w:jc w:val="left"/>
        <w:rPr>
          <w:sz w:val="24"/>
        </w:rPr>
      </w:pPr>
      <w:r>
        <w:rPr>
          <w:sz w:val="24"/>
        </w:rPr>
        <w:t>The Committee agreed, however, that it would not be prudent </w:t>
      </w:r>
      <w:r>
        <w:rPr>
          <w:spacing w:val="2"/>
          <w:sz w:val="24"/>
        </w:rPr>
        <w:t>to </w:t>
      </w:r>
      <w:r>
        <w:rPr>
          <w:sz w:val="24"/>
        </w:rPr>
        <w:t>conclude this yet. First, there was a sharp contrast between private and public sector earnings growth. The former had risen at an annual rate of </w:t>
      </w:r>
      <w:r>
        <w:rPr>
          <w:spacing w:val="3"/>
          <w:sz w:val="24"/>
        </w:rPr>
        <w:t>over </w:t>
      </w:r>
      <w:r>
        <w:rPr>
          <w:sz w:val="24"/>
        </w:rPr>
        <w:t>5% in the latest period, whereas public sector earnings were reported as having grown at 2 ½%. There were some doubts about whether the public sector figures were accurate as it was not clear in which parts of the public sector earnings growth had been below 2 ½%. The ratio of public-to-private sector earnings had for some years been trending downwards and becoming less volatile. This might be consistent with labour market reforms, contracting </w:t>
      </w:r>
      <w:r>
        <w:rPr>
          <w:spacing w:val="2"/>
          <w:sz w:val="24"/>
        </w:rPr>
        <w:t>out </w:t>
      </w:r>
      <w:r>
        <w:rPr>
          <w:sz w:val="24"/>
        </w:rPr>
        <w:t>and retirement from the</w:t>
      </w:r>
      <w:r>
        <w:rPr>
          <w:spacing w:val="-7"/>
          <w:sz w:val="24"/>
        </w:rPr>
        <w:t> </w:t>
      </w:r>
      <w:r>
        <w:rPr>
          <w:sz w:val="24"/>
        </w:rPr>
        <w:t>public</w:t>
      </w:r>
      <w:r>
        <w:rPr>
          <w:spacing w:val="-6"/>
          <w:sz w:val="24"/>
        </w:rPr>
        <w:t> </w:t>
      </w:r>
      <w:r>
        <w:rPr>
          <w:sz w:val="24"/>
        </w:rPr>
        <w:t>sector</w:t>
      </w:r>
      <w:r>
        <w:rPr>
          <w:spacing w:val="-2"/>
          <w:sz w:val="24"/>
        </w:rPr>
        <w:t> </w:t>
      </w:r>
      <w:r>
        <w:rPr>
          <w:sz w:val="24"/>
        </w:rPr>
        <w:t>of</w:t>
      </w:r>
      <w:r>
        <w:rPr>
          <w:spacing w:val="-3"/>
          <w:sz w:val="24"/>
        </w:rPr>
        <w:t> </w:t>
      </w:r>
      <w:r>
        <w:rPr>
          <w:spacing w:val="3"/>
          <w:sz w:val="24"/>
        </w:rPr>
        <w:t>older,</w:t>
      </w:r>
      <w:r>
        <w:rPr>
          <w:spacing w:val="-2"/>
          <w:sz w:val="24"/>
        </w:rPr>
        <w:t> </w:t>
      </w:r>
      <w:r>
        <w:rPr>
          <w:sz w:val="24"/>
        </w:rPr>
        <w:t>higher</w:t>
      </w:r>
      <w:r>
        <w:rPr>
          <w:spacing w:val="-6"/>
          <w:sz w:val="24"/>
        </w:rPr>
        <w:t> </w:t>
      </w:r>
      <w:r>
        <w:rPr>
          <w:sz w:val="24"/>
        </w:rPr>
        <w:t>paid</w:t>
      </w:r>
      <w:r>
        <w:rPr>
          <w:spacing w:val="-7"/>
          <w:sz w:val="24"/>
        </w:rPr>
        <w:t> </w:t>
      </w:r>
      <w:r>
        <w:rPr>
          <w:sz w:val="24"/>
        </w:rPr>
        <w:t>workers,</w:t>
      </w:r>
      <w:r>
        <w:rPr>
          <w:spacing w:val="-6"/>
          <w:sz w:val="24"/>
        </w:rPr>
        <w:t> </w:t>
      </w:r>
      <w:r>
        <w:rPr>
          <w:sz w:val="24"/>
        </w:rPr>
        <w:t>but</w:t>
      </w:r>
      <w:r>
        <w:rPr>
          <w:spacing w:val="-2"/>
          <w:sz w:val="24"/>
        </w:rPr>
        <w:t> </w:t>
      </w:r>
      <w:r>
        <w:rPr>
          <w:sz w:val="24"/>
        </w:rPr>
        <w:t>it</w:t>
      </w:r>
      <w:r>
        <w:rPr>
          <w:spacing w:val="-2"/>
          <w:sz w:val="24"/>
        </w:rPr>
        <w:t> </w:t>
      </w:r>
      <w:r>
        <w:rPr>
          <w:sz w:val="24"/>
        </w:rPr>
        <w:t>was</w:t>
      </w:r>
      <w:r>
        <w:rPr>
          <w:spacing w:val="-7"/>
          <w:sz w:val="24"/>
        </w:rPr>
        <w:t> </w:t>
      </w:r>
      <w:r>
        <w:rPr>
          <w:sz w:val="24"/>
        </w:rPr>
        <w:t>not</w:t>
      </w:r>
      <w:r>
        <w:rPr>
          <w:spacing w:val="-2"/>
          <w:sz w:val="24"/>
        </w:rPr>
        <w:t> </w:t>
      </w:r>
      <w:r>
        <w:rPr>
          <w:sz w:val="24"/>
        </w:rPr>
        <w:t>clear</w:t>
      </w:r>
      <w:r>
        <w:rPr>
          <w:spacing w:val="-6"/>
          <w:sz w:val="24"/>
        </w:rPr>
        <w:t> </w:t>
      </w:r>
      <w:r>
        <w:rPr>
          <w:sz w:val="24"/>
        </w:rPr>
        <w:t>how</w:t>
      </w:r>
      <w:r>
        <w:rPr>
          <w:spacing w:val="-7"/>
          <w:sz w:val="24"/>
        </w:rPr>
        <w:t> </w:t>
      </w:r>
      <w:r>
        <w:rPr>
          <w:sz w:val="24"/>
        </w:rPr>
        <w:t>much</w:t>
      </w:r>
      <w:r>
        <w:rPr>
          <w:spacing w:val="-6"/>
          <w:sz w:val="24"/>
        </w:rPr>
        <w:t> </w:t>
      </w:r>
      <w:r>
        <w:rPr>
          <w:sz w:val="24"/>
        </w:rPr>
        <w:t>further</w:t>
      </w:r>
      <w:r>
        <w:rPr>
          <w:spacing w:val="-7"/>
          <w:sz w:val="24"/>
        </w:rPr>
        <w:t> </w:t>
      </w:r>
      <w:r>
        <w:rPr>
          <w:sz w:val="24"/>
        </w:rPr>
        <w:t>this</w:t>
      </w:r>
      <w:r>
        <w:rPr>
          <w:spacing w:val="-6"/>
          <w:sz w:val="24"/>
        </w:rPr>
        <w:t> </w:t>
      </w:r>
      <w:r>
        <w:rPr>
          <w:sz w:val="24"/>
        </w:rPr>
        <w:t>process</w:t>
      </w:r>
      <w:r>
        <w:rPr>
          <w:spacing w:val="-6"/>
          <w:sz w:val="24"/>
        </w:rPr>
        <w:t> </w:t>
      </w:r>
      <w:r>
        <w:rPr>
          <w:sz w:val="24"/>
        </w:rPr>
        <w:t>had </w:t>
      </w:r>
      <w:r>
        <w:rPr>
          <w:spacing w:val="2"/>
          <w:sz w:val="24"/>
        </w:rPr>
        <w:t>to </w:t>
      </w:r>
      <w:r>
        <w:rPr>
          <w:sz w:val="24"/>
        </w:rPr>
        <w:t>go or whether the pattern of the past few years was merely cyclical. Some members of the Committee thought it more likely than not that the differential would close somewhat, and that this would come about mostly via a rise in public sector earnings growth. In that case, the 5% plus growth</w:t>
      </w:r>
      <w:r>
        <w:rPr>
          <w:spacing w:val="-6"/>
          <w:sz w:val="24"/>
        </w:rPr>
        <w:t> </w:t>
      </w:r>
      <w:r>
        <w:rPr>
          <w:sz w:val="24"/>
        </w:rPr>
        <w:t>of</w:t>
      </w:r>
      <w:r>
        <w:rPr>
          <w:spacing w:val="-2"/>
          <w:sz w:val="24"/>
        </w:rPr>
        <w:t> </w:t>
      </w:r>
      <w:r>
        <w:rPr>
          <w:sz w:val="24"/>
        </w:rPr>
        <w:t>private</w:t>
      </w:r>
      <w:r>
        <w:rPr>
          <w:spacing w:val="-6"/>
          <w:sz w:val="24"/>
        </w:rPr>
        <w:t> </w:t>
      </w:r>
      <w:r>
        <w:rPr>
          <w:sz w:val="24"/>
        </w:rPr>
        <w:t>sector</w:t>
      </w:r>
      <w:r>
        <w:rPr>
          <w:spacing w:val="-1"/>
          <w:sz w:val="24"/>
        </w:rPr>
        <w:t> </w:t>
      </w:r>
      <w:r>
        <w:rPr>
          <w:sz w:val="24"/>
        </w:rPr>
        <w:t>earnings</w:t>
      </w:r>
      <w:r>
        <w:rPr>
          <w:spacing w:val="-6"/>
          <w:sz w:val="24"/>
        </w:rPr>
        <w:t> </w:t>
      </w:r>
      <w:r>
        <w:rPr>
          <w:sz w:val="24"/>
        </w:rPr>
        <w:t>was</w:t>
      </w:r>
      <w:r>
        <w:rPr>
          <w:spacing w:val="-6"/>
          <w:sz w:val="24"/>
        </w:rPr>
        <w:t> </w:t>
      </w:r>
      <w:r>
        <w:rPr>
          <w:sz w:val="24"/>
        </w:rPr>
        <w:t>a</w:t>
      </w:r>
      <w:r>
        <w:rPr>
          <w:spacing w:val="-6"/>
          <w:sz w:val="24"/>
        </w:rPr>
        <w:t> </w:t>
      </w:r>
      <w:r>
        <w:rPr>
          <w:sz w:val="24"/>
        </w:rPr>
        <w:t>better</w:t>
      </w:r>
      <w:r>
        <w:rPr>
          <w:spacing w:val="-6"/>
          <w:sz w:val="24"/>
        </w:rPr>
        <w:t> </w:t>
      </w:r>
      <w:r>
        <w:rPr>
          <w:sz w:val="24"/>
        </w:rPr>
        <w:t>indicator</w:t>
      </w:r>
      <w:r>
        <w:rPr>
          <w:spacing w:val="-2"/>
          <w:sz w:val="24"/>
        </w:rPr>
        <w:t> </w:t>
      </w:r>
      <w:r>
        <w:rPr>
          <w:sz w:val="24"/>
        </w:rPr>
        <w:t>of</w:t>
      </w:r>
      <w:r>
        <w:rPr>
          <w:spacing w:val="-1"/>
          <w:sz w:val="24"/>
        </w:rPr>
        <w:t> </w:t>
      </w:r>
      <w:r>
        <w:rPr>
          <w:sz w:val="24"/>
        </w:rPr>
        <w:t>labour</w:t>
      </w:r>
      <w:r>
        <w:rPr>
          <w:spacing w:val="-6"/>
          <w:sz w:val="24"/>
        </w:rPr>
        <w:t> </w:t>
      </w:r>
      <w:r>
        <w:rPr>
          <w:sz w:val="24"/>
        </w:rPr>
        <w:t>market</w:t>
      </w:r>
      <w:r>
        <w:rPr>
          <w:spacing w:val="-2"/>
          <w:sz w:val="24"/>
        </w:rPr>
        <w:t> </w:t>
      </w:r>
      <w:r>
        <w:rPr>
          <w:sz w:val="24"/>
        </w:rPr>
        <w:t>tightness</w:t>
      </w:r>
      <w:r>
        <w:rPr>
          <w:spacing w:val="-6"/>
          <w:sz w:val="24"/>
        </w:rPr>
        <w:t> </w:t>
      </w:r>
      <w:r>
        <w:rPr>
          <w:sz w:val="24"/>
        </w:rPr>
        <w:t>than</w:t>
      </w:r>
      <w:r>
        <w:rPr>
          <w:spacing w:val="-6"/>
          <w:sz w:val="24"/>
        </w:rPr>
        <w:t> </w:t>
      </w:r>
      <w:r>
        <w:rPr>
          <w:sz w:val="24"/>
        </w:rPr>
        <w:t>the</w:t>
      </w:r>
      <w:r>
        <w:rPr>
          <w:spacing w:val="-5"/>
          <w:sz w:val="24"/>
        </w:rPr>
        <w:t> </w:t>
      </w:r>
      <w:r>
        <w:rPr>
          <w:sz w:val="24"/>
        </w:rPr>
        <w:t>headline</w:t>
      </w:r>
    </w:p>
    <w:p>
      <w:pPr>
        <w:spacing w:after="0" w:line="372" w:lineRule="auto"/>
        <w:jc w:val="left"/>
        <w:rPr>
          <w:sz w:val="24"/>
        </w:rPr>
        <w:sectPr>
          <w:pgSz w:w="11900" w:h="16840"/>
          <w:pgMar w:header="867" w:footer="0" w:top="1320" w:bottom="280" w:left="1020" w:right="880"/>
        </w:sectPr>
      </w:pPr>
    </w:p>
    <w:p>
      <w:pPr>
        <w:pStyle w:val="BodyText"/>
        <w:spacing w:before="80"/>
        <w:ind w:left="117"/>
      </w:pPr>
      <w:r>
        <w:rPr/>
        <w:t>rate of 4.5%.</w:t>
      </w:r>
    </w:p>
    <w:p>
      <w:pPr>
        <w:pStyle w:val="BodyText"/>
        <w:rPr>
          <w:sz w:val="26"/>
        </w:rPr>
      </w:pPr>
    </w:p>
    <w:p>
      <w:pPr>
        <w:pStyle w:val="BodyText"/>
        <w:spacing w:before="3"/>
      </w:pPr>
    </w:p>
    <w:p>
      <w:pPr>
        <w:pStyle w:val="ListParagraph"/>
        <w:numPr>
          <w:ilvl w:val="0"/>
          <w:numId w:val="1"/>
        </w:numPr>
        <w:tabs>
          <w:tab w:pos="573" w:val="left" w:leader="none"/>
          <w:tab w:pos="574" w:val="left" w:leader="none"/>
        </w:tabs>
        <w:spacing w:line="372" w:lineRule="auto" w:before="0" w:after="0"/>
        <w:ind w:left="117" w:right="310" w:firstLine="0"/>
        <w:jc w:val="left"/>
        <w:rPr>
          <w:sz w:val="24"/>
        </w:rPr>
      </w:pPr>
      <w:r>
        <w:rPr>
          <w:sz w:val="24"/>
        </w:rPr>
        <w:t>Secondly,</w:t>
      </w:r>
      <w:r>
        <w:rPr>
          <w:spacing w:val="-11"/>
          <w:sz w:val="24"/>
        </w:rPr>
        <w:t> </w:t>
      </w:r>
      <w:r>
        <w:rPr>
          <w:sz w:val="24"/>
        </w:rPr>
        <w:t>it</w:t>
      </w:r>
      <w:r>
        <w:rPr>
          <w:spacing w:val="-7"/>
          <w:sz w:val="24"/>
        </w:rPr>
        <w:t> </w:t>
      </w:r>
      <w:r>
        <w:rPr>
          <w:sz w:val="24"/>
        </w:rPr>
        <w:t>was</w:t>
      </w:r>
      <w:r>
        <w:rPr>
          <w:spacing w:val="-11"/>
          <w:sz w:val="24"/>
        </w:rPr>
        <w:t> </w:t>
      </w:r>
      <w:r>
        <w:rPr>
          <w:sz w:val="24"/>
        </w:rPr>
        <w:t>possible</w:t>
      </w:r>
      <w:r>
        <w:rPr>
          <w:spacing w:val="-10"/>
          <w:sz w:val="24"/>
        </w:rPr>
        <w:t> </w:t>
      </w:r>
      <w:r>
        <w:rPr>
          <w:sz w:val="24"/>
        </w:rPr>
        <w:t>that</w:t>
      </w:r>
      <w:r>
        <w:rPr>
          <w:spacing w:val="-7"/>
          <w:sz w:val="24"/>
        </w:rPr>
        <w:t> </w:t>
      </w:r>
      <w:r>
        <w:rPr>
          <w:sz w:val="24"/>
        </w:rPr>
        <w:t>the</w:t>
      </w:r>
      <w:r>
        <w:rPr>
          <w:spacing w:val="-11"/>
          <w:sz w:val="24"/>
        </w:rPr>
        <w:t> </w:t>
      </w:r>
      <w:r>
        <w:rPr>
          <w:sz w:val="24"/>
        </w:rPr>
        <w:t>lags</w:t>
      </w:r>
      <w:r>
        <w:rPr>
          <w:spacing w:val="-11"/>
          <w:sz w:val="24"/>
        </w:rPr>
        <w:t> </w:t>
      </w:r>
      <w:r>
        <w:rPr>
          <w:sz w:val="24"/>
        </w:rPr>
        <w:t>from</w:t>
      </w:r>
      <w:r>
        <w:rPr>
          <w:spacing w:val="-11"/>
          <w:sz w:val="24"/>
        </w:rPr>
        <w:t> </w:t>
      </w:r>
      <w:r>
        <w:rPr>
          <w:sz w:val="24"/>
        </w:rPr>
        <w:t>a</w:t>
      </w:r>
      <w:r>
        <w:rPr>
          <w:spacing w:val="-11"/>
          <w:sz w:val="24"/>
        </w:rPr>
        <w:t> </w:t>
      </w:r>
      <w:r>
        <w:rPr>
          <w:sz w:val="24"/>
        </w:rPr>
        <w:t>tightening</w:t>
      </w:r>
      <w:r>
        <w:rPr>
          <w:spacing w:val="-11"/>
          <w:sz w:val="24"/>
        </w:rPr>
        <w:t> </w:t>
      </w:r>
      <w:r>
        <w:rPr>
          <w:sz w:val="24"/>
        </w:rPr>
        <w:t>labour</w:t>
      </w:r>
      <w:r>
        <w:rPr>
          <w:spacing w:val="-11"/>
          <w:sz w:val="24"/>
        </w:rPr>
        <w:t> </w:t>
      </w:r>
      <w:r>
        <w:rPr>
          <w:sz w:val="24"/>
        </w:rPr>
        <w:t>market</w:t>
      </w:r>
      <w:r>
        <w:rPr>
          <w:spacing w:val="-7"/>
          <w:sz w:val="24"/>
        </w:rPr>
        <w:t> </w:t>
      </w:r>
      <w:r>
        <w:rPr>
          <w:spacing w:val="2"/>
          <w:sz w:val="24"/>
        </w:rPr>
        <w:t>to</w:t>
      </w:r>
      <w:r>
        <w:rPr>
          <w:spacing w:val="-7"/>
          <w:sz w:val="24"/>
        </w:rPr>
        <w:t> </w:t>
      </w:r>
      <w:r>
        <w:rPr>
          <w:sz w:val="24"/>
        </w:rPr>
        <w:t>rising</w:t>
      </w:r>
      <w:r>
        <w:rPr>
          <w:spacing w:val="-9"/>
          <w:sz w:val="24"/>
        </w:rPr>
        <w:t> </w:t>
      </w:r>
      <w:r>
        <w:rPr>
          <w:sz w:val="24"/>
        </w:rPr>
        <w:t>earnings</w:t>
      </w:r>
      <w:r>
        <w:rPr>
          <w:spacing w:val="-11"/>
          <w:sz w:val="24"/>
        </w:rPr>
        <w:t> </w:t>
      </w:r>
      <w:r>
        <w:rPr>
          <w:sz w:val="24"/>
        </w:rPr>
        <w:t>growth were longer than had been expected. This would be plausible because the moderating effect of </w:t>
      </w:r>
      <w:r>
        <w:rPr>
          <w:spacing w:val="-3"/>
          <w:sz w:val="24"/>
        </w:rPr>
        <w:t>sterling’s </w:t>
      </w:r>
      <w:r>
        <w:rPr>
          <w:sz w:val="24"/>
        </w:rPr>
        <w:t>appreciation on retail price rises had improved workers’ real wages (assessed in terms of their purchasing power </w:t>
      </w:r>
      <w:r>
        <w:rPr>
          <w:spacing w:val="3"/>
          <w:sz w:val="24"/>
        </w:rPr>
        <w:t>over </w:t>
      </w:r>
      <w:r>
        <w:rPr>
          <w:sz w:val="24"/>
        </w:rPr>
        <w:t>consumption goods). In that case, wage claims might have been lower than </w:t>
      </w:r>
      <w:r>
        <w:rPr>
          <w:spacing w:val="3"/>
          <w:sz w:val="24"/>
        </w:rPr>
        <w:t>otherwise. </w:t>
      </w:r>
      <w:r>
        <w:rPr>
          <w:sz w:val="24"/>
        </w:rPr>
        <w:t>If this was part of the explanation, the effect was unlikely </w:t>
      </w:r>
      <w:r>
        <w:rPr>
          <w:spacing w:val="2"/>
          <w:sz w:val="24"/>
        </w:rPr>
        <w:t>to </w:t>
      </w:r>
      <w:r>
        <w:rPr>
          <w:sz w:val="24"/>
        </w:rPr>
        <w:t>be sustainable. If, as expected,</w:t>
      </w:r>
      <w:r>
        <w:rPr>
          <w:spacing w:val="-8"/>
          <w:sz w:val="24"/>
        </w:rPr>
        <w:t> </w:t>
      </w:r>
      <w:r>
        <w:rPr>
          <w:sz w:val="24"/>
        </w:rPr>
        <w:t>sterling</w:t>
      </w:r>
      <w:r>
        <w:rPr>
          <w:spacing w:val="-8"/>
          <w:sz w:val="24"/>
        </w:rPr>
        <w:t> </w:t>
      </w:r>
      <w:r>
        <w:rPr>
          <w:sz w:val="24"/>
        </w:rPr>
        <w:t>stopped</w:t>
      </w:r>
      <w:r>
        <w:rPr>
          <w:spacing w:val="-8"/>
          <w:sz w:val="24"/>
        </w:rPr>
        <w:t> </w:t>
      </w:r>
      <w:r>
        <w:rPr>
          <w:sz w:val="24"/>
        </w:rPr>
        <w:t>appreciating,</w:t>
      </w:r>
      <w:r>
        <w:rPr>
          <w:spacing w:val="-8"/>
          <w:sz w:val="24"/>
        </w:rPr>
        <w:t> </w:t>
      </w:r>
      <w:r>
        <w:rPr>
          <w:sz w:val="24"/>
        </w:rPr>
        <w:t>and</w:t>
      </w:r>
      <w:r>
        <w:rPr>
          <w:spacing w:val="-8"/>
          <w:sz w:val="24"/>
        </w:rPr>
        <w:t> </w:t>
      </w:r>
      <w:r>
        <w:rPr>
          <w:sz w:val="24"/>
        </w:rPr>
        <w:t>a</w:t>
      </w:r>
      <w:r>
        <w:rPr>
          <w:spacing w:val="-8"/>
          <w:sz w:val="24"/>
        </w:rPr>
        <w:t> </w:t>
      </w:r>
      <w:r>
        <w:rPr>
          <w:sz w:val="24"/>
        </w:rPr>
        <w:t>fortiori</w:t>
      </w:r>
      <w:r>
        <w:rPr>
          <w:spacing w:val="-8"/>
          <w:sz w:val="24"/>
        </w:rPr>
        <w:t> </w:t>
      </w:r>
      <w:r>
        <w:rPr>
          <w:sz w:val="24"/>
        </w:rPr>
        <w:t>if</w:t>
      </w:r>
      <w:r>
        <w:rPr>
          <w:spacing w:val="-8"/>
          <w:sz w:val="24"/>
        </w:rPr>
        <w:t> </w:t>
      </w:r>
      <w:r>
        <w:rPr>
          <w:sz w:val="24"/>
        </w:rPr>
        <w:t>it</w:t>
      </w:r>
      <w:r>
        <w:rPr>
          <w:spacing w:val="-3"/>
          <w:sz w:val="24"/>
        </w:rPr>
        <w:t> </w:t>
      </w:r>
      <w:r>
        <w:rPr>
          <w:sz w:val="24"/>
        </w:rPr>
        <w:t>fell</w:t>
      </w:r>
      <w:r>
        <w:rPr>
          <w:spacing w:val="-8"/>
          <w:sz w:val="24"/>
        </w:rPr>
        <w:t> </w:t>
      </w:r>
      <w:r>
        <w:rPr>
          <w:sz w:val="24"/>
        </w:rPr>
        <w:t>back,</w:t>
      </w:r>
      <w:r>
        <w:rPr>
          <w:spacing w:val="-8"/>
          <w:sz w:val="24"/>
        </w:rPr>
        <w:t> </w:t>
      </w:r>
      <w:r>
        <w:rPr>
          <w:sz w:val="24"/>
        </w:rPr>
        <w:t>wage</w:t>
      </w:r>
      <w:r>
        <w:rPr>
          <w:spacing w:val="-8"/>
          <w:sz w:val="24"/>
        </w:rPr>
        <w:t> </w:t>
      </w:r>
      <w:r>
        <w:rPr>
          <w:sz w:val="24"/>
        </w:rPr>
        <w:t>claims</w:t>
      </w:r>
      <w:r>
        <w:rPr>
          <w:spacing w:val="-8"/>
          <w:sz w:val="24"/>
        </w:rPr>
        <w:t> </w:t>
      </w:r>
      <w:r>
        <w:rPr>
          <w:sz w:val="24"/>
        </w:rPr>
        <w:t>might</w:t>
      </w:r>
      <w:r>
        <w:rPr>
          <w:spacing w:val="-4"/>
          <w:sz w:val="24"/>
        </w:rPr>
        <w:t> </w:t>
      </w:r>
      <w:r>
        <w:rPr>
          <w:sz w:val="24"/>
        </w:rPr>
        <w:t>increase.</w:t>
      </w:r>
    </w:p>
    <w:p>
      <w:pPr>
        <w:pStyle w:val="BodyText"/>
        <w:spacing w:before="3"/>
        <w:rPr>
          <w:sz w:val="37"/>
        </w:rPr>
      </w:pPr>
    </w:p>
    <w:p>
      <w:pPr>
        <w:pStyle w:val="Heading1"/>
      </w:pPr>
      <w:r>
        <w:rPr/>
        <w:t>Commodity prices</w:t>
      </w:r>
    </w:p>
    <w:p>
      <w:pPr>
        <w:pStyle w:val="BodyText"/>
        <w:rPr>
          <w:b/>
          <w:sz w:val="26"/>
        </w:rPr>
      </w:pPr>
    </w:p>
    <w:p>
      <w:pPr>
        <w:pStyle w:val="BodyText"/>
        <w:spacing w:before="10"/>
        <w:rPr>
          <w:b/>
          <w:sz w:val="23"/>
        </w:rPr>
      </w:pPr>
    </w:p>
    <w:p>
      <w:pPr>
        <w:pStyle w:val="ListParagraph"/>
        <w:numPr>
          <w:ilvl w:val="0"/>
          <w:numId w:val="1"/>
        </w:numPr>
        <w:tabs>
          <w:tab w:pos="573" w:val="left" w:leader="none"/>
          <w:tab w:pos="574" w:val="left" w:leader="none"/>
        </w:tabs>
        <w:spacing w:line="372" w:lineRule="auto" w:before="0" w:after="0"/>
        <w:ind w:left="117" w:right="278" w:firstLine="0"/>
        <w:jc w:val="left"/>
        <w:rPr>
          <w:sz w:val="24"/>
        </w:rPr>
      </w:pPr>
      <w:r>
        <w:rPr>
          <w:sz w:val="24"/>
        </w:rPr>
        <w:t>The Committee noted that the short-run effects on inflation from commodity price changes remained</w:t>
      </w:r>
      <w:r>
        <w:rPr>
          <w:spacing w:val="-12"/>
          <w:sz w:val="24"/>
        </w:rPr>
        <w:t> </w:t>
      </w:r>
      <w:r>
        <w:rPr>
          <w:sz w:val="24"/>
        </w:rPr>
        <w:t>very</w:t>
      </w:r>
      <w:r>
        <w:rPr>
          <w:spacing w:val="-13"/>
          <w:sz w:val="24"/>
        </w:rPr>
        <w:t> </w:t>
      </w:r>
      <w:r>
        <w:rPr>
          <w:sz w:val="24"/>
        </w:rPr>
        <w:t>benign.</w:t>
      </w:r>
      <w:r>
        <w:rPr>
          <w:spacing w:val="33"/>
          <w:sz w:val="24"/>
        </w:rPr>
        <w:t> </w:t>
      </w:r>
      <w:r>
        <w:rPr>
          <w:sz w:val="24"/>
        </w:rPr>
        <w:t>Sterling</w:t>
      </w:r>
      <w:r>
        <w:rPr>
          <w:spacing w:val="-12"/>
          <w:sz w:val="24"/>
        </w:rPr>
        <w:t> </w:t>
      </w:r>
      <w:r>
        <w:rPr>
          <w:spacing w:val="2"/>
          <w:sz w:val="24"/>
        </w:rPr>
        <w:t>oil</w:t>
      </w:r>
      <w:r>
        <w:rPr>
          <w:spacing w:val="-10"/>
          <w:sz w:val="24"/>
        </w:rPr>
        <w:t> </w:t>
      </w:r>
      <w:r>
        <w:rPr>
          <w:sz w:val="24"/>
        </w:rPr>
        <w:t>prices</w:t>
      </w:r>
      <w:r>
        <w:rPr>
          <w:spacing w:val="-13"/>
          <w:sz w:val="24"/>
        </w:rPr>
        <w:t> </w:t>
      </w:r>
      <w:r>
        <w:rPr>
          <w:sz w:val="24"/>
        </w:rPr>
        <w:t>had</w:t>
      </w:r>
      <w:r>
        <w:rPr>
          <w:spacing w:val="-13"/>
          <w:sz w:val="24"/>
        </w:rPr>
        <w:t> </w:t>
      </w:r>
      <w:r>
        <w:rPr>
          <w:sz w:val="24"/>
        </w:rPr>
        <w:t>risen</w:t>
      </w:r>
      <w:r>
        <w:rPr>
          <w:spacing w:val="-12"/>
          <w:sz w:val="24"/>
        </w:rPr>
        <w:t> </w:t>
      </w:r>
      <w:r>
        <w:rPr>
          <w:sz w:val="24"/>
        </w:rPr>
        <w:t>slightly</w:t>
      </w:r>
      <w:r>
        <w:rPr>
          <w:spacing w:val="-13"/>
          <w:sz w:val="24"/>
        </w:rPr>
        <w:t> </w:t>
      </w:r>
      <w:r>
        <w:rPr>
          <w:spacing w:val="3"/>
          <w:sz w:val="24"/>
        </w:rPr>
        <w:t>over</w:t>
      </w:r>
      <w:r>
        <w:rPr>
          <w:spacing w:val="-9"/>
          <w:sz w:val="24"/>
        </w:rPr>
        <w:t> </w:t>
      </w:r>
      <w:r>
        <w:rPr>
          <w:sz w:val="24"/>
        </w:rPr>
        <w:t>the</w:t>
      </w:r>
      <w:r>
        <w:rPr>
          <w:spacing w:val="-13"/>
          <w:sz w:val="24"/>
        </w:rPr>
        <w:t> </w:t>
      </w:r>
      <w:r>
        <w:rPr>
          <w:sz w:val="24"/>
        </w:rPr>
        <w:t>latest</w:t>
      </w:r>
      <w:r>
        <w:rPr>
          <w:spacing w:val="-10"/>
          <w:sz w:val="24"/>
        </w:rPr>
        <w:t> </w:t>
      </w:r>
      <w:r>
        <w:rPr>
          <w:sz w:val="24"/>
        </w:rPr>
        <w:t>month</w:t>
      </w:r>
      <w:r>
        <w:rPr>
          <w:spacing w:val="-13"/>
          <w:sz w:val="24"/>
        </w:rPr>
        <w:t> </w:t>
      </w:r>
      <w:r>
        <w:rPr>
          <w:sz w:val="24"/>
        </w:rPr>
        <w:t>but</w:t>
      </w:r>
      <w:r>
        <w:rPr>
          <w:spacing w:val="-9"/>
          <w:sz w:val="24"/>
        </w:rPr>
        <w:t> </w:t>
      </w:r>
      <w:r>
        <w:rPr>
          <w:sz w:val="24"/>
        </w:rPr>
        <w:t>remained</w:t>
      </w:r>
      <w:r>
        <w:rPr>
          <w:spacing w:val="-12"/>
          <w:sz w:val="24"/>
        </w:rPr>
        <w:t> </w:t>
      </w:r>
      <w:r>
        <w:rPr>
          <w:sz w:val="24"/>
        </w:rPr>
        <w:t>nearly 25% lower than a year earlier. The </w:t>
      </w:r>
      <w:r>
        <w:rPr>
          <w:spacing w:val="-6"/>
          <w:sz w:val="24"/>
        </w:rPr>
        <w:t>Bank’s </w:t>
      </w:r>
      <w:r>
        <w:rPr>
          <w:sz w:val="24"/>
        </w:rPr>
        <w:t>sterling commodity index was 14% down </w:t>
      </w:r>
      <w:r>
        <w:rPr>
          <w:spacing w:val="3"/>
          <w:sz w:val="24"/>
        </w:rPr>
        <w:t>over </w:t>
      </w:r>
      <w:r>
        <w:rPr>
          <w:sz w:val="24"/>
        </w:rPr>
        <w:t>the same period including </w:t>
      </w:r>
      <w:r>
        <w:rPr>
          <w:spacing w:val="3"/>
          <w:sz w:val="24"/>
        </w:rPr>
        <w:t>oil, </w:t>
      </w:r>
      <w:r>
        <w:rPr>
          <w:sz w:val="24"/>
        </w:rPr>
        <w:t>and 9.5% excluding </w:t>
      </w:r>
      <w:r>
        <w:rPr>
          <w:spacing w:val="3"/>
          <w:sz w:val="24"/>
        </w:rPr>
        <w:t>oil. </w:t>
      </w:r>
      <w:r>
        <w:rPr>
          <w:sz w:val="24"/>
        </w:rPr>
        <w:t>Manufacturing </w:t>
      </w:r>
      <w:r>
        <w:rPr>
          <w:spacing w:val="3"/>
          <w:sz w:val="24"/>
        </w:rPr>
        <w:t>output </w:t>
      </w:r>
      <w:r>
        <w:rPr>
          <w:sz w:val="24"/>
        </w:rPr>
        <w:t>prices (excluding excise duties) were flat since February and </w:t>
      </w:r>
      <w:r>
        <w:rPr>
          <w:spacing w:val="3"/>
          <w:sz w:val="24"/>
        </w:rPr>
        <w:t>only </w:t>
      </w:r>
      <w:r>
        <w:rPr>
          <w:sz w:val="24"/>
        </w:rPr>
        <w:t>0.2% higher than a year</w:t>
      </w:r>
      <w:r>
        <w:rPr>
          <w:spacing w:val="8"/>
          <w:sz w:val="24"/>
        </w:rPr>
        <w:t> </w:t>
      </w:r>
      <w:r>
        <w:rPr>
          <w:sz w:val="24"/>
        </w:rPr>
        <w:t>ago.</w:t>
      </w:r>
    </w:p>
    <w:p>
      <w:pPr>
        <w:pStyle w:val="BodyText"/>
        <w:spacing w:before="11"/>
        <w:rPr>
          <w:sz w:val="36"/>
        </w:rPr>
      </w:pPr>
    </w:p>
    <w:p>
      <w:pPr>
        <w:pStyle w:val="ListParagraph"/>
        <w:numPr>
          <w:ilvl w:val="0"/>
          <w:numId w:val="1"/>
        </w:numPr>
        <w:tabs>
          <w:tab w:pos="573" w:val="left" w:leader="none"/>
          <w:tab w:pos="574" w:val="left" w:leader="none"/>
        </w:tabs>
        <w:spacing w:line="372" w:lineRule="auto" w:before="0" w:after="0"/>
        <w:ind w:left="117" w:right="280" w:firstLine="0"/>
        <w:jc w:val="left"/>
        <w:rPr>
          <w:sz w:val="24"/>
        </w:rPr>
      </w:pPr>
      <w:r>
        <w:rPr>
          <w:sz w:val="24"/>
        </w:rPr>
        <w:t>Together with the effect of </w:t>
      </w:r>
      <w:r>
        <w:rPr>
          <w:spacing w:val="-3"/>
          <w:sz w:val="24"/>
        </w:rPr>
        <w:t>sterling’s </w:t>
      </w:r>
      <w:r>
        <w:rPr>
          <w:sz w:val="24"/>
        </w:rPr>
        <w:t>appreciation, these developments had made a material contribution</w:t>
      </w:r>
      <w:r>
        <w:rPr>
          <w:spacing w:val="-15"/>
          <w:sz w:val="24"/>
        </w:rPr>
        <w:t> </w:t>
      </w:r>
      <w:r>
        <w:rPr>
          <w:spacing w:val="2"/>
          <w:sz w:val="24"/>
        </w:rPr>
        <w:t>to</w:t>
      </w:r>
      <w:r>
        <w:rPr>
          <w:spacing w:val="-11"/>
          <w:sz w:val="24"/>
        </w:rPr>
        <w:t> </w:t>
      </w:r>
      <w:r>
        <w:rPr>
          <w:sz w:val="24"/>
        </w:rPr>
        <w:t>lower</w:t>
      </w:r>
      <w:r>
        <w:rPr>
          <w:spacing w:val="-14"/>
          <w:sz w:val="24"/>
        </w:rPr>
        <w:t> </w:t>
      </w:r>
      <w:r>
        <w:rPr>
          <w:sz w:val="24"/>
        </w:rPr>
        <w:t>inflation</w:t>
      </w:r>
      <w:r>
        <w:rPr>
          <w:spacing w:val="-15"/>
          <w:sz w:val="24"/>
        </w:rPr>
        <w:t> </w:t>
      </w:r>
      <w:r>
        <w:rPr>
          <w:spacing w:val="3"/>
          <w:sz w:val="24"/>
        </w:rPr>
        <w:t>over</w:t>
      </w:r>
      <w:r>
        <w:rPr>
          <w:spacing w:val="-10"/>
          <w:sz w:val="24"/>
        </w:rPr>
        <w:t> </w:t>
      </w:r>
      <w:r>
        <w:rPr>
          <w:sz w:val="24"/>
        </w:rPr>
        <w:t>the</w:t>
      </w:r>
      <w:r>
        <w:rPr>
          <w:spacing w:val="-15"/>
          <w:sz w:val="24"/>
        </w:rPr>
        <w:t> </w:t>
      </w:r>
      <w:r>
        <w:rPr>
          <w:sz w:val="24"/>
        </w:rPr>
        <w:t>past</w:t>
      </w:r>
      <w:r>
        <w:rPr>
          <w:spacing w:val="-10"/>
          <w:sz w:val="24"/>
        </w:rPr>
        <w:t> </w:t>
      </w:r>
      <w:r>
        <w:rPr>
          <w:sz w:val="24"/>
        </w:rPr>
        <w:t>twelve</w:t>
      </w:r>
      <w:r>
        <w:rPr>
          <w:spacing w:val="-15"/>
          <w:sz w:val="24"/>
        </w:rPr>
        <w:t> </w:t>
      </w:r>
      <w:r>
        <w:rPr>
          <w:sz w:val="24"/>
        </w:rPr>
        <w:t>months,</w:t>
      </w:r>
      <w:r>
        <w:rPr>
          <w:spacing w:val="-14"/>
          <w:sz w:val="24"/>
        </w:rPr>
        <w:t> </w:t>
      </w:r>
      <w:r>
        <w:rPr>
          <w:spacing w:val="3"/>
          <w:sz w:val="24"/>
        </w:rPr>
        <w:t>offsetting</w:t>
      </w:r>
      <w:r>
        <w:rPr>
          <w:spacing w:val="-11"/>
          <w:sz w:val="24"/>
        </w:rPr>
        <w:t> </w:t>
      </w:r>
      <w:r>
        <w:rPr>
          <w:sz w:val="24"/>
        </w:rPr>
        <w:t>higher</w:t>
      </w:r>
      <w:r>
        <w:rPr>
          <w:spacing w:val="-15"/>
          <w:sz w:val="24"/>
        </w:rPr>
        <w:t> </w:t>
      </w:r>
      <w:r>
        <w:rPr>
          <w:sz w:val="24"/>
        </w:rPr>
        <w:t>domestically</w:t>
      </w:r>
      <w:r>
        <w:rPr>
          <w:spacing w:val="-14"/>
          <w:sz w:val="24"/>
        </w:rPr>
        <w:t> </w:t>
      </w:r>
      <w:r>
        <w:rPr>
          <w:sz w:val="24"/>
        </w:rPr>
        <w:t>generated inflation. It could not be assumed that this would continue into the period ahead, although external price</w:t>
      </w:r>
      <w:r>
        <w:rPr>
          <w:spacing w:val="-12"/>
          <w:sz w:val="24"/>
        </w:rPr>
        <w:t> </w:t>
      </w:r>
      <w:r>
        <w:rPr>
          <w:sz w:val="24"/>
        </w:rPr>
        <w:t>developments</w:t>
      </w:r>
      <w:r>
        <w:rPr>
          <w:spacing w:val="-12"/>
          <w:sz w:val="24"/>
        </w:rPr>
        <w:t> </w:t>
      </w:r>
      <w:r>
        <w:rPr>
          <w:sz w:val="24"/>
        </w:rPr>
        <w:t>were</w:t>
      </w:r>
      <w:r>
        <w:rPr>
          <w:spacing w:val="-12"/>
          <w:sz w:val="24"/>
        </w:rPr>
        <w:t> </w:t>
      </w:r>
      <w:r>
        <w:rPr>
          <w:sz w:val="24"/>
        </w:rPr>
        <w:t>expected</w:t>
      </w:r>
      <w:r>
        <w:rPr>
          <w:spacing w:val="-12"/>
          <w:sz w:val="24"/>
        </w:rPr>
        <w:t> </w:t>
      </w:r>
      <w:r>
        <w:rPr>
          <w:spacing w:val="2"/>
          <w:sz w:val="24"/>
        </w:rPr>
        <w:t>to</w:t>
      </w:r>
      <w:r>
        <w:rPr>
          <w:spacing w:val="-9"/>
          <w:sz w:val="24"/>
        </w:rPr>
        <w:t> </w:t>
      </w:r>
      <w:r>
        <w:rPr>
          <w:sz w:val="24"/>
        </w:rPr>
        <w:t>remain</w:t>
      </w:r>
      <w:r>
        <w:rPr>
          <w:spacing w:val="-10"/>
          <w:sz w:val="24"/>
        </w:rPr>
        <w:t> </w:t>
      </w:r>
      <w:r>
        <w:rPr>
          <w:sz w:val="24"/>
        </w:rPr>
        <w:t>benign,</w:t>
      </w:r>
      <w:r>
        <w:rPr>
          <w:spacing w:val="-12"/>
          <w:sz w:val="24"/>
        </w:rPr>
        <w:t> </w:t>
      </w:r>
      <w:r>
        <w:rPr>
          <w:sz w:val="24"/>
        </w:rPr>
        <w:t>partly</w:t>
      </w:r>
      <w:r>
        <w:rPr>
          <w:spacing w:val="-12"/>
          <w:sz w:val="24"/>
        </w:rPr>
        <w:t> </w:t>
      </w:r>
      <w:r>
        <w:rPr>
          <w:sz w:val="24"/>
        </w:rPr>
        <w:t>because</w:t>
      </w:r>
      <w:r>
        <w:rPr>
          <w:spacing w:val="-12"/>
          <w:sz w:val="24"/>
        </w:rPr>
        <w:t> </w:t>
      </w:r>
      <w:r>
        <w:rPr>
          <w:sz w:val="24"/>
        </w:rPr>
        <w:t>of</w:t>
      </w:r>
      <w:r>
        <w:rPr>
          <w:spacing w:val="-8"/>
          <w:sz w:val="24"/>
        </w:rPr>
        <w:t> </w:t>
      </w:r>
      <w:r>
        <w:rPr>
          <w:sz w:val="24"/>
        </w:rPr>
        <w:t>the</w:t>
      </w:r>
      <w:r>
        <w:rPr>
          <w:spacing w:val="-12"/>
          <w:sz w:val="24"/>
        </w:rPr>
        <w:t> </w:t>
      </w:r>
      <w:r>
        <w:rPr>
          <w:sz w:val="24"/>
        </w:rPr>
        <w:t>sharp</w:t>
      </w:r>
      <w:r>
        <w:rPr>
          <w:spacing w:val="-12"/>
          <w:sz w:val="24"/>
        </w:rPr>
        <w:t> </w:t>
      </w:r>
      <w:r>
        <w:rPr>
          <w:sz w:val="24"/>
        </w:rPr>
        <w:t>fall</w:t>
      </w:r>
      <w:r>
        <w:rPr>
          <w:spacing w:val="-12"/>
          <w:sz w:val="24"/>
        </w:rPr>
        <w:t> </w:t>
      </w:r>
      <w:r>
        <w:rPr>
          <w:sz w:val="24"/>
        </w:rPr>
        <w:t>in</w:t>
      </w:r>
      <w:r>
        <w:rPr>
          <w:spacing w:val="-12"/>
          <w:sz w:val="24"/>
        </w:rPr>
        <w:t> </w:t>
      </w:r>
      <w:r>
        <w:rPr>
          <w:sz w:val="24"/>
        </w:rPr>
        <w:t>Asian</w:t>
      </w:r>
      <w:r>
        <w:rPr>
          <w:spacing w:val="-12"/>
          <w:sz w:val="24"/>
        </w:rPr>
        <w:t> </w:t>
      </w:r>
      <w:r>
        <w:rPr>
          <w:sz w:val="24"/>
        </w:rPr>
        <w:t>demand for commodities and manufactured goods. However, this would partly be </w:t>
      </w:r>
      <w:r>
        <w:rPr>
          <w:spacing w:val="3"/>
          <w:sz w:val="24"/>
        </w:rPr>
        <w:t>offset </w:t>
      </w:r>
      <w:r>
        <w:rPr>
          <w:sz w:val="24"/>
        </w:rPr>
        <w:t>in the period ahead by the expected depreciation of</w:t>
      </w:r>
      <w:r>
        <w:rPr>
          <w:spacing w:val="11"/>
          <w:sz w:val="24"/>
        </w:rPr>
        <w:t> </w:t>
      </w:r>
      <w:r>
        <w:rPr>
          <w:sz w:val="24"/>
        </w:rPr>
        <w:t>sterling.</w:t>
      </w:r>
    </w:p>
    <w:p>
      <w:pPr>
        <w:pStyle w:val="BodyText"/>
        <w:spacing w:before="3"/>
        <w:rPr>
          <w:sz w:val="37"/>
        </w:rPr>
      </w:pPr>
    </w:p>
    <w:p>
      <w:pPr>
        <w:pStyle w:val="Heading1"/>
      </w:pPr>
      <w:r>
        <w:rPr/>
        <w:t>Government finances</w:t>
      </w:r>
    </w:p>
    <w:p>
      <w:pPr>
        <w:pStyle w:val="BodyText"/>
        <w:rPr>
          <w:b/>
          <w:sz w:val="26"/>
        </w:rPr>
      </w:pPr>
    </w:p>
    <w:p>
      <w:pPr>
        <w:pStyle w:val="BodyText"/>
        <w:spacing w:before="10"/>
        <w:rPr>
          <w:b/>
          <w:sz w:val="23"/>
        </w:rPr>
      </w:pPr>
    </w:p>
    <w:p>
      <w:pPr>
        <w:pStyle w:val="ListParagraph"/>
        <w:numPr>
          <w:ilvl w:val="0"/>
          <w:numId w:val="1"/>
        </w:numPr>
        <w:tabs>
          <w:tab w:pos="573" w:val="left" w:leader="none"/>
          <w:tab w:pos="574" w:val="left" w:leader="none"/>
        </w:tabs>
        <w:spacing w:line="372" w:lineRule="auto" w:before="0" w:after="0"/>
        <w:ind w:left="117" w:right="1182" w:firstLine="0"/>
        <w:jc w:val="left"/>
        <w:rPr>
          <w:sz w:val="24"/>
        </w:rPr>
      </w:pPr>
      <w:r>
        <w:rPr>
          <w:sz w:val="24"/>
        </w:rPr>
        <w:t>The</w:t>
      </w:r>
      <w:r>
        <w:rPr>
          <w:spacing w:val="-8"/>
          <w:sz w:val="24"/>
        </w:rPr>
        <w:t> </w:t>
      </w:r>
      <w:r>
        <w:rPr>
          <w:sz w:val="24"/>
        </w:rPr>
        <w:t>Committee</w:t>
      </w:r>
      <w:r>
        <w:rPr>
          <w:spacing w:val="-9"/>
          <w:sz w:val="24"/>
        </w:rPr>
        <w:t> </w:t>
      </w:r>
      <w:r>
        <w:rPr>
          <w:sz w:val="24"/>
        </w:rPr>
        <w:t>noted</w:t>
      </w:r>
      <w:r>
        <w:rPr>
          <w:spacing w:val="-9"/>
          <w:sz w:val="24"/>
        </w:rPr>
        <w:t> </w:t>
      </w:r>
      <w:r>
        <w:rPr>
          <w:sz w:val="24"/>
        </w:rPr>
        <w:t>that</w:t>
      </w:r>
      <w:r>
        <w:rPr>
          <w:spacing w:val="-5"/>
          <w:sz w:val="24"/>
        </w:rPr>
        <w:t> </w:t>
      </w:r>
      <w:r>
        <w:rPr>
          <w:sz w:val="24"/>
        </w:rPr>
        <w:t>the</w:t>
      </w:r>
      <w:r>
        <w:rPr>
          <w:spacing w:val="-9"/>
          <w:sz w:val="24"/>
        </w:rPr>
        <w:t> </w:t>
      </w:r>
      <w:r>
        <w:rPr>
          <w:sz w:val="24"/>
        </w:rPr>
        <w:t>1997/98</w:t>
      </w:r>
      <w:r>
        <w:rPr>
          <w:spacing w:val="-9"/>
          <w:sz w:val="24"/>
        </w:rPr>
        <w:t> </w:t>
      </w:r>
      <w:r>
        <w:rPr>
          <w:sz w:val="24"/>
        </w:rPr>
        <w:t>PSBR,</w:t>
      </w:r>
      <w:r>
        <w:rPr>
          <w:spacing w:val="-9"/>
          <w:sz w:val="24"/>
        </w:rPr>
        <w:t> </w:t>
      </w:r>
      <w:r>
        <w:rPr>
          <w:sz w:val="24"/>
        </w:rPr>
        <w:t>ignoring</w:t>
      </w:r>
      <w:r>
        <w:rPr>
          <w:spacing w:val="-9"/>
          <w:sz w:val="24"/>
        </w:rPr>
        <w:t> </w:t>
      </w:r>
      <w:r>
        <w:rPr>
          <w:sz w:val="24"/>
        </w:rPr>
        <w:t>the</w:t>
      </w:r>
      <w:r>
        <w:rPr>
          <w:spacing w:val="-9"/>
          <w:sz w:val="24"/>
        </w:rPr>
        <w:t> </w:t>
      </w:r>
      <w:r>
        <w:rPr>
          <w:sz w:val="24"/>
        </w:rPr>
        <w:t>effect</w:t>
      </w:r>
      <w:r>
        <w:rPr>
          <w:spacing w:val="-5"/>
          <w:sz w:val="24"/>
        </w:rPr>
        <w:t> </w:t>
      </w:r>
      <w:r>
        <w:rPr>
          <w:sz w:val="24"/>
        </w:rPr>
        <w:t>of</w:t>
      </w:r>
      <w:r>
        <w:rPr>
          <w:spacing w:val="-5"/>
          <w:sz w:val="24"/>
        </w:rPr>
        <w:t> </w:t>
      </w:r>
      <w:r>
        <w:rPr>
          <w:sz w:val="24"/>
        </w:rPr>
        <w:t>windfall</w:t>
      </w:r>
      <w:r>
        <w:rPr>
          <w:spacing w:val="-9"/>
          <w:sz w:val="24"/>
        </w:rPr>
        <w:t> </w:t>
      </w:r>
      <w:r>
        <w:rPr>
          <w:sz w:val="24"/>
        </w:rPr>
        <w:t>taxes</w:t>
      </w:r>
      <w:r>
        <w:rPr>
          <w:spacing w:val="-9"/>
          <w:sz w:val="24"/>
        </w:rPr>
        <w:t> </w:t>
      </w:r>
      <w:r>
        <w:rPr>
          <w:sz w:val="24"/>
        </w:rPr>
        <w:t>and associated</w:t>
      </w:r>
      <w:r>
        <w:rPr>
          <w:spacing w:val="-6"/>
          <w:sz w:val="24"/>
        </w:rPr>
        <w:t> </w:t>
      </w:r>
      <w:r>
        <w:rPr>
          <w:sz w:val="24"/>
        </w:rPr>
        <w:t>spending,</w:t>
      </w:r>
      <w:r>
        <w:rPr>
          <w:spacing w:val="-5"/>
          <w:sz w:val="24"/>
        </w:rPr>
        <w:t> </w:t>
      </w:r>
      <w:r>
        <w:rPr>
          <w:sz w:val="24"/>
        </w:rPr>
        <w:t>was</w:t>
      </w:r>
      <w:r>
        <w:rPr>
          <w:spacing w:val="-5"/>
          <w:sz w:val="24"/>
        </w:rPr>
        <w:t> </w:t>
      </w:r>
      <w:r>
        <w:rPr>
          <w:sz w:val="24"/>
        </w:rPr>
        <w:t>£3</w:t>
      </w:r>
      <w:r>
        <w:rPr>
          <w:spacing w:val="-5"/>
          <w:sz w:val="24"/>
        </w:rPr>
        <w:t> </w:t>
      </w:r>
      <w:r>
        <w:rPr>
          <w:sz w:val="24"/>
        </w:rPr>
        <w:t>¼</w:t>
      </w:r>
      <w:r>
        <w:rPr>
          <w:spacing w:val="6"/>
          <w:sz w:val="24"/>
        </w:rPr>
        <w:t> </w:t>
      </w:r>
      <w:r>
        <w:rPr>
          <w:sz w:val="24"/>
        </w:rPr>
        <w:t>bn,</w:t>
      </w:r>
      <w:r>
        <w:rPr>
          <w:spacing w:val="-6"/>
          <w:sz w:val="24"/>
        </w:rPr>
        <w:t> </w:t>
      </w:r>
      <w:r>
        <w:rPr>
          <w:sz w:val="24"/>
        </w:rPr>
        <w:t>around</w:t>
      </w:r>
      <w:r>
        <w:rPr>
          <w:spacing w:val="-5"/>
          <w:sz w:val="24"/>
        </w:rPr>
        <w:t> </w:t>
      </w:r>
      <w:r>
        <w:rPr>
          <w:sz w:val="24"/>
        </w:rPr>
        <w:t>£1</w:t>
      </w:r>
      <w:r>
        <w:rPr>
          <w:spacing w:val="-5"/>
          <w:sz w:val="24"/>
        </w:rPr>
        <w:t> </w:t>
      </w:r>
      <w:r>
        <w:rPr>
          <w:sz w:val="24"/>
        </w:rPr>
        <w:t>¾</w:t>
      </w:r>
      <w:r>
        <w:rPr>
          <w:spacing w:val="-3"/>
          <w:sz w:val="24"/>
        </w:rPr>
        <w:t> </w:t>
      </w:r>
      <w:r>
        <w:rPr>
          <w:sz w:val="24"/>
        </w:rPr>
        <w:t>bn</w:t>
      </w:r>
      <w:r>
        <w:rPr>
          <w:spacing w:val="-5"/>
          <w:sz w:val="24"/>
        </w:rPr>
        <w:t> </w:t>
      </w:r>
      <w:r>
        <w:rPr>
          <w:sz w:val="24"/>
        </w:rPr>
        <w:t>less</w:t>
      </w:r>
      <w:r>
        <w:rPr>
          <w:spacing w:val="-5"/>
          <w:sz w:val="24"/>
        </w:rPr>
        <w:t> </w:t>
      </w:r>
      <w:r>
        <w:rPr>
          <w:sz w:val="24"/>
        </w:rPr>
        <w:t>than</w:t>
      </w:r>
      <w:r>
        <w:rPr>
          <w:spacing w:val="-5"/>
          <w:sz w:val="24"/>
        </w:rPr>
        <w:t> </w:t>
      </w:r>
      <w:r>
        <w:rPr>
          <w:sz w:val="24"/>
        </w:rPr>
        <w:t>forecast</w:t>
      </w:r>
      <w:r>
        <w:rPr>
          <w:spacing w:val="-1"/>
          <w:sz w:val="24"/>
        </w:rPr>
        <w:t> </w:t>
      </w:r>
      <w:r>
        <w:rPr>
          <w:sz w:val="24"/>
        </w:rPr>
        <w:t>in</w:t>
      </w:r>
      <w:r>
        <w:rPr>
          <w:spacing w:val="-5"/>
          <w:sz w:val="24"/>
        </w:rPr>
        <w:t> </w:t>
      </w:r>
      <w:r>
        <w:rPr>
          <w:sz w:val="24"/>
        </w:rPr>
        <w:t>the</w:t>
      </w:r>
      <w:r>
        <w:rPr>
          <w:spacing w:val="-5"/>
          <w:sz w:val="24"/>
        </w:rPr>
        <w:t> </w:t>
      </w:r>
      <w:r>
        <w:rPr>
          <w:sz w:val="24"/>
        </w:rPr>
        <w:t>March</w:t>
      </w:r>
      <w:r>
        <w:rPr>
          <w:spacing w:val="-5"/>
          <w:sz w:val="24"/>
        </w:rPr>
        <w:t> </w:t>
      </w:r>
      <w:r>
        <w:rPr>
          <w:sz w:val="24"/>
        </w:rPr>
        <w:t>Budget.</w:t>
      </w:r>
    </w:p>
    <w:p>
      <w:pPr>
        <w:pStyle w:val="BodyText"/>
        <w:rPr>
          <w:sz w:val="37"/>
        </w:rPr>
      </w:pPr>
    </w:p>
    <w:p>
      <w:pPr>
        <w:pStyle w:val="ListParagraph"/>
        <w:numPr>
          <w:ilvl w:val="0"/>
          <w:numId w:val="1"/>
        </w:numPr>
        <w:tabs>
          <w:tab w:pos="573" w:val="left" w:leader="none"/>
          <w:tab w:pos="574" w:val="left" w:leader="none"/>
        </w:tabs>
        <w:spacing w:line="372" w:lineRule="auto" w:before="1" w:after="0"/>
        <w:ind w:left="117" w:right="333" w:firstLine="0"/>
        <w:jc w:val="left"/>
        <w:rPr>
          <w:sz w:val="24"/>
        </w:rPr>
      </w:pPr>
      <w:r>
        <w:rPr>
          <w:sz w:val="24"/>
        </w:rPr>
        <w:t>It remained unclear, however, </w:t>
      </w:r>
      <w:r>
        <w:rPr>
          <w:spacing w:val="2"/>
          <w:sz w:val="24"/>
        </w:rPr>
        <w:t>to </w:t>
      </w:r>
      <w:r>
        <w:rPr>
          <w:sz w:val="24"/>
        </w:rPr>
        <w:t>what extent this reflected an increase in the tax base through higher</w:t>
      </w:r>
      <w:r>
        <w:rPr>
          <w:spacing w:val="-8"/>
          <w:sz w:val="24"/>
        </w:rPr>
        <w:t> </w:t>
      </w:r>
      <w:r>
        <w:rPr>
          <w:sz w:val="24"/>
        </w:rPr>
        <w:t>than</w:t>
      </w:r>
      <w:r>
        <w:rPr>
          <w:spacing w:val="-8"/>
          <w:sz w:val="24"/>
        </w:rPr>
        <w:t> </w:t>
      </w:r>
      <w:r>
        <w:rPr>
          <w:sz w:val="24"/>
        </w:rPr>
        <w:t>so</w:t>
      </w:r>
      <w:r>
        <w:rPr>
          <w:spacing w:val="-8"/>
          <w:sz w:val="24"/>
        </w:rPr>
        <w:t> </w:t>
      </w:r>
      <w:r>
        <w:rPr>
          <w:sz w:val="24"/>
        </w:rPr>
        <w:t>far</w:t>
      </w:r>
      <w:r>
        <w:rPr>
          <w:spacing w:val="-8"/>
          <w:sz w:val="24"/>
        </w:rPr>
        <w:t> </w:t>
      </w:r>
      <w:r>
        <w:rPr>
          <w:sz w:val="24"/>
        </w:rPr>
        <w:t>measured</w:t>
      </w:r>
      <w:r>
        <w:rPr>
          <w:spacing w:val="-8"/>
          <w:sz w:val="24"/>
        </w:rPr>
        <w:t> </w:t>
      </w:r>
      <w:r>
        <w:rPr>
          <w:sz w:val="24"/>
        </w:rPr>
        <w:t>activity,</w:t>
      </w:r>
      <w:r>
        <w:rPr>
          <w:spacing w:val="-7"/>
          <w:sz w:val="24"/>
        </w:rPr>
        <w:t> </w:t>
      </w:r>
      <w:r>
        <w:rPr>
          <w:sz w:val="24"/>
        </w:rPr>
        <w:t>and</w:t>
      </w:r>
      <w:r>
        <w:rPr>
          <w:spacing w:val="-8"/>
          <w:sz w:val="24"/>
        </w:rPr>
        <w:t> </w:t>
      </w:r>
      <w:r>
        <w:rPr>
          <w:spacing w:val="2"/>
          <w:sz w:val="24"/>
        </w:rPr>
        <w:t>to</w:t>
      </w:r>
      <w:r>
        <w:rPr>
          <w:spacing w:val="-4"/>
          <w:sz w:val="24"/>
        </w:rPr>
        <w:t> </w:t>
      </w:r>
      <w:r>
        <w:rPr>
          <w:sz w:val="24"/>
        </w:rPr>
        <w:t>what</w:t>
      </w:r>
      <w:r>
        <w:rPr>
          <w:spacing w:val="-4"/>
          <w:sz w:val="24"/>
        </w:rPr>
        <w:t> </w:t>
      </w:r>
      <w:r>
        <w:rPr>
          <w:sz w:val="24"/>
        </w:rPr>
        <w:t>extent</w:t>
      </w:r>
      <w:r>
        <w:rPr>
          <w:spacing w:val="-3"/>
          <w:sz w:val="24"/>
        </w:rPr>
        <w:t> </w:t>
      </w:r>
      <w:r>
        <w:rPr>
          <w:sz w:val="24"/>
        </w:rPr>
        <w:t>it</w:t>
      </w:r>
      <w:r>
        <w:rPr>
          <w:spacing w:val="-4"/>
          <w:sz w:val="24"/>
        </w:rPr>
        <w:t> </w:t>
      </w:r>
      <w:r>
        <w:rPr>
          <w:sz w:val="24"/>
        </w:rPr>
        <w:t>was</w:t>
      </w:r>
      <w:r>
        <w:rPr>
          <w:spacing w:val="-8"/>
          <w:sz w:val="24"/>
        </w:rPr>
        <w:t> </w:t>
      </w:r>
      <w:r>
        <w:rPr>
          <w:sz w:val="24"/>
        </w:rPr>
        <w:t>caused</w:t>
      </w:r>
      <w:r>
        <w:rPr>
          <w:spacing w:val="-7"/>
          <w:sz w:val="24"/>
        </w:rPr>
        <w:t> </w:t>
      </w:r>
      <w:r>
        <w:rPr>
          <w:sz w:val="24"/>
        </w:rPr>
        <w:t>by</w:t>
      </w:r>
      <w:r>
        <w:rPr>
          <w:spacing w:val="-8"/>
          <w:sz w:val="24"/>
        </w:rPr>
        <w:t> </w:t>
      </w:r>
      <w:r>
        <w:rPr>
          <w:sz w:val="24"/>
        </w:rPr>
        <w:t>a</w:t>
      </w:r>
      <w:r>
        <w:rPr>
          <w:spacing w:val="-8"/>
          <w:sz w:val="24"/>
        </w:rPr>
        <w:t> </w:t>
      </w:r>
      <w:r>
        <w:rPr>
          <w:sz w:val="24"/>
        </w:rPr>
        <w:t>higher</w:t>
      </w:r>
      <w:r>
        <w:rPr>
          <w:spacing w:val="-8"/>
          <w:sz w:val="24"/>
        </w:rPr>
        <w:t> </w:t>
      </w:r>
      <w:r>
        <w:rPr>
          <w:sz w:val="24"/>
        </w:rPr>
        <w:t>tax</w:t>
      </w:r>
      <w:r>
        <w:rPr>
          <w:spacing w:val="-8"/>
          <w:sz w:val="24"/>
        </w:rPr>
        <w:t> </w:t>
      </w:r>
      <w:r>
        <w:rPr>
          <w:sz w:val="24"/>
        </w:rPr>
        <w:t>yield</w:t>
      </w:r>
      <w:r>
        <w:rPr>
          <w:spacing w:val="-8"/>
          <w:sz w:val="24"/>
        </w:rPr>
        <w:t> </w:t>
      </w:r>
      <w:r>
        <w:rPr>
          <w:sz w:val="24"/>
        </w:rPr>
        <w:t>and</w:t>
      </w:r>
      <w:r>
        <w:rPr>
          <w:spacing w:val="-7"/>
          <w:sz w:val="24"/>
        </w:rPr>
        <w:t> </w:t>
      </w:r>
      <w:r>
        <w:rPr>
          <w:sz w:val="24"/>
        </w:rPr>
        <w:t>so</w:t>
      </w:r>
      <w:r>
        <w:rPr>
          <w:spacing w:val="-8"/>
          <w:sz w:val="24"/>
        </w:rPr>
        <w:t> </w:t>
      </w:r>
      <w:r>
        <w:rPr>
          <w:sz w:val="24"/>
        </w:rPr>
        <w:t>an effective fiscal</w:t>
      </w:r>
      <w:r>
        <w:rPr>
          <w:spacing w:val="2"/>
          <w:sz w:val="24"/>
        </w:rPr>
        <w:t> </w:t>
      </w:r>
      <w:r>
        <w:rPr>
          <w:sz w:val="24"/>
        </w:rPr>
        <w:t>tightening.</w:t>
      </w:r>
    </w:p>
    <w:p>
      <w:pPr>
        <w:spacing w:after="0" w:line="372" w:lineRule="auto"/>
        <w:jc w:val="left"/>
        <w:rPr>
          <w:sz w:val="24"/>
        </w:rPr>
        <w:sectPr>
          <w:pgSz w:w="11900" w:h="16840"/>
          <w:pgMar w:header="867" w:footer="0" w:top="1320" w:bottom="280" w:left="1020" w:right="880"/>
        </w:sectPr>
      </w:pPr>
    </w:p>
    <w:p>
      <w:pPr>
        <w:pStyle w:val="Heading1"/>
        <w:spacing w:before="84"/>
      </w:pPr>
      <w:r>
        <w:rPr/>
        <w:t>The May inflation forecast</w:t>
      </w:r>
    </w:p>
    <w:p>
      <w:pPr>
        <w:pStyle w:val="BodyText"/>
        <w:rPr>
          <w:b/>
          <w:sz w:val="26"/>
        </w:rPr>
      </w:pPr>
    </w:p>
    <w:p>
      <w:pPr>
        <w:pStyle w:val="BodyText"/>
        <w:spacing w:before="10"/>
        <w:rPr>
          <w:b/>
          <w:sz w:val="23"/>
        </w:rPr>
      </w:pPr>
    </w:p>
    <w:p>
      <w:pPr>
        <w:pStyle w:val="ListParagraph"/>
        <w:numPr>
          <w:ilvl w:val="0"/>
          <w:numId w:val="1"/>
        </w:numPr>
        <w:tabs>
          <w:tab w:pos="573" w:val="left" w:leader="none"/>
          <w:tab w:pos="574" w:val="left" w:leader="none"/>
        </w:tabs>
        <w:spacing w:line="372" w:lineRule="auto" w:before="0" w:after="0"/>
        <w:ind w:left="117" w:right="229" w:firstLine="0"/>
        <w:jc w:val="left"/>
        <w:rPr>
          <w:sz w:val="24"/>
        </w:rPr>
      </w:pPr>
      <w:r>
        <w:rPr>
          <w:sz w:val="24"/>
        </w:rPr>
        <w:t>The</w:t>
      </w:r>
      <w:r>
        <w:rPr>
          <w:spacing w:val="-10"/>
          <w:sz w:val="24"/>
        </w:rPr>
        <w:t> </w:t>
      </w:r>
      <w:r>
        <w:rPr>
          <w:sz w:val="24"/>
        </w:rPr>
        <w:t>Committee</w:t>
      </w:r>
      <w:r>
        <w:rPr>
          <w:spacing w:val="-11"/>
          <w:sz w:val="24"/>
        </w:rPr>
        <w:t> </w:t>
      </w:r>
      <w:r>
        <w:rPr>
          <w:sz w:val="24"/>
        </w:rPr>
        <w:t>reviewed</w:t>
      </w:r>
      <w:r>
        <w:rPr>
          <w:spacing w:val="-10"/>
          <w:sz w:val="24"/>
        </w:rPr>
        <w:t> </w:t>
      </w:r>
      <w:r>
        <w:rPr>
          <w:sz w:val="24"/>
        </w:rPr>
        <w:t>and</w:t>
      </w:r>
      <w:r>
        <w:rPr>
          <w:spacing w:val="-11"/>
          <w:sz w:val="24"/>
        </w:rPr>
        <w:t> </w:t>
      </w:r>
      <w:r>
        <w:rPr>
          <w:sz w:val="24"/>
        </w:rPr>
        <w:t>agreed</w:t>
      </w:r>
      <w:r>
        <w:rPr>
          <w:spacing w:val="-11"/>
          <w:sz w:val="24"/>
        </w:rPr>
        <w:t> </w:t>
      </w:r>
      <w:r>
        <w:rPr>
          <w:sz w:val="24"/>
        </w:rPr>
        <w:t>the</w:t>
      </w:r>
      <w:r>
        <w:rPr>
          <w:spacing w:val="-11"/>
          <w:sz w:val="24"/>
        </w:rPr>
        <w:t> </w:t>
      </w:r>
      <w:r>
        <w:rPr>
          <w:sz w:val="24"/>
        </w:rPr>
        <w:t>inflation</w:t>
      </w:r>
      <w:r>
        <w:rPr>
          <w:spacing w:val="-11"/>
          <w:sz w:val="24"/>
        </w:rPr>
        <w:t> </w:t>
      </w:r>
      <w:r>
        <w:rPr>
          <w:sz w:val="24"/>
        </w:rPr>
        <w:t>forecast</w:t>
      </w:r>
      <w:r>
        <w:rPr>
          <w:spacing w:val="-7"/>
          <w:sz w:val="24"/>
        </w:rPr>
        <w:t> </w:t>
      </w:r>
      <w:r>
        <w:rPr>
          <w:spacing w:val="2"/>
          <w:sz w:val="24"/>
        </w:rPr>
        <w:t>to</w:t>
      </w:r>
      <w:r>
        <w:rPr>
          <w:spacing w:val="-7"/>
          <w:sz w:val="24"/>
        </w:rPr>
        <w:t> </w:t>
      </w:r>
      <w:r>
        <w:rPr>
          <w:sz w:val="24"/>
        </w:rPr>
        <w:t>be</w:t>
      </w:r>
      <w:r>
        <w:rPr>
          <w:spacing w:val="-11"/>
          <w:sz w:val="24"/>
        </w:rPr>
        <w:t> </w:t>
      </w:r>
      <w:r>
        <w:rPr>
          <w:sz w:val="24"/>
        </w:rPr>
        <w:t>published</w:t>
      </w:r>
      <w:r>
        <w:rPr>
          <w:spacing w:val="-11"/>
          <w:sz w:val="24"/>
        </w:rPr>
        <w:t> </w:t>
      </w:r>
      <w:r>
        <w:rPr>
          <w:sz w:val="24"/>
        </w:rPr>
        <w:t>in</w:t>
      </w:r>
      <w:r>
        <w:rPr>
          <w:spacing w:val="-12"/>
          <w:sz w:val="24"/>
        </w:rPr>
        <w:t> </w:t>
      </w:r>
      <w:r>
        <w:rPr>
          <w:sz w:val="24"/>
        </w:rPr>
        <w:t>the</w:t>
      </w:r>
      <w:r>
        <w:rPr>
          <w:spacing w:val="-11"/>
          <w:sz w:val="24"/>
        </w:rPr>
        <w:t> </w:t>
      </w:r>
      <w:r>
        <w:rPr>
          <w:sz w:val="24"/>
        </w:rPr>
        <w:t>Inflation</w:t>
      </w:r>
      <w:r>
        <w:rPr>
          <w:spacing w:val="-9"/>
          <w:sz w:val="24"/>
        </w:rPr>
        <w:t> </w:t>
      </w:r>
      <w:r>
        <w:rPr>
          <w:sz w:val="24"/>
        </w:rPr>
        <w:t>Report on Wednesday 13</w:t>
      </w:r>
      <w:r>
        <w:rPr>
          <w:spacing w:val="10"/>
          <w:sz w:val="24"/>
        </w:rPr>
        <w:t> </w:t>
      </w:r>
      <w:r>
        <w:rPr>
          <w:sz w:val="24"/>
        </w:rPr>
        <w:t>May.</w:t>
      </w:r>
    </w:p>
    <w:p>
      <w:pPr>
        <w:pStyle w:val="BodyText"/>
        <w:spacing w:before="1"/>
        <w:rPr>
          <w:sz w:val="37"/>
        </w:rPr>
      </w:pPr>
    </w:p>
    <w:p>
      <w:pPr>
        <w:pStyle w:val="ListParagraph"/>
        <w:numPr>
          <w:ilvl w:val="0"/>
          <w:numId w:val="1"/>
        </w:numPr>
        <w:tabs>
          <w:tab w:pos="573" w:val="left" w:leader="none"/>
          <w:tab w:pos="574" w:val="left" w:leader="none"/>
        </w:tabs>
        <w:spacing w:line="372" w:lineRule="auto" w:before="0" w:after="0"/>
        <w:ind w:left="117" w:right="168" w:firstLine="0"/>
        <w:jc w:val="left"/>
        <w:rPr>
          <w:sz w:val="24"/>
        </w:rPr>
      </w:pPr>
      <w:r>
        <w:rPr>
          <w:sz w:val="24"/>
        </w:rPr>
        <w:t>The main changes </w:t>
      </w:r>
      <w:r>
        <w:rPr>
          <w:spacing w:val="2"/>
          <w:sz w:val="24"/>
        </w:rPr>
        <w:t>to </w:t>
      </w:r>
      <w:r>
        <w:rPr>
          <w:sz w:val="24"/>
        </w:rPr>
        <w:t>the central projection since the February forecast were fourfold. First, the level of GDP was about half a percentage point lower throughout the forecast period. This reflected</w:t>
      </w:r>
      <w:r>
        <w:rPr>
          <w:spacing w:val="-27"/>
          <w:sz w:val="24"/>
        </w:rPr>
        <w:t> </w:t>
      </w:r>
      <w:r>
        <w:rPr>
          <w:sz w:val="24"/>
        </w:rPr>
        <w:t>a lower starting point due </w:t>
      </w:r>
      <w:r>
        <w:rPr>
          <w:spacing w:val="2"/>
          <w:sz w:val="24"/>
        </w:rPr>
        <w:t>to </w:t>
      </w:r>
      <w:r>
        <w:rPr>
          <w:sz w:val="24"/>
        </w:rPr>
        <w:t>the -0.2% revision </w:t>
      </w:r>
      <w:r>
        <w:rPr>
          <w:spacing w:val="2"/>
          <w:sz w:val="24"/>
        </w:rPr>
        <w:t>to </w:t>
      </w:r>
      <w:r>
        <w:rPr>
          <w:sz w:val="24"/>
        </w:rPr>
        <w:t>the estimated Q4 1997 level and </w:t>
      </w:r>
      <w:r>
        <w:rPr>
          <w:spacing w:val="2"/>
          <w:sz w:val="24"/>
        </w:rPr>
        <w:t>to </w:t>
      </w:r>
      <w:r>
        <w:rPr>
          <w:sz w:val="24"/>
        </w:rPr>
        <w:t>lower than expected estimated growth in Q1; and weaker net trade and investment growth than assumed in February.</w:t>
      </w:r>
      <w:r>
        <w:rPr>
          <w:spacing w:val="43"/>
          <w:sz w:val="24"/>
        </w:rPr>
        <w:t> </w:t>
      </w:r>
      <w:r>
        <w:rPr>
          <w:sz w:val="24"/>
        </w:rPr>
        <w:t>This</w:t>
      </w:r>
      <w:r>
        <w:rPr>
          <w:spacing w:val="-6"/>
          <w:sz w:val="24"/>
        </w:rPr>
        <w:t> </w:t>
      </w:r>
      <w:r>
        <w:rPr>
          <w:sz w:val="24"/>
        </w:rPr>
        <w:t>meant</w:t>
      </w:r>
      <w:r>
        <w:rPr>
          <w:spacing w:val="-4"/>
          <w:sz w:val="24"/>
        </w:rPr>
        <w:t> </w:t>
      </w:r>
      <w:r>
        <w:rPr>
          <w:sz w:val="24"/>
        </w:rPr>
        <w:t>that</w:t>
      </w:r>
      <w:r>
        <w:rPr>
          <w:spacing w:val="-4"/>
          <w:sz w:val="24"/>
        </w:rPr>
        <w:t> </w:t>
      </w:r>
      <w:r>
        <w:rPr>
          <w:sz w:val="24"/>
        </w:rPr>
        <w:t>forecast</w:t>
      </w:r>
      <w:r>
        <w:rPr>
          <w:spacing w:val="-4"/>
          <w:sz w:val="24"/>
        </w:rPr>
        <w:t> </w:t>
      </w:r>
      <w:r>
        <w:rPr>
          <w:sz w:val="24"/>
        </w:rPr>
        <w:t>pressures</w:t>
      </w:r>
      <w:r>
        <w:rPr>
          <w:spacing w:val="-9"/>
          <w:sz w:val="24"/>
        </w:rPr>
        <w:t> </w:t>
      </w:r>
      <w:r>
        <w:rPr>
          <w:sz w:val="24"/>
        </w:rPr>
        <w:t>on</w:t>
      </w:r>
      <w:r>
        <w:rPr>
          <w:spacing w:val="-3"/>
          <w:sz w:val="24"/>
        </w:rPr>
        <w:t> </w:t>
      </w:r>
      <w:r>
        <w:rPr>
          <w:sz w:val="24"/>
        </w:rPr>
        <w:t>capacity,</w:t>
      </w:r>
      <w:r>
        <w:rPr>
          <w:spacing w:val="-9"/>
          <w:sz w:val="24"/>
        </w:rPr>
        <w:t> </w:t>
      </w:r>
      <w:r>
        <w:rPr>
          <w:sz w:val="24"/>
        </w:rPr>
        <w:t>and</w:t>
      </w:r>
      <w:r>
        <w:rPr>
          <w:spacing w:val="-8"/>
          <w:sz w:val="24"/>
        </w:rPr>
        <w:t> </w:t>
      </w:r>
      <w:r>
        <w:rPr>
          <w:sz w:val="24"/>
        </w:rPr>
        <w:t>so</w:t>
      </w:r>
      <w:r>
        <w:rPr>
          <w:spacing w:val="-8"/>
          <w:sz w:val="24"/>
        </w:rPr>
        <w:t> </w:t>
      </w:r>
      <w:r>
        <w:rPr>
          <w:sz w:val="24"/>
        </w:rPr>
        <w:t>on</w:t>
      </w:r>
      <w:r>
        <w:rPr>
          <w:spacing w:val="-4"/>
          <w:sz w:val="24"/>
        </w:rPr>
        <w:t> </w:t>
      </w:r>
      <w:r>
        <w:rPr>
          <w:sz w:val="24"/>
        </w:rPr>
        <w:t>inflation,</w:t>
      </w:r>
      <w:r>
        <w:rPr>
          <w:spacing w:val="-8"/>
          <w:sz w:val="24"/>
        </w:rPr>
        <w:t> </w:t>
      </w:r>
      <w:r>
        <w:rPr>
          <w:sz w:val="24"/>
        </w:rPr>
        <w:t>were</w:t>
      </w:r>
      <w:r>
        <w:rPr>
          <w:spacing w:val="-8"/>
          <w:sz w:val="24"/>
        </w:rPr>
        <w:t> </w:t>
      </w:r>
      <w:r>
        <w:rPr>
          <w:sz w:val="24"/>
        </w:rPr>
        <w:t>less</w:t>
      </w:r>
      <w:r>
        <w:rPr>
          <w:spacing w:val="-9"/>
          <w:sz w:val="24"/>
        </w:rPr>
        <w:t> </w:t>
      </w:r>
      <w:r>
        <w:rPr>
          <w:sz w:val="24"/>
        </w:rPr>
        <w:t>than</w:t>
      </w:r>
      <w:r>
        <w:rPr>
          <w:spacing w:val="-8"/>
          <w:sz w:val="24"/>
        </w:rPr>
        <w:t> </w:t>
      </w:r>
      <w:r>
        <w:rPr>
          <w:sz w:val="24"/>
        </w:rPr>
        <w:t>expected in</w:t>
      </w:r>
      <w:r>
        <w:rPr>
          <w:spacing w:val="1"/>
          <w:sz w:val="24"/>
        </w:rPr>
        <w:t> </w:t>
      </w:r>
      <w:r>
        <w:rPr>
          <w:sz w:val="24"/>
        </w:rPr>
        <w:t>February.</w:t>
      </w:r>
    </w:p>
    <w:p>
      <w:pPr>
        <w:pStyle w:val="BodyText"/>
        <w:spacing w:before="10"/>
        <w:rPr>
          <w:sz w:val="36"/>
        </w:rPr>
      </w:pPr>
    </w:p>
    <w:p>
      <w:pPr>
        <w:pStyle w:val="ListParagraph"/>
        <w:numPr>
          <w:ilvl w:val="0"/>
          <w:numId w:val="1"/>
        </w:numPr>
        <w:tabs>
          <w:tab w:pos="573" w:val="left" w:leader="none"/>
          <w:tab w:pos="574" w:val="left" w:leader="none"/>
        </w:tabs>
        <w:spacing w:line="372" w:lineRule="auto" w:before="0" w:after="0"/>
        <w:ind w:left="117" w:right="582" w:firstLine="0"/>
        <w:jc w:val="left"/>
        <w:rPr>
          <w:sz w:val="24"/>
        </w:rPr>
      </w:pPr>
      <w:r>
        <w:rPr>
          <w:sz w:val="24"/>
        </w:rPr>
        <w:t>Secondly,</w:t>
      </w:r>
      <w:r>
        <w:rPr>
          <w:spacing w:val="-15"/>
          <w:sz w:val="24"/>
        </w:rPr>
        <w:t> </w:t>
      </w:r>
      <w:r>
        <w:rPr>
          <w:sz w:val="24"/>
        </w:rPr>
        <w:t>inflation</w:t>
      </w:r>
      <w:r>
        <w:rPr>
          <w:spacing w:val="-14"/>
          <w:sz w:val="24"/>
        </w:rPr>
        <w:t> </w:t>
      </w:r>
      <w:r>
        <w:rPr>
          <w:sz w:val="24"/>
        </w:rPr>
        <w:t>expectations,</w:t>
      </w:r>
      <w:r>
        <w:rPr>
          <w:spacing w:val="-15"/>
          <w:sz w:val="24"/>
        </w:rPr>
        <w:t> </w:t>
      </w:r>
      <w:r>
        <w:rPr>
          <w:sz w:val="24"/>
        </w:rPr>
        <w:t>which</w:t>
      </w:r>
      <w:r>
        <w:rPr>
          <w:spacing w:val="-15"/>
          <w:sz w:val="24"/>
        </w:rPr>
        <w:t> </w:t>
      </w:r>
      <w:r>
        <w:rPr>
          <w:sz w:val="24"/>
        </w:rPr>
        <w:t>fed</w:t>
      </w:r>
      <w:r>
        <w:rPr>
          <w:spacing w:val="-15"/>
          <w:sz w:val="24"/>
        </w:rPr>
        <w:t> </w:t>
      </w:r>
      <w:r>
        <w:rPr>
          <w:sz w:val="24"/>
        </w:rPr>
        <w:t>into</w:t>
      </w:r>
      <w:r>
        <w:rPr>
          <w:spacing w:val="-11"/>
          <w:sz w:val="24"/>
        </w:rPr>
        <w:t> </w:t>
      </w:r>
      <w:r>
        <w:rPr>
          <w:sz w:val="24"/>
        </w:rPr>
        <w:t>nominal</w:t>
      </w:r>
      <w:r>
        <w:rPr>
          <w:spacing w:val="-14"/>
          <w:sz w:val="24"/>
        </w:rPr>
        <w:t> </w:t>
      </w:r>
      <w:r>
        <w:rPr>
          <w:sz w:val="24"/>
        </w:rPr>
        <w:t>earnings</w:t>
      </w:r>
      <w:r>
        <w:rPr>
          <w:spacing w:val="-15"/>
          <w:sz w:val="24"/>
        </w:rPr>
        <w:t> </w:t>
      </w:r>
      <w:r>
        <w:rPr>
          <w:sz w:val="24"/>
        </w:rPr>
        <w:t>growth,</w:t>
      </w:r>
      <w:r>
        <w:rPr>
          <w:spacing w:val="-15"/>
          <w:sz w:val="24"/>
        </w:rPr>
        <w:t> </w:t>
      </w:r>
      <w:r>
        <w:rPr>
          <w:sz w:val="24"/>
        </w:rPr>
        <w:t>were</w:t>
      </w:r>
      <w:r>
        <w:rPr>
          <w:spacing w:val="-15"/>
          <w:sz w:val="24"/>
        </w:rPr>
        <w:t> </w:t>
      </w:r>
      <w:r>
        <w:rPr>
          <w:sz w:val="24"/>
        </w:rPr>
        <w:t>forecast</w:t>
      </w:r>
      <w:r>
        <w:rPr>
          <w:spacing w:val="-11"/>
          <w:sz w:val="24"/>
        </w:rPr>
        <w:t> </w:t>
      </w:r>
      <w:r>
        <w:rPr>
          <w:spacing w:val="2"/>
          <w:sz w:val="24"/>
        </w:rPr>
        <w:t>to</w:t>
      </w:r>
      <w:r>
        <w:rPr>
          <w:spacing w:val="-11"/>
          <w:sz w:val="24"/>
        </w:rPr>
        <w:t> </w:t>
      </w:r>
      <w:r>
        <w:rPr>
          <w:sz w:val="24"/>
        </w:rPr>
        <w:t>be slightly lower than in February. This was in line with the recent evidence that most measures of inflation expectations had been edging</w:t>
      </w:r>
      <w:r>
        <w:rPr>
          <w:spacing w:val="4"/>
          <w:sz w:val="24"/>
        </w:rPr>
        <w:t> </w:t>
      </w:r>
      <w:r>
        <w:rPr>
          <w:sz w:val="24"/>
        </w:rPr>
        <w:t>down.</w:t>
      </w:r>
    </w:p>
    <w:p>
      <w:pPr>
        <w:pStyle w:val="BodyText"/>
        <w:rPr>
          <w:sz w:val="37"/>
        </w:rPr>
      </w:pPr>
    </w:p>
    <w:p>
      <w:pPr>
        <w:pStyle w:val="ListParagraph"/>
        <w:numPr>
          <w:ilvl w:val="0"/>
          <w:numId w:val="1"/>
        </w:numPr>
        <w:tabs>
          <w:tab w:pos="573" w:val="left" w:leader="none"/>
          <w:tab w:pos="574" w:val="left" w:leader="none"/>
        </w:tabs>
        <w:spacing w:line="372" w:lineRule="auto" w:before="0" w:after="0"/>
        <w:ind w:left="117" w:right="186" w:firstLine="0"/>
        <w:jc w:val="left"/>
        <w:rPr>
          <w:sz w:val="24"/>
        </w:rPr>
      </w:pPr>
      <w:r>
        <w:rPr>
          <w:sz w:val="24"/>
        </w:rPr>
        <w:t>Third, </w:t>
      </w:r>
      <w:r>
        <w:rPr>
          <w:spacing w:val="-4"/>
          <w:sz w:val="24"/>
        </w:rPr>
        <w:t>February’s </w:t>
      </w:r>
      <w:r>
        <w:rPr>
          <w:sz w:val="24"/>
        </w:rPr>
        <w:t>forecast had used the broad non-employment rate as the measure of labour market</w:t>
      </w:r>
      <w:r>
        <w:rPr>
          <w:spacing w:val="-4"/>
          <w:sz w:val="24"/>
        </w:rPr>
        <w:t> </w:t>
      </w:r>
      <w:r>
        <w:rPr>
          <w:sz w:val="24"/>
        </w:rPr>
        <w:t>tightness</w:t>
      </w:r>
      <w:r>
        <w:rPr>
          <w:spacing w:val="-8"/>
          <w:sz w:val="24"/>
        </w:rPr>
        <w:t> </w:t>
      </w:r>
      <w:r>
        <w:rPr>
          <w:sz w:val="24"/>
        </w:rPr>
        <w:t>in</w:t>
      </w:r>
      <w:r>
        <w:rPr>
          <w:spacing w:val="-8"/>
          <w:sz w:val="24"/>
        </w:rPr>
        <w:t> </w:t>
      </w:r>
      <w:r>
        <w:rPr>
          <w:sz w:val="24"/>
        </w:rPr>
        <w:t>the</w:t>
      </w:r>
      <w:r>
        <w:rPr>
          <w:spacing w:val="-8"/>
          <w:sz w:val="24"/>
        </w:rPr>
        <w:t> </w:t>
      </w:r>
      <w:r>
        <w:rPr>
          <w:sz w:val="24"/>
        </w:rPr>
        <w:t>central</w:t>
      </w:r>
      <w:r>
        <w:rPr>
          <w:spacing w:val="-8"/>
          <w:sz w:val="24"/>
        </w:rPr>
        <w:t> </w:t>
      </w:r>
      <w:r>
        <w:rPr>
          <w:sz w:val="24"/>
        </w:rPr>
        <w:t>projection,</w:t>
      </w:r>
      <w:r>
        <w:rPr>
          <w:spacing w:val="-7"/>
          <w:sz w:val="24"/>
        </w:rPr>
        <w:t> </w:t>
      </w:r>
      <w:r>
        <w:rPr>
          <w:sz w:val="24"/>
        </w:rPr>
        <w:t>but</w:t>
      </w:r>
      <w:r>
        <w:rPr>
          <w:spacing w:val="-4"/>
          <w:sz w:val="24"/>
        </w:rPr>
        <w:t> </w:t>
      </w:r>
      <w:r>
        <w:rPr>
          <w:sz w:val="24"/>
        </w:rPr>
        <w:t>added</w:t>
      </w:r>
      <w:r>
        <w:rPr>
          <w:spacing w:val="-8"/>
          <w:sz w:val="24"/>
        </w:rPr>
        <w:t> </w:t>
      </w:r>
      <w:r>
        <w:rPr>
          <w:sz w:val="24"/>
        </w:rPr>
        <w:t>an</w:t>
      </w:r>
      <w:r>
        <w:rPr>
          <w:spacing w:val="-8"/>
          <w:sz w:val="24"/>
        </w:rPr>
        <w:t> </w:t>
      </w:r>
      <w:r>
        <w:rPr>
          <w:sz w:val="24"/>
        </w:rPr>
        <w:t>upwards</w:t>
      </w:r>
      <w:r>
        <w:rPr>
          <w:spacing w:val="-8"/>
          <w:sz w:val="24"/>
        </w:rPr>
        <w:t> </w:t>
      </w:r>
      <w:r>
        <w:rPr>
          <w:sz w:val="24"/>
        </w:rPr>
        <w:t>skew</w:t>
      </w:r>
      <w:r>
        <w:rPr>
          <w:spacing w:val="-7"/>
          <w:sz w:val="24"/>
        </w:rPr>
        <w:t> </w:t>
      </w:r>
      <w:r>
        <w:rPr>
          <w:spacing w:val="2"/>
          <w:sz w:val="24"/>
        </w:rPr>
        <w:t>to</w:t>
      </w:r>
      <w:r>
        <w:rPr>
          <w:spacing w:val="-4"/>
          <w:sz w:val="24"/>
        </w:rPr>
        <w:t> </w:t>
      </w:r>
      <w:r>
        <w:rPr>
          <w:sz w:val="24"/>
        </w:rPr>
        <w:t>earnings</w:t>
      </w:r>
      <w:r>
        <w:rPr>
          <w:spacing w:val="-8"/>
          <w:sz w:val="24"/>
        </w:rPr>
        <w:t> </w:t>
      </w:r>
      <w:r>
        <w:rPr>
          <w:sz w:val="24"/>
        </w:rPr>
        <w:t>growth</w:t>
      </w:r>
      <w:r>
        <w:rPr>
          <w:spacing w:val="-8"/>
          <w:sz w:val="24"/>
        </w:rPr>
        <w:t> </w:t>
      </w:r>
      <w:r>
        <w:rPr>
          <w:sz w:val="24"/>
        </w:rPr>
        <w:t>by</w:t>
      </w:r>
      <w:r>
        <w:rPr>
          <w:spacing w:val="-8"/>
          <w:sz w:val="24"/>
        </w:rPr>
        <w:t> </w:t>
      </w:r>
      <w:r>
        <w:rPr>
          <w:sz w:val="24"/>
        </w:rPr>
        <w:t>using</w:t>
      </w:r>
      <w:r>
        <w:rPr>
          <w:spacing w:val="-8"/>
          <w:sz w:val="24"/>
        </w:rPr>
        <w:t> </w:t>
      </w:r>
      <w:r>
        <w:rPr>
          <w:sz w:val="24"/>
        </w:rPr>
        <w:t>the LFS measure of unemployment in assessing the risks. The Committee decided that the LFS measure should be used in the central projection rather than in the skew. The May central projection therefore assumed a tighter labour market at the starting point and a further rise in earnings growth. The change added </w:t>
      </w:r>
      <w:r>
        <w:rPr>
          <w:spacing w:val="2"/>
          <w:sz w:val="24"/>
        </w:rPr>
        <w:t>to </w:t>
      </w:r>
      <w:r>
        <w:rPr>
          <w:sz w:val="24"/>
        </w:rPr>
        <w:t>inflationary pressure in the central projection, but reduced the upward</w:t>
      </w:r>
      <w:r>
        <w:rPr>
          <w:spacing w:val="-32"/>
          <w:sz w:val="24"/>
        </w:rPr>
        <w:t> </w:t>
      </w:r>
      <w:r>
        <w:rPr>
          <w:sz w:val="24"/>
        </w:rPr>
        <w:t>skew.</w:t>
      </w:r>
    </w:p>
    <w:p>
      <w:pPr>
        <w:pStyle w:val="BodyText"/>
        <w:spacing w:before="10"/>
        <w:rPr>
          <w:sz w:val="36"/>
        </w:rPr>
      </w:pPr>
    </w:p>
    <w:p>
      <w:pPr>
        <w:pStyle w:val="ListParagraph"/>
        <w:numPr>
          <w:ilvl w:val="0"/>
          <w:numId w:val="1"/>
        </w:numPr>
        <w:tabs>
          <w:tab w:pos="573" w:val="left" w:leader="none"/>
          <w:tab w:pos="574" w:val="left" w:leader="none"/>
        </w:tabs>
        <w:spacing w:line="372" w:lineRule="auto" w:before="0" w:after="0"/>
        <w:ind w:left="117" w:right="238" w:firstLine="0"/>
        <w:jc w:val="left"/>
        <w:rPr>
          <w:sz w:val="24"/>
        </w:rPr>
      </w:pPr>
      <w:r>
        <w:rPr>
          <w:sz w:val="24"/>
        </w:rPr>
        <w:t>Finally,</w:t>
      </w:r>
      <w:r>
        <w:rPr>
          <w:spacing w:val="-10"/>
          <w:sz w:val="24"/>
        </w:rPr>
        <w:t> </w:t>
      </w:r>
      <w:r>
        <w:rPr>
          <w:sz w:val="24"/>
        </w:rPr>
        <w:t>the</w:t>
      </w:r>
      <w:r>
        <w:rPr>
          <w:spacing w:val="-9"/>
          <w:sz w:val="24"/>
        </w:rPr>
        <w:t> </w:t>
      </w:r>
      <w:r>
        <w:rPr>
          <w:sz w:val="24"/>
        </w:rPr>
        <w:t>May</w:t>
      </w:r>
      <w:r>
        <w:rPr>
          <w:spacing w:val="-9"/>
          <w:sz w:val="24"/>
        </w:rPr>
        <w:t> </w:t>
      </w:r>
      <w:r>
        <w:rPr>
          <w:sz w:val="24"/>
        </w:rPr>
        <w:t>forecast</w:t>
      </w:r>
      <w:r>
        <w:rPr>
          <w:spacing w:val="-5"/>
          <w:sz w:val="24"/>
        </w:rPr>
        <w:t> </w:t>
      </w:r>
      <w:r>
        <w:rPr>
          <w:sz w:val="24"/>
        </w:rPr>
        <w:t>was</w:t>
      </w:r>
      <w:r>
        <w:rPr>
          <w:spacing w:val="-10"/>
          <w:sz w:val="24"/>
        </w:rPr>
        <w:t> </w:t>
      </w:r>
      <w:r>
        <w:rPr>
          <w:sz w:val="24"/>
        </w:rPr>
        <w:t>based</w:t>
      </w:r>
      <w:r>
        <w:rPr>
          <w:spacing w:val="-9"/>
          <w:sz w:val="24"/>
        </w:rPr>
        <w:t> </w:t>
      </w:r>
      <w:r>
        <w:rPr>
          <w:sz w:val="24"/>
        </w:rPr>
        <w:t>on</w:t>
      </w:r>
      <w:r>
        <w:rPr>
          <w:spacing w:val="-5"/>
          <w:sz w:val="24"/>
        </w:rPr>
        <w:t> </w:t>
      </w:r>
      <w:r>
        <w:rPr>
          <w:sz w:val="24"/>
        </w:rPr>
        <w:t>a</w:t>
      </w:r>
      <w:r>
        <w:rPr>
          <w:spacing w:val="-9"/>
          <w:sz w:val="24"/>
        </w:rPr>
        <w:t> </w:t>
      </w:r>
      <w:r>
        <w:rPr>
          <w:sz w:val="24"/>
        </w:rPr>
        <w:t>higher</w:t>
      </w:r>
      <w:r>
        <w:rPr>
          <w:spacing w:val="-10"/>
          <w:sz w:val="24"/>
        </w:rPr>
        <w:t> </w:t>
      </w:r>
      <w:r>
        <w:rPr>
          <w:sz w:val="24"/>
        </w:rPr>
        <w:t>starting</w:t>
      </w:r>
      <w:r>
        <w:rPr>
          <w:spacing w:val="-9"/>
          <w:sz w:val="24"/>
        </w:rPr>
        <w:t> </w:t>
      </w:r>
      <w:r>
        <w:rPr>
          <w:sz w:val="24"/>
        </w:rPr>
        <w:t>point</w:t>
      </w:r>
      <w:r>
        <w:rPr>
          <w:spacing w:val="-5"/>
          <w:sz w:val="24"/>
        </w:rPr>
        <w:t> </w:t>
      </w:r>
      <w:r>
        <w:rPr>
          <w:sz w:val="24"/>
        </w:rPr>
        <w:t>for</w:t>
      </w:r>
      <w:r>
        <w:rPr>
          <w:spacing w:val="-9"/>
          <w:sz w:val="24"/>
        </w:rPr>
        <w:t> </w:t>
      </w:r>
      <w:r>
        <w:rPr>
          <w:sz w:val="24"/>
        </w:rPr>
        <w:t>the</w:t>
      </w:r>
      <w:r>
        <w:rPr>
          <w:spacing w:val="-9"/>
          <w:sz w:val="24"/>
        </w:rPr>
        <w:t> </w:t>
      </w:r>
      <w:r>
        <w:rPr>
          <w:sz w:val="24"/>
        </w:rPr>
        <w:t>sterling</w:t>
      </w:r>
      <w:r>
        <w:rPr>
          <w:spacing w:val="-10"/>
          <w:sz w:val="24"/>
        </w:rPr>
        <w:t> </w:t>
      </w:r>
      <w:r>
        <w:rPr>
          <w:sz w:val="24"/>
        </w:rPr>
        <w:t>exchange</w:t>
      </w:r>
      <w:r>
        <w:rPr>
          <w:spacing w:val="-9"/>
          <w:sz w:val="24"/>
        </w:rPr>
        <w:t> </w:t>
      </w:r>
      <w:r>
        <w:rPr>
          <w:sz w:val="24"/>
        </w:rPr>
        <w:t>rate</w:t>
      </w:r>
      <w:r>
        <w:rPr>
          <w:spacing w:val="43"/>
          <w:sz w:val="24"/>
        </w:rPr>
        <w:t> </w:t>
      </w:r>
      <w:r>
        <w:rPr>
          <w:sz w:val="24"/>
        </w:rPr>
        <w:t>than in February. This reflected the </w:t>
      </w:r>
      <w:r>
        <w:rPr>
          <w:spacing w:val="-3"/>
          <w:sz w:val="24"/>
        </w:rPr>
        <w:t>Committee’s </w:t>
      </w:r>
      <w:r>
        <w:rPr>
          <w:sz w:val="24"/>
        </w:rPr>
        <w:t>practice of using the 15 day average of the Sterling ERI as the starting point; it had risen from 104 </w:t>
      </w:r>
      <w:r>
        <w:rPr>
          <w:spacing w:val="2"/>
          <w:sz w:val="24"/>
        </w:rPr>
        <w:t>to </w:t>
      </w:r>
      <w:r>
        <w:rPr>
          <w:sz w:val="24"/>
        </w:rPr>
        <w:t>106.2 since</w:t>
      </w:r>
      <w:r>
        <w:rPr>
          <w:spacing w:val="12"/>
          <w:sz w:val="24"/>
        </w:rPr>
        <w:t> </w:t>
      </w:r>
      <w:r>
        <w:rPr>
          <w:sz w:val="24"/>
        </w:rPr>
        <w:t>February.</w:t>
      </w:r>
    </w:p>
    <w:p>
      <w:pPr>
        <w:pStyle w:val="BodyText"/>
        <w:rPr>
          <w:sz w:val="37"/>
        </w:rPr>
      </w:pPr>
    </w:p>
    <w:p>
      <w:pPr>
        <w:pStyle w:val="ListParagraph"/>
        <w:numPr>
          <w:ilvl w:val="0"/>
          <w:numId w:val="1"/>
        </w:numPr>
        <w:tabs>
          <w:tab w:pos="573" w:val="left" w:leader="none"/>
          <w:tab w:pos="574" w:val="left" w:leader="none"/>
        </w:tabs>
        <w:spacing w:line="372" w:lineRule="auto" w:before="0" w:after="0"/>
        <w:ind w:left="117" w:right="386" w:firstLine="0"/>
        <w:jc w:val="left"/>
        <w:rPr>
          <w:sz w:val="24"/>
        </w:rPr>
      </w:pPr>
      <w:r>
        <w:rPr>
          <w:sz w:val="24"/>
        </w:rPr>
        <w:t>The Committee decided not </w:t>
      </w:r>
      <w:r>
        <w:rPr>
          <w:spacing w:val="2"/>
          <w:sz w:val="24"/>
        </w:rPr>
        <w:t>to </w:t>
      </w:r>
      <w:r>
        <w:rPr>
          <w:sz w:val="24"/>
        </w:rPr>
        <w:t>make any assumptions about the proposed minimum wage. It needed</w:t>
      </w:r>
      <w:r>
        <w:rPr>
          <w:spacing w:val="-11"/>
          <w:sz w:val="24"/>
        </w:rPr>
        <w:t> </w:t>
      </w:r>
      <w:r>
        <w:rPr>
          <w:spacing w:val="2"/>
          <w:sz w:val="24"/>
        </w:rPr>
        <w:t>to</w:t>
      </w:r>
      <w:r>
        <w:rPr>
          <w:spacing w:val="-6"/>
          <w:sz w:val="24"/>
        </w:rPr>
        <w:t> </w:t>
      </w:r>
      <w:r>
        <w:rPr>
          <w:sz w:val="24"/>
        </w:rPr>
        <w:t>know</w:t>
      </w:r>
      <w:r>
        <w:rPr>
          <w:spacing w:val="-10"/>
          <w:sz w:val="24"/>
        </w:rPr>
        <w:t> </w:t>
      </w:r>
      <w:r>
        <w:rPr>
          <w:sz w:val="24"/>
        </w:rPr>
        <w:t>the</w:t>
      </w:r>
      <w:r>
        <w:rPr>
          <w:spacing w:val="-10"/>
          <w:sz w:val="24"/>
        </w:rPr>
        <w:t> </w:t>
      </w:r>
      <w:r>
        <w:rPr>
          <w:sz w:val="24"/>
        </w:rPr>
        <w:t>precise</w:t>
      </w:r>
      <w:r>
        <w:rPr>
          <w:spacing w:val="-11"/>
          <w:sz w:val="24"/>
        </w:rPr>
        <w:t> </w:t>
      </w:r>
      <w:r>
        <w:rPr>
          <w:sz w:val="24"/>
        </w:rPr>
        <w:t>terms</w:t>
      </w:r>
      <w:r>
        <w:rPr>
          <w:spacing w:val="-10"/>
          <w:sz w:val="24"/>
        </w:rPr>
        <w:t> </w:t>
      </w:r>
      <w:r>
        <w:rPr>
          <w:sz w:val="24"/>
        </w:rPr>
        <w:t>and</w:t>
      </w:r>
      <w:r>
        <w:rPr>
          <w:spacing w:val="-10"/>
          <w:sz w:val="24"/>
        </w:rPr>
        <w:t> </w:t>
      </w:r>
      <w:r>
        <w:rPr>
          <w:sz w:val="24"/>
        </w:rPr>
        <w:t>then</w:t>
      </w:r>
      <w:r>
        <w:rPr>
          <w:spacing w:val="-10"/>
          <w:sz w:val="24"/>
        </w:rPr>
        <w:t> </w:t>
      </w:r>
      <w:r>
        <w:rPr>
          <w:sz w:val="24"/>
        </w:rPr>
        <w:t>consider</w:t>
      </w:r>
      <w:r>
        <w:rPr>
          <w:spacing w:val="-11"/>
          <w:sz w:val="24"/>
        </w:rPr>
        <w:t> </w:t>
      </w:r>
      <w:r>
        <w:rPr>
          <w:sz w:val="24"/>
        </w:rPr>
        <w:t>the</w:t>
      </w:r>
      <w:r>
        <w:rPr>
          <w:spacing w:val="-10"/>
          <w:sz w:val="24"/>
        </w:rPr>
        <w:t> </w:t>
      </w:r>
      <w:r>
        <w:rPr>
          <w:sz w:val="24"/>
        </w:rPr>
        <w:t>minimum</w:t>
      </w:r>
      <w:r>
        <w:rPr>
          <w:spacing w:val="-10"/>
          <w:sz w:val="24"/>
        </w:rPr>
        <w:t> </w:t>
      </w:r>
      <w:r>
        <w:rPr>
          <w:sz w:val="24"/>
        </w:rPr>
        <w:t>wage</w:t>
      </w:r>
      <w:r>
        <w:rPr>
          <w:spacing w:val="-10"/>
          <w:sz w:val="24"/>
        </w:rPr>
        <w:t> </w:t>
      </w:r>
      <w:r>
        <w:rPr>
          <w:sz w:val="24"/>
        </w:rPr>
        <w:t>alongside</w:t>
      </w:r>
      <w:r>
        <w:rPr>
          <w:spacing w:val="-11"/>
          <w:sz w:val="24"/>
        </w:rPr>
        <w:t> </w:t>
      </w:r>
      <w:r>
        <w:rPr>
          <w:sz w:val="24"/>
        </w:rPr>
        <w:t>the</w:t>
      </w:r>
      <w:r>
        <w:rPr>
          <w:spacing w:val="-10"/>
          <w:sz w:val="24"/>
        </w:rPr>
        <w:t> </w:t>
      </w:r>
      <w:r>
        <w:rPr>
          <w:spacing w:val="-3"/>
          <w:sz w:val="24"/>
        </w:rPr>
        <w:t>Government’s </w:t>
      </w:r>
      <w:r>
        <w:rPr>
          <w:spacing w:val="3"/>
          <w:sz w:val="24"/>
        </w:rPr>
        <w:t>other</w:t>
      </w:r>
      <w:r>
        <w:rPr>
          <w:spacing w:val="-9"/>
          <w:sz w:val="24"/>
        </w:rPr>
        <w:t> </w:t>
      </w:r>
      <w:r>
        <w:rPr>
          <w:sz w:val="24"/>
        </w:rPr>
        <w:t>labour</w:t>
      </w:r>
      <w:r>
        <w:rPr>
          <w:spacing w:val="-13"/>
          <w:sz w:val="24"/>
        </w:rPr>
        <w:t> </w:t>
      </w:r>
      <w:r>
        <w:rPr>
          <w:sz w:val="24"/>
        </w:rPr>
        <w:t>market</w:t>
      </w:r>
      <w:r>
        <w:rPr>
          <w:spacing w:val="-8"/>
          <w:sz w:val="24"/>
        </w:rPr>
        <w:t> </w:t>
      </w:r>
      <w:r>
        <w:rPr>
          <w:sz w:val="24"/>
        </w:rPr>
        <w:t>reforms</w:t>
      </w:r>
      <w:r>
        <w:rPr>
          <w:spacing w:val="-11"/>
          <w:sz w:val="24"/>
        </w:rPr>
        <w:t> </w:t>
      </w:r>
      <w:r>
        <w:rPr>
          <w:sz w:val="24"/>
        </w:rPr>
        <w:t>before</w:t>
      </w:r>
      <w:r>
        <w:rPr>
          <w:spacing w:val="-13"/>
          <w:sz w:val="24"/>
        </w:rPr>
        <w:t> </w:t>
      </w:r>
      <w:r>
        <w:rPr>
          <w:sz w:val="24"/>
        </w:rPr>
        <w:t>it</w:t>
      </w:r>
      <w:r>
        <w:rPr>
          <w:spacing w:val="-9"/>
          <w:sz w:val="24"/>
        </w:rPr>
        <w:t> </w:t>
      </w:r>
      <w:r>
        <w:rPr>
          <w:sz w:val="24"/>
        </w:rPr>
        <w:t>could</w:t>
      </w:r>
      <w:r>
        <w:rPr>
          <w:spacing w:val="-12"/>
          <w:sz w:val="24"/>
        </w:rPr>
        <w:t> </w:t>
      </w:r>
      <w:r>
        <w:rPr>
          <w:sz w:val="24"/>
        </w:rPr>
        <w:t>reach</w:t>
      </w:r>
      <w:r>
        <w:rPr>
          <w:spacing w:val="-11"/>
          <w:sz w:val="24"/>
        </w:rPr>
        <w:t> </w:t>
      </w:r>
      <w:r>
        <w:rPr>
          <w:sz w:val="24"/>
        </w:rPr>
        <w:t>an</w:t>
      </w:r>
      <w:r>
        <w:rPr>
          <w:spacing w:val="-13"/>
          <w:sz w:val="24"/>
        </w:rPr>
        <w:t> </w:t>
      </w:r>
      <w:r>
        <w:rPr>
          <w:sz w:val="24"/>
        </w:rPr>
        <w:t>assessment</w:t>
      </w:r>
      <w:r>
        <w:rPr>
          <w:spacing w:val="-8"/>
          <w:sz w:val="24"/>
        </w:rPr>
        <w:t> </w:t>
      </w:r>
      <w:r>
        <w:rPr>
          <w:sz w:val="24"/>
        </w:rPr>
        <w:t>of</w:t>
      </w:r>
      <w:r>
        <w:rPr>
          <w:spacing w:val="-9"/>
          <w:sz w:val="24"/>
        </w:rPr>
        <w:t> </w:t>
      </w:r>
      <w:r>
        <w:rPr>
          <w:sz w:val="24"/>
        </w:rPr>
        <w:t>the</w:t>
      </w:r>
      <w:r>
        <w:rPr>
          <w:spacing w:val="-13"/>
          <w:sz w:val="24"/>
        </w:rPr>
        <w:t> </w:t>
      </w:r>
      <w:r>
        <w:rPr>
          <w:sz w:val="24"/>
        </w:rPr>
        <w:t>implications</w:t>
      </w:r>
      <w:r>
        <w:rPr>
          <w:spacing w:val="-12"/>
          <w:sz w:val="24"/>
        </w:rPr>
        <w:t> </w:t>
      </w:r>
      <w:r>
        <w:rPr>
          <w:sz w:val="24"/>
        </w:rPr>
        <w:t>for</w:t>
      </w:r>
      <w:r>
        <w:rPr>
          <w:spacing w:val="-13"/>
          <w:sz w:val="24"/>
        </w:rPr>
        <w:t> </w:t>
      </w:r>
      <w:r>
        <w:rPr>
          <w:sz w:val="24"/>
        </w:rPr>
        <w:t>inflation</w:t>
      </w:r>
      <w:r>
        <w:rPr>
          <w:spacing w:val="-12"/>
          <w:sz w:val="24"/>
        </w:rPr>
        <w:t> </w:t>
      </w:r>
      <w:r>
        <w:rPr>
          <w:sz w:val="24"/>
        </w:rPr>
        <w:t>and identify any consequent implications for policy. There was agreement, however, that the minimum wage by itself was likely </w:t>
      </w:r>
      <w:r>
        <w:rPr>
          <w:spacing w:val="2"/>
          <w:sz w:val="24"/>
        </w:rPr>
        <w:t>to </w:t>
      </w:r>
      <w:r>
        <w:rPr>
          <w:sz w:val="24"/>
        </w:rPr>
        <w:t>put upward pressure on</w:t>
      </w:r>
      <w:r>
        <w:rPr>
          <w:spacing w:val="13"/>
          <w:sz w:val="24"/>
        </w:rPr>
        <w:t> </w:t>
      </w:r>
      <w:r>
        <w:rPr>
          <w:sz w:val="24"/>
        </w:rPr>
        <w:t>inflation.</w:t>
      </w:r>
    </w:p>
    <w:p>
      <w:pPr>
        <w:spacing w:after="0" w:line="372" w:lineRule="auto"/>
        <w:jc w:val="left"/>
        <w:rPr>
          <w:sz w:val="24"/>
        </w:rPr>
        <w:sectPr>
          <w:pgSz w:w="11900" w:h="16840"/>
          <w:pgMar w:header="867" w:footer="0" w:top="1320" w:bottom="280" w:left="1020" w:right="880"/>
        </w:sectPr>
      </w:pPr>
    </w:p>
    <w:p>
      <w:pPr>
        <w:pStyle w:val="ListParagraph"/>
        <w:numPr>
          <w:ilvl w:val="0"/>
          <w:numId w:val="1"/>
        </w:numPr>
        <w:tabs>
          <w:tab w:pos="573" w:val="left" w:leader="none"/>
          <w:tab w:pos="574" w:val="left" w:leader="none"/>
        </w:tabs>
        <w:spacing w:line="372" w:lineRule="auto" w:before="80" w:after="0"/>
        <w:ind w:left="117" w:right="211" w:firstLine="0"/>
        <w:jc w:val="left"/>
        <w:rPr>
          <w:sz w:val="24"/>
        </w:rPr>
      </w:pPr>
      <w:r>
        <w:rPr>
          <w:sz w:val="24"/>
        </w:rPr>
        <w:t>The Committee noted that first three changes </w:t>
      </w:r>
      <w:r>
        <w:rPr>
          <w:spacing w:val="2"/>
          <w:sz w:val="24"/>
        </w:rPr>
        <w:t>to </w:t>
      </w:r>
      <w:r>
        <w:rPr>
          <w:sz w:val="24"/>
        </w:rPr>
        <w:t>the assumptions identified above were broadly </w:t>
      </w:r>
      <w:r>
        <w:rPr>
          <w:spacing w:val="3"/>
          <w:sz w:val="24"/>
        </w:rPr>
        <w:t>offsetting </w:t>
      </w:r>
      <w:r>
        <w:rPr>
          <w:sz w:val="24"/>
        </w:rPr>
        <w:t>at the 2 year horizon, so that the change in the exchange rate starting point was crucial in accounting for the slight fall in the central projection since February. Sterling had, though, been falling</w:t>
      </w:r>
      <w:r>
        <w:rPr>
          <w:spacing w:val="-11"/>
          <w:sz w:val="24"/>
        </w:rPr>
        <w:t> </w:t>
      </w:r>
      <w:r>
        <w:rPr>
          <w:sz w:val="24"/>
        </w:rPr>
        <w:t>in</w:t>
      </w:r>
      <w:r>
        <w:rPr>
          <w:spacing w:val="-10"/>
          <w:sz w:val="24"/>
        </w:rPr>
        <w:t> </w:t>
      </w:r>
      <w:r>
        <w:rPr>
          <w:sz w:val="24"/>
        </w:rPr>
        <w:t>recent</w:t>
      </w:r>
      <w:r>
        <w:rPr>
          <w:spacing w:val="-8"/>
          <w:sz w:val="24"/>
        </w:rPr>
        <w:t> </w:t>
      </w:r>
      <w:r>
        <w:rPr>
          <w:sz w:val="24"/>
        </w:rPr>
        <w:t>days,</w:t>
      </w:r>
      <w:r>
        <w:rPr>
          <w:spacing w:val="-10"/>
          <w:sz w:val="24"/>
        </w:rPr>
        <w:t> </w:t>
      </w:r>
      <w:r>
        <w:rPr>
          <w:sz w:val="24"/>
        </w:rPr>
        <w:t>principally</w:t>
      </w:r>
      <w:r>
        <w:rPr>
          <w:spacing w:val="-10"/>
          <w:sz w:val="24"/>
        </w:rPr>
        <w:t> </w:t>
      </w:r>
      <w:r>
        <w:rPr>
          <w:sz w:val="24"/>
        </w:rPr>
        <w:t>against</w:t>
      </w:r>
      <w:r>
        <w:rPr>
          <w:spacing w:val="-6"/>
          <w:sz w:val="24"/>
        </w:rPr>
        <w:t> </w:t>
      </w:r>
      <w:r>
        <w:rPr>
          <w:spacing w:val="3"/>
          <w:sz w:val="24"/>
        </w:rPr>
        <w:t>other</w:t>
      </w:r>
      <w:r>
        <w:rPr>
          <w:spacing w:val="-6"/>
          <w:sz w:val="24"/>
        </w:rPr>
        <w:t> </w:t>
      </w:r>
      <w:r>
        <w:rPr>
          <w:sz w:val="24"/>
        </w:rPr>
        <w:t>EU</w:t>
      </w:r>
      <w:r>
        <w:rPr>
          <w:spacing w:val="-9"/>
          <w:sz w:val="24"/>
        </w:rPr>
        <w:t> </w:t>
      </w:r>
      <w:r>
        <w:rPr>
          <w:sz w:val="24"/>
        </w:rPr>
        <w:t>currencies,</w:t>
      </w:r>
      <w:r>
        <w:rPr>
          <w:spacing w:val="-10"/>
          <w:sz w:val="24"/>
        </w:rPr>
        <w:t> </w:t>
      </w:r>
      <w:r>
        <w:rPr>
          <w:sz w:val="24"/>
        </w:rPr>
        <w:t>and</w:t>
      </w:r>
      <w:r>
        <w:rPr>
          <w:spacing w:val="-10"/>
          <w:sz w:val="24"/>
        </w:rPr>
        <w:t> </w:t>
      </w:r>
      <w:r>
        <w:rPr>
          <w:sz w:val="24"/>
        </w:rPr>
        <w:t>was</w:t>
      </w:r>
      <w:r>
        <w:rPr>
          <w:spacing w:val="-10"/>
          <w:sz w:val="24"/>
        </w:rPr>
        <w:t> </w:t>
      </w:r>
      <w:r>
        <w:rPr>
          <w:sz w:val="24"/>
        </w:rPr>
        <w:t>now</w:t>
      </w:r>
      <w:r>
        <w:rPr>
          <w:spacing w:val="-10"/>
          <w:sz w:val="24"/>
        </w:rPr>
        <w:t> </w:t>
      </w:r>
      <w:r>
        <w:rPr>
          <w:sz w:val="24"/>
        </w:rPr>
        <w:t>close</w:t>
      </w:r>
      <w:r>
        <w:rPr>
          <w:spacing w:val="-10"/>
          <w:sz w:val="24"/>
        </w:rPr>
        <w:t> </w:t>
      </w:r>
      <w:r>
        <w:rPr>
          <w:spacing w:val="2"/>
          <w:sz w:val="24"/>
        </w:rPr>
        <w:t>to</w:t>
      </w:r>
      <w:r>
        <w:rPr>
          <w:spacing w:val="-6"/>
          <w:sz w:val="24"/>
        </w:rPr>
        <w:t> </w:t>
      </w:r>
      <w:r>
        <w:rPr>
          <w:sz w:val="24"/>
        </w:rPr>
        <w:t>the</w:t>
      </w:r>
      <w:r>
        <w:rPr>
          <w:spacing w:val="-10"/>
          <w:sz w:val="24"/>
        </w:rPr>
        <w:t> </w:t>
      </w:r>
      <w:r>
        <w:rPr>
          <w:sz w:val="24"/>
        </w:rPr>
        <w:t>level</w:t>
      </w:r>
      <w:r>
        <w:rPr>
          <w:spacing w:val="-10"/>
          <w:sz w:val="24"/>
        </w:rPr>
        <w:t> </w:t>
      </w:r>
      <w:r>
        <w:rPr>
          <w:sz w:val="24"/>
        </w:rPr>
        <w:t>used</w:t>
      </w:r>
      <w:r>
        <w:rPr>
          <w:spacing w:val="-10"/>
          <w:sz w:val="24"/>
        </w:rPr>
        <w:t> </w:t>
      </w:r>
      <w:r>
        <w:rPr>
          <w:sz w:val="24"/>
        </w:rPr>
        <w:t>in the February forecast. This seemed </w:t>
      </w:r>
      <w:r>
        <w:rPr>
          <w:spacing w:val="2"/>
          <w:sz w:val="24"/>
        </w:rPr>
        <w:t>to </w:t>
      </w:r>
      <w:r>
        <w:rPr>
          <w:sz w:val="24"/>
        </w:rPr>
        <w:t>reflect the </w:t>
      </w:r>
      <w:r>
        <w:rPr>
          <w:spacing w:val="-4"/>
          <w:sz w:val="24"/>
        </w:rPr>
        <w:t>market’s </w:t>
      </w:r>
      <w:r>
        <w:rPr>
          <w:sz w:val="24"/>
        </w:rPr>
        <w:t>reaction </w:t>
      </w:r>
      <w:r>
        <w:rPr>
          <w:spacing w:val="2"/>
          <w:sz w:val="24"/>
        </w:rPr>
        <w:t>to </w:t>
      </w:r>
      <w:r>
        <w:rPr>
          <w:sz w:val="24"/>
        </w:rPr>
        <w:t>EU decisions about the ECB President and Executive Board. There was a range of views about whether these latest developments would mark a turning point for sterling, triggered by reduced uncertainty about EMU. The Committee agreed that the recent movements in the exchange rate underlined its earlier view, discussed at previous meetings, that policy conclusions could not be read </w:t>
      </w:r>
      <w:r>
        <w:rPr>
          <w:spacing w:val="2"/>
          <w:sz w:val="24"/>
        </w:rPr>
        <w:t>off </w:t>
      </w:r>
      <w:r>
        <w:rPr>
          <w:sz w:val="24"/>
        </w:rPr>
        <w:t>the forecast in a mechanical</w:t>
      </w:r>
      <w:r>
        <w:rPr>
          <w:spacing w:val="1"/>
          <w:sz w:val="24"/>
        </w:rPr>
        <w:t> </w:t>
      </w:r>
      <w:r>
        <w:rPr>
          <w:sz w:val="24"/>
        </w:rPr>
        <w:t>way.</w:t>
      </w:r>
    </w:p>
    <w:p>
      <w:pPr>
        <w:pStyle w:val="BodyText"/>
        <w:spacing w:before="7"/>
        <w:rPr>
          <w:sz w:val="36"/>
        </w:rPr>
      </w:pPr>
    </w:p>
    <w:p>
      <w:pPr>
        <w:pStyle w:val="ListParagraph"/>
        <w:numPr>
          <w:ilvl w:val="0"/>
          <w:numId w:val="1"/>
        </w:numPr>
        <w:tabs>
          <w:tab w:pos="573" w:val="left" w:leader="none"/>
          <w:tab w:pos="574" w:val="left" w:leader="none"/>
        </w:tabs>
        <w:spacing w:line="372" w:lineRule="auto" w:before="0" w:after="0"/>
        <w:ind w:left="117" w:right="189" w:firstLine="0"/>
        <w:jc w:val="left"/>
        <w:rPr>
          <w:sz w:val="24"/>
        </w:rPr>
      </w:pPr>
      <w:r>
        <w:rPr>
          <w:sz w:val="24"/>
        </w:rPr>
        <w:t>The Committee discussed the risks </w:t>
      </w:r>
      <w:r>
        <w:rPr>
          <w:spacing w:val="2"/>
          <w:sz w:val="24"/>
        </w:rPr>
        <w:t>to </w:t>
      </w:r>
      <w:r>
        <w:rPr>
          <w:sz w:val="24"/>
        </w:rPr>
        <w:t>the forecast. In the short run, the net risks </w:t>
      </w:r>
      <w:r>
        <w:rPr>
          <w:spacing w:val="2"/>
          <w:sz w:val="24"/>
        </w:rPr>
        <w:t>to </w:t>
      </w:r>
      <w:r>
        <w:rPr>
          <w:sz w:val="24"/>
        </w:rPr>
        <w:t>inflation were on the downside, mainly through the possibility of weaker world growth than assumed, and the risk of a significant fall in equity prices, reducing wealth and so consumption growth. Towards the end</w:t>
      </w:r>
      <w:r>
        <w:rPr>
          <w:spacing w:val="-8"/>
          <w:sz w:val="24"/>
        </w:rPr>
        <w:t> </w:t>
      </w:r>
      <w:r>
        <w:rPr>
          <w:sz w:val="24"/>
        </w:rPr>
        <w:t>of</w:t>
      </w:r>
      <w:r>
        <w:rPr>
          <w:spacing w:val="-3"/>
          <w:sz w:val="24"/>
        </w:rPr>
        <w:t> </w:t>
      </w:r>
      <w:r>
        <w:rPr>
          <w:sz w:val="24"/>
        </w:rPr>
        <w:t>the</w:t>
      </w:r>
      <w:r>
        <w:rPr>
          <w:spacing w:val="-8"/>
          <w:sz w:val="24"/>
        </w:rPr>
        <w:t> </w:t>
      </w:r>
      <w:r>
        <w:rPr>
          <w:sz w:val="24"/>
        </w:rPr>
        <w:t>forecast</w:t>
      </w:r>
      <w:r>
        <w:rPr>
          <w:spacing w:val="-3"/>
          <w:sz w:val="24"/>
        </w:rPr>
        <w:t> </w:t>
      </w:r>
      <w:r>
        <w:rPr>
          <w:sz w:val="24"/>
        </w:rPr>
        <w:t>horizon,</w:t>
      </w:r>
      <w:r>
        <w:rPr>
          <w:spacing w:val="-7"/>
          <w:sz w:val="24"/>
        </w:rPr>
        <w:t> </w:t>
      </w:r>
      <w:r>
        <w:rPr>
          <w:sz w:val="24"/>
        </w:rPr>
        <w:t>the</w:t>
      </w:r>
      <w:r>
        <w:rPr>
          <w:spacing w:val="-8"/>
          <w:sz w:val="24"/>
        </w:rPr>
        <w:t> </w:t>
      </w:r>
      <w:r>
        <w:rPr>
          <w:sz w:val="24"/>
        </w:rPr>
        <w:t>net</w:t>
      </w:r>
      <w:r>
        <w:rPr>
          <w:spacing w:val="-3"/>
          <w:sz w:val="24"/>
        </w:rPr>
        <w:t> </w:t>
      </w:r>
      <w:r>
        <w:rPr>
          <w:sz w:val="24"/>
        </w:rPr>
        <w:t>risks</w:t>
      </w:r>
      <w:r>
        <w:rPr>
          <w:spacing w:val="-6"/>
          <w:sz w:val="24"/>
        </w:rPr>
        <w:t> </w:t>
      </w:r>
      <w:r>
        <w:rPr>
          <w:spacing w:val="2"/>
          <w:sz w:val="24"/>
        </w:rPr>
        <w:t>to</w:t>
      </w:r>
      <w:r>
        <w:rPr>
          <w:spacing w:val="-3"/>
          <w:sz w:val="24"/>
        </w:rPr>
        <w:t> </w:t>
      </w:r>
      <w:r>
        <w:rPr>
          <w:sz w:val="24"/>
        </w:rPr>
        <w:t>inflation</w:t>
      </w:r>
      <w:r>
        <w:rPr>
          <w:spacing w:val="-7"/>
          <w:sz w:val="24"/>
        </w:rPr>
        <w:t> </w:t>
      </w:r>
      <w:r>
        <w:rPr>
          <w:sz w:val="24"/>
        </w:rPr>
        <w:t>were</w:t>
      </w:r>
      <w:r>
        <w:rPr>
          <w:spacing w:val="-8"/>
          <w:sz w:val="24"/>
        </w:rPr>
        <w:t> </w:t>
      </w:r>
      <w:r>
        <w:rPr>
          <w:sz w:val="24"/>
        </w:rPr>
        <w:t>thought</w:t>
      </w:r>
      <w:r>
        <w:rPr>
          <w:spacing w:val="-3"/>
          <w:sz w:val="24"/>
        </w:rPr>
        <w:t> </w:t>
      </w:r>
      <w:r>
        <w:rPr>
          <w:spacing w:val="2"/>
          <w:sz w:val="24"/>
        </w:rPr>
        <w:t>to</w:t>
      </w:r>
      <w:r>
        <w:rPr>
          <w:spacing w:val="-3"/>
          <w:sz w:val="24"/>
        </w:rPr>
        <w:t> </w:t>
      </w:r>
      <w:r>
        <w:rPr>
          <w:sz w:val="24"/>
        </w:rPr>
        <w:t>be</w:t>
      </w:r>
      <w:r>
        <w:rPr>
          <w:spacing w:val="-8"/>
          <w:sz w:val="24"/>
        </w:rPr>
        <w:t> </w:t>
      </w:r>
      <w:r>
        <w:rPr>
          <w:sz w:val="24"/>
        </w:rPr>
        <w:t>on</w:t>
      </w:r>
      <w:r>
        <w:rPr>
          <w:spacing w:val="-3"/>
          <w:sz w:val="24"/>
        </w:rPr>
        <w:t> </w:t>
      </w:r>
      <w:r>
        <w:rPr>
          <w:sz w:val="24"/>
        </w:rPr>
        <w:t>the</w:t>
      </w:r>
      <w:r>
        <w:rPr>
          <w:spacing w:val="-7"/>
          <w:sz w:val="24"/>
        </w:rPr>
        <w:t> </w:t>
      </w:r>
      <w:r>
        <w:rPr>
          <w:sz w:val="24"/>
        </w:rPr>
        <w:t>upside,</w:t>
      </w:r>
      <w:r>
        <w:rPr>
          <w:spacing w:val="-8"/>
          <w:sz w:val="24"/>
        </w:rPr>
        <w:t> </w:t>
      </w:r>
      <w:r>
        <w:rPr>
          <w:sz w:val="24"/>
        </w:rPr>
        <w:t>largely</w:t>
      </w:r>
      <w:r>
        <w:rPr>
          <w:spacing w:val="-7"/>
          <w:sz w:val="24"/>
        </w:rPr>
        <w:t> </w:t>
      </w:r>
      <w:r>
        <w:rPr>
          <w:sz w:val="24"/>
        </w:rPr>
        <w:t>because of</w:t>
      </w:r>
      <w:r>
        <w:rPr>
          <w:spacing w:val="-10"/>
          <w:sz w:val="24"/>
        </w:rPr>
        <w:t> </w:t>
      </w:r>
      <w:r>
        <w:rPr>
          <w:sz w:val="24"/>
        </w:rPr>
        <w:t>the</w:t>
      </w:r>
      <w:r>
        <w:rPr>
          <w:spacing w:val="-14"/>
          <w:sz w:val="24"/>
        </w:rPr>
        <w:t> </w:t>
      </w:r>
      <w:r>
        <w:rPr>
          <w:sz w:val="24"/>
        </w:rPr>
        <w:t>possibility</w:t>
      </w:r>
      <w:r>
        <w:rPr>
          <w:spacing w:val="-13"/>
          <w:sz w:val="24"/>
        </w:rPr>
        <w:t> </w:t>
      </w:r>
      <w:r>
        <w:rPr>
          <w:sz w:val="24"/>
        </w:rPr>
        <w:t>of</w:t>
      </w:r>
      <w:r>
        <w:rPr>
          <w:spacing w:val="-10"/>
          <w:sz w:val="24"/>
        </w:rPr>
        <w:t> </w:t>
      </w:r>
      <w:r>
        <w:rPr>
          <w:sz w:val="24"/>
        </w:rPr>
        <w:t>sterling</w:t>
      </w:r>
      <w:r>
        <w:rPr>
          <w:spacing w:val="-14"/>
          <w:sz w:val="24"/>
        </w:rPr>
        <w:t> </w:t>
      </w:r>
      <w:r>
        <w:rPr>
          <w:sz w:val="24"/>
        </w:rPr>
        <w:t>depreciating</w:t>
      </w:r>
      <w:r>
        <w:rPr>
          <w:spacing w:val="-13"/>
          <w:sz w:val="24"/>
        </w:rPr>
        <w:t> </w:t>
      </w:r>
      <w:r>
        <w:rPr>
          <w:sz w:val="24"/>
        </w:rPr>
        <w:t>more</w:t>
      </w:r>
      <w:r>
        <w:rPr>
          <w:spacing w:val="-14"/>
          <w:sz w:val="24"/>
        </w:rPr>
        <w:t> </w:t>
      </w:r>
      <w:r>
        <w:rPr>
          <w:sz w:val="24"/>
        </w:rPr>
        <w:t>quickly</w:t>
      </w:r>
      <w:r>
        <w:rPr>
          <w:spacing w:val="-14"/>
          <w:sz w:val="24"/>
        </w:rPr>
        <w:t> </w:t>
      </w:r>
      <w:r>
        <w:rPr>
          <w:sz w:val="24"/>
        </w:rPr>
        <w:t>than</w:t>
      </w:r>
      <w:r>
        <w:rPr>
          <w:spacing w:val="-13"/>
          <w:sz w:val="24"/>
        </w:rPr>
        <w:t> </w:t>
      </w:r>
      <w:r>
        <w:rPr>
          <w:sz w:val="24"/>
        </w:rPr>
        <w:t>implied</w:t>
      </w:r>
      <w:r>
        <w:rPr>
          <w:spacing w:val="-14"/>
          <w:sz w:val="24"/>
        </w:rPr>
        <w:t> </w:t>
      </w:r>
      <w:r>
        <w:rPr>
          <w:sz w:val="24"/>
        </w:rPr>
        <w:t>by</w:t>
      </w:r>
      <w:r>
        <w:rPr>
          <w:spacing w:val="-13"/>
          <w:sz w:val="24"/>
        </w:rPr>
        <w:t> </w:t>
      </w:r>
      <w:r>
        <w:rPr>
          <w:sz w:val="24"/>
        </w:rPr>
        <w:t>interest</w:t>
      </w:r>
      <w:r>
        <w:rPr>
          <w:spacing w:val="-10"/>
          <w:sz w:val="24"/>
        </w:rPr>
        <w:t> </w:t>
      </w:r>
      <w:r>
        <w:rPr>
          <w:sz w:val="24"/>
        </w:rPr>
        <w:t>rate</w:t>
      </w:r>
      <w:r>
        <w:rPr>
          <w:spacing w:val="-12"/>
          <w:sz w:val="24"/>
        </w:rPr>
        <w:t> </w:t>
      </w:r>
      <w:r>
        <w:rPr>
          <w:sz w:val="24"/>
        </w:rPr>
        <w:t>differentials.</w:t>
      </w:r>
      <w:r>
        <w:rPr>
          <w:spacing w:val="33"/>
          <w:sz w:val="24"/>
        </w:rPr>
        <w:t> </w:t>
      </w:r>
      <w:r>
        <w:rPr>
          <w:sz w:val="24"/>
        </w:rPr>
        <w:t>The Committee agreed that the inflation </w:t>
      </w:r>
      <w:r>
        <w:rPr>
          <w:spacing w:val="3"/>
          <w:sz w:val="24"/>
        </w:rPr>
        <w:t>outturn </w:t>
      </w:r>
      <w:r>
        <w:rPr>
          <w:sz w:val="24"/>
        </w:rPr>
        <w:t>would be affected not </w:t>
      </w:r>
      <w:r>
        <w:rPr>
          <w:spacing w:val="3"/>
          <w:sz w:val="24"/>
        </w:rPr>
        <w:t>only </w:t>
      </w:r>
      <w:r>
        <w:rPr>
          <w:sz w:val="24"/>
        </w:rPr>
        <w:t>by whether asset prices did depart from the paths assumed in the central projection, but also by whether they did so gradually or suddenly</w:t>
      </w:r>
      <w:r>
        <w:rPr>
          <w:spacing w:val="-10"/>
          <w:sz w:val="24"/>
        </w:rPr>
        <w:t> </w:t>
      </w:r>
      <w:r>
        <w:rPr>
          <w:sz w:val="24"/>
        </w:rPr>
        <w:t>and,</w:t>
      </w:r>
      <w:r>
        <w:rPr>
          <w:spacing w:val="-10"/>
          <w:sz w:val="24"/>
        </w:rPr>
        <w:t> </w:t>
      </w:r>
      <w:r>
        <w:rPr>
          <w:sz w:val="24"/>
        </w:rPr>
        <w:t>if</w:t>
      </w:r>
      <w:r>
        <w:rPr>
          <w:spacing w:val="-10"/>
          <w:sz w:val="24"/>
        </w:rPr>
        <w:t> </w:t>
      </w:r>
      <w:r>
        <w:rPr>
          <w:sz w:val="24"/>
        </w:rPr>
        <w:t>suddenly,</w:t>
      </w:r>
      <w:r>
        <w:rPr>
          <w:spacing w:val="-10"/>
          <w:sz w:val="24"/>
        </w:rPr>
        <w:t> </w:t>
      </w:r>
      <w:r>
        <w:rPr>
          <w:sz w:val="24"/>
        </w:rPr>
        <w:t>whether</w:t>
      </w:r>
      <w:r>
        <w:rPr>
          <w:spacing w:val="-10"/>
          <w:sz w:val="24"/>
        </w:rPr>
        <w:t> </w:t>
      </w:r>
      <w:r>
        <w:rPr>
          <w:sz w:val="24"/>
        </w:rPr>
        <w:t>early</w:t>
      </w:r>
      <w:r>
        <w:rPr>
          <w:spacing w:val="-10"/>
          <w:sz w:val="24"/>
        </w:rPr>
        <w:t> </w:t>
      </w:r>
      <w:r>
        <w:rPr>
          <w:sz w:val="24"/>
        </w:rPr>
        <w:t>or</w:t>
      </w:r>
      <w:r>
        <w:rPr>
          <w:spacing w:val="-6"/>
          <w:sz w:val="24"/>
        </w:rPr>
        <w:t> </w:t>
      </w:r>
      <w:r>
        <w:rPr>
          <w:sz w:val="24"/>
        </w:rPr>
        <w:t>late</w:t>
      </w:r>
      <w:r>
        <w:rPr>
          <w:spacing w:val="-10"/>
          <w:sz w:val="24"/>
        </w:rPr>
        <w:t> </w:t>
      </w:r>
      <w:r>
        <w:rPr>
          <w:sz w:val="24"/>
        </w:rPr>
        <w:t>in</w:t>
      </w:r>
      <w:r>
        <w:rPr>
          <w:spacing w:val="-10"/>
          <w:sz w:val="24"/>
        </w:rPr>
        <w:t> </w:t>
      </w:r>
      <w:r>
        <w:rPr>
          <w:sz w:val="24"/>
        </w:rPr>
        <w:t>forecast</w:t>
      </w:r>
      <w:r>
        <w:rPr>
          <w:spacing w:val="-6"/>
          <w:sz w:val="24"/>
        </w:rPr>
        <w:t> </w:t>
      </w:r>
      <w:r>
        <w:rPr>
          <w:sz w:val="24"/>
        </w:rPr>
        <w:t>period.</w:t>
      </w:r>
      <w:r>
        <w:rPr>
          <w:spacing w:val="41"/>
          <w:sz w:val="24"/>
        </w:rPr>
        <w:t> </w:t>
      </w:r>
      <w:r>
        <w:rPr>
          <w:sz w:val="24"/>
        </w:rPr>
        <w:t>The</w:t>
      </w:r>
      <w:r>
        <w:rPr>
          <w:spacing w:val="-9"/>
          <w:sz w:val="24"/>
        </w:rPr>
        <w:t> </w:t>
      </w:r>
      <w:r>
        <w:rPr>
          <w:sz w:val="24"/>
        </w:rPr>
        <w:t>Committee</w:t>
      </w:r>
      <w:r>
        <w:rPr>
          <w:spacing w:val="-10"/>
          <w:sz w:val="24"/>
        </w:rPr>
        <w:t> </w:t>
      </w:r>
      <w:r>
        <w:rPr>
          <w:sz w:val="24"/>
        </w:rPr>
        <w:t>agreed</w:t>
      </w:r>
      <w:r>
        <w:rPr>
          <w:spacing w:val="-9"/>
          <w:sz w:val="24"/>
        </w:rPr>
        <w:t> </w:t>
      </w:r>
      <w:r>
        <w:rPr>
          <w:sz w:val="24"/>
        </w:rPr>
        <w:t>that</w:t>
      </w:r>
      <w:r>
        <w:rPr>
          <w:spacing w:val="-6"/>
          <w:sz w:val="24"/>
        </w:rPr>
        <w:t> </w:t>
      </w:r>
      <w:r>
        <w:rPr>
          <w:sz w:val="24"/>
        </w:rPr>
        <w:t>policy should not respond </w:t>
      </w:r>
      <w:r>
        <w:rPr>
          <w:spacing w:val="2"/>
          <w:sz w:val="24"/>
        </w:rPr>
        <w:t>to </w:t>
      </w:r>
      <w:r>
        <w:rPr>
          <w:sz w:val="24"/>
        </w:rPr>
        <w:t>the risk of sharp asset price movements. They would need </w:t>
      </w:r>
      <w:r>
        <w:rPr>
          <w:spacing w:val="2"/>
          <w:sz w:val="24"/>
        </w:rPr>
        <w:t>to </w:t>
      </w:r>
      <w:r>
        <w:rPr>
          <w:sz w:val="24"/>
        </w:rPr>
        <w:t>assess the implications for the inflation </w:t>
      </w:r>
      <w:r>
        <w:rPr>
          <w:spacing w:val="3"/>
          <w:sz w:val="24"/>
        </w:rPr>
        <w:t>outlook </w:t>
      </w:r>
      <w:r>
        <w:rPr>
          <w:sz w:val="24"/>
        </w:rPr>
        <w:t>if and when any such changes</w:t>
      </w:r>
      <w:r>
        <w:rPr>
          <w:spacing w:val="44"/>
          <w:sz w:val="24"/>
        </w:rPr>
        <w:t> </w:t>
      </w:r>
      <w:r>
        <w:rPr>
          <w:sz w:val="24"/>
        </w:rPr>
        <w:t>occurred.</w:t>
      </w:r>
    </w:p>
    <w:p>
      <w:pPr>
        <w:pStyle w:val="BodyText"/>
        <w:spacing w:before="1"/>
        <w:rPr>
          <w:sz w:val="37"/>
        </w:rPr>
      </w:pPr>
    </w:p>
    <w:p>
      <w:pPr>
        <w:pStyle w:val="Heading1"/>
      </w:pPr>
      <w:r>
        <w:rPr/>
        <w:t>The immediate policy decision</w:t>
      </w:r>
    </w:p>
    <w:p>
      <w:pPr>
        <w:pStyle w:val="BodyText"/>
        <w:rPr>
          <w:b/>
          <w:sz w:val="26"/>
        </w:rPr>
      </w:pPr>
    </w:p>
    <w:p>
      <w:pPr>
        <w:pStyle w:val="BodyText"/>
        <w:spacing w:before="10"/>
        <w:rPr>
          <w:b/>
          <w:sz w:val="23"/>
        </w:rPr>
      </w:pPr>
    </w:p>
    <w:p>
      <w:pPr>
        <w:pStyle w:val="ListParagraph"/>
        <w:numPr>
          <w:ilvl w:val="0"/>
          <w:numId w:val="1"/>
        </w:numPr>
        <w:tabs>
          <w:tab w:pos="573" w:val="left" w:leader="none"/>
          <w:tab w:pos="574" w:val="left" w:leader="none"/>
        </w:tabs>
        <w:spacing w:line="372" w:lineRule="auto" w:before="0" w:after="0"/>
        <w:ind w:left="117" w:right="382" w:firstLine="0"/>
        <w:jc w:val="left"/>
        <w:rPr>
          <w:sz w:val="24"/>
        </w:rPr>
      </w:pPr>
      <w:r>
        <w:rPr>
          <w:sz w:val="24"/>
        </w:rPr>
        <w:t>There was broad agreement that the news since February - the lower than expected level of current</w:t>
      </w:r>
      <w:r>
        <w:rPr>
          <w:spacing w:val="-4"/>
          <w:sz w:val="24"/>
        </w:rPr>
        <w:t> </w:t>
      </w:r>
      <w:r>
        <w:rPr>
          <w:spacing w:val="3"/>
          <w:sz w:val="24"/>
        </w:rPr>
        <w:t>output,</w:t>
      </w:r>
      <w:r>
        <w:rPr>
          <w:spacing w:val="-3"/>
          <w:sz w:val="24"/>
        </w:rPr>
        <w:t> </w:t>
      </w:r>
      <w:r>
        <w:rPr>
          <w:sz w:val="24"/>
        </w:rPr>
        <w:t>the</w:t>
      </w:r>
      <w:r>
        <w:rPr>
          <w:spacing w:val="-8"/>
          <w:sz w:val="24"/>
        </w:rPr>
        <w:t> </w:t>
      </w:r>
      <w:r>
        <w:rPr>
          <w:sz w:val="24"/>
        </w:rPr>
        <w:t>clear</w:t>
      </w:r>
      <w:r>
        <w:rPr>
          <w:spacing w:val="-8"/>
          <w:sz w:val="24"/>
        </w:rPr>
        <w:t> </w:t>
      </w:r>
      <w:r>
        <w:rPr>
          <w:sz w:val="24"/>
        </w:rPr>
        <w:t>evidence</w:t>
      </w:r>
      <w:r>
        <w:rPr>
          <w:spacing w:val="-7"/>
          <w:sz w:val="24"/>
        </w:rPr>
        <w:t> </w:t>
      </w:r>
      <w:r>
        <w:rPr>
          <w:sz w:val="24"/>
        </w:rPr>
        <w:t>of</w:t>
      </w:r>
      <w:r>
        <w:rPr>
          <w:spacing w:val="-4"/>
          <w:sz w:val="24"/>
        </w:rPr>
        <w:t> </w:t>
      </w:r>
      <w:r>
        <w:rPr>
          <w:sz w:val="24"/>
        </w:rPr>
        <w:t>a</w:t>
      </w:r>
      <w:r>
        <w:rPr>
          <w:spacing w:val="-8"/>
          <w:sz w:val="24"/>
        </w:rPr>
        <w:t> </w:t>
      </w:r>
      <w:r>
        <w:rPr>
          <w:sz w:val="24"/>
        </w:rPr>
        <w:t>decline</w:t>
      </w:r>
      <w:r>
        <w:rPr>
          <w:spacing w:val="-7"/>
          <w:sz w:val="24"/>
        </w:rPr>
        <w:t> </w:t>
      </w:r>
      <w:r>
        <w:rPr>
          <w:sz w:val="24"/>
        </w:rPr>
        <w:t>in</w:t>
      </w:r>
      <w:r>
        <w:rPr>
          <w:spacing w:val="-8"/>
          <w:sz w:val="24"/>
        </w:rPr>
        <w:t> </w:t>
      </w:r>
      <w:r>
        <w:rPr>
          <w:sz w:val="24"/>
        </w:rPr>
        <w:t>net</w:t>
      </w:r>
      <w:r>
        <w:rPr>
          <w:spacing w:val="-3"/>
          <w:sz w:val="24"/>
        </w:rPr>
        <w:t> </w:t>
      </w:r>
      <w:r>
        <w:rPr>
          <w:sz w:val="24"/>
        </w:rPr>
        <w:t>trade,</w:t>
      </w:r>
      <w:r>
        <w:rPr>
          <w:spacing w:val="-8"/>
          <w:sz w:val="24"/>
        </w:rPr>
        <w:t> </w:t>
      </w:r>
      <w:r>
        <w:rPr>
          <w:sz w:val="24"/>
        </w:rPr>
        <w:t>still</w:t>
      </w:r>
      <w:r>
        <w:rPr>
          <w:spacing w:val="-8"/>
          <w:sz w:val="24"/>
        </w:rPr>
        <w:t> </w:t>
      </w:r>
      <w:r>
        <w:rPr>
          <w:sz w:val="24"/>
        </w:rPr>
        <w:t>robust</w:t>
      </w:r>
      <w:r>
        <w:rPr>
          <w:spacing w:val="-6"/>
          <w:sz w:val="24"/>
        </w:rPr>
        <w:t> </w:t>
      </w:r>
      <w:r>
        <w:rPr>
          <w:sz w:val="24"/>
        </w:rPr>
        <w:t>domestic</w:t>
      </w:r>
      <w:r>
        <w:rPr>
          <w:spacing w:val="-7"/>
          <w:sz w:val="24"/>
        </w:rPr>
        <w:t> </w:t>
      </w:r>
      <w:r>
        <w:rPr>
          <w:sz w:val="24"/>
        </w:rPr>
        <w:t>demand</w:t>
      </w:r>
      <w:r>
        <w:rPr>
          <w:spacing w:val="-8"/>
          <w:sz w:val="24"/>
        </w:rPr>
        <w:t> </w:t>
      </w:r>
      <w:r>
        <w:rPr>
          <w:sz w:val="24"/>
        </w:rPr>
        <w:t>growth,</w:t>
      </w:r>
      <w:r>
        <w:rPr>
          <w:spacing w:val="-8"/>
          <w:sz w:val="24"/>
        </w:rPr>
        <w:t> </w:t>
      </w:r>
      <w:r>
        <w:rPr>
          <w:sz w:val="24"/>
        </w:rPr>
        <w:t>the</w:t>
      </w:r>
    </w:p>
    <w:p>
      <w:pPr>
        <w:spacing w:after="0" w:line="372" w:lineRule="auto"/>
        <w:jc w:val="left"/>
        <w:rPr>
          <w:sz w:val="24"/>
        </w:rPr>
        <w:sectPr>
          <w:pgSz w:w="11900" w:h="16840"/>
          <w:pgMar w:header="867" w:footer="0" w:top="1320" w:bottom="280" w:left="1020" w:right="880"/>
        </w:sectPr>
      </w:pPr>
    </w:p>
    <w:p>
      <w:pPr>
        <w:pStyle w:val="BodyText"/>
        <w:spacing w:line="372" w:lineRule="auto" w:before="80"/>
        <w:ind w:left="117" w:right="672"/>
      </w:pPr>
      <w:r>
        <w:rPr/>
        <w:t>stability</w:t>
      </w:r>
      <w:r>
        <w:rPr>
          <w:spacing w:val="-18"/>
        </w:rPr>
        <w:t> </w:t>
      </w:r>
      <w:r>
        <w:rPr/>
        <w:t>of</w:t>
      </w:r>
      <w:r>
        <w:rPr>
          <w:spacing w:val="-14"/>
        </w:rPr>
        <w:t> </w:t>
      </w:r>
      <w:r>
        <w:rPr/>
        <w:t>earnings</w:t>
      </w:r>
      <w:r>
        <w:rPr>
          <w:spacing w:val="-18"/>
        </w:rPr>
        <w:t> </w:t>
      </w:r>
      <w:r>
        <w:rPr/>
        <w:t>growth,</w:t>
      </w:r>
      <w:r>
        <w:rPr>
          <w:spacing w:val="-17"/>
        </w:rPr>
        <w:t> </w:t>
      </w:r>
      <w:r>
        <w:rPr/>
        <w:t>the</w:t>
      </w:r>
      <w:r>
        <w:rPr>
          <w:spacing w:val="-17"/>
        </w:rPr>
        <w:t> </w:t>
      </w:r>
      <w:r>
        <w:rPr/>
        <w:t>slight</w:t>
      </w:r>
      <w:r>
        <w:rPr>
          <w:spacing w:val="-15"/>
        </w:rPr>
        <w:t> </w:t>
      </w:r>
      <w:r>
        <w:rPr/>
        <w:t>fall</w:t>
      </w:r>
      <w:r>
        <w:rPr>
          <w:spacing w:val="-17"/>
        </w:rPr>
        <w:t> </w:t>
      </w:r>
      <w:r>
        <w:rPr/>
        <w:t>in</w:t>
      </w:r>
      <w:r>
        <w:rPr>
          <w:spacing w:val="-18"/>
        </w:rPr>
        <w:t> </w:t>
      </w:r>
      <w:r>
        <w:rPr/>
        <w:t>inflation</w:t>
      </w:r>
      <w:r>
        <w:rPr>
          <w:spacing w:val="-17"/>
        </w:rPr>
        <w:t> </w:t>
      </w:r>
      <w:r>
        <w:rPr/>
        <w:t>expectations,</w:t>
      </w:r>
      <w:r>
        <w:rPr>
          <w:spacing w:val="-18"/>
        </w:rPr>
        <w:t> </w:t>
      </w:r>
      <w:r>
        <w:rPr/>
        <w:t>signs</w:t>
      </w:r>
      <w:r>
        <w:rPr>
          <w:spacing w:val="-17"/>
        </w:rPr>
        <w:t> </w:t>
      </w:r>
      <w:r>
        <w:rPr/>
        <w:t>of</w:t>
      </w:r>
      <w:r>
        <w:rPr>
          <w:spacing w:val="-14"/>
        </w:rPr>
        <w:t> </w:t>
      </w:r>
      <w:r>
        <w:rPr/>
        <w:t>slowing</w:t>
      </w:r>
      <w:r>
        <w:rPr>
          <w:spacing w:val="-18"/>
        </w:rPr>
        <w:t> </w:t>
      </w:r>
      <w:r>
        <w:rPr/>
        <w:t>broad</w:t>
      </w:r>
      <w:r>
        <w:rPr>
          <w:spacing w:val="-17"/>
        </w:rPr>
        <w:t> </w:t>
      </w:r>
      <w:r>
        <w:rPr/>
        <w:t>money growth - were reflected in the May</w:t>
      </w:r>
      <w:r>
        <w:rPr>
          <w:spacing w:val="13"/>
        </w:rPr>
        <w:t> </w:t>
      </w:r>
      <w:r>
        <w:rPr/>
        <w:t>forecast.</w:t>
      </w:r>
    </w:p>
    <w:p>
      <w:pPr>
        <w:pStyle w:val="BodyText"/>
        <w:rPr>
          <w:sz w:val="37"/>
        </w:rPr>
      </w:pPr>
    </w:p>
    <w:p>
      <w:pPr>
        <w:pStyle w:val="ListParagraph"/>
        <w:numPr>
          <w:ilvl w:val="0"/>
          <w:numId w:val="1"/>
        </w:numPr>
        <w:tabs>
          <w:tab w:pos="573" w:val="left" w:leader="none"/>
          <w:tab w:pos="574" w:val="left" w:leader="none"/>
        </w:tabs>
        <w:spacing w:line="372" w:lineRule="auto" w:before="0" w:after="0"/>
        <w:ind w:left="117" w:right="215" w:firstLine="0"/>
        <w:jc w:val="left"/>
        <w:rPr>
          <w:sz w:val="24"/>
        </w:rPr>
      </w:pPr>
      <w:r>
        <w:rPr>
          <w:sz w:val="24"/>
        </w:rPr>
        <w:t>On </w:t>
      </w:r>
      <w:r>
        <w:rPr>
          <w:spacing w:val="2"/>
          <w:sz w:val="24"/>
        </w:rPr>
        <w:t>one </w:t>
      </w:r>
      <w:r>
        <w:rPr>
          <w:sz w:val="24"/>
        </w:rPr>
        <w:t>view, the inflation </w:t>
      </w:r>
      <w:r>
        <w:rPr>
          <w:spacing w:val="3"/>
          <w:sz w:val="24"/>
        </w:rPr>
        <w:t>outlook over </w:t>
      </w:r>
      <w:r>
        <w:rPr>
          <w:sz w:val="24"/>
        </w:rPr>
        <w:t>the forecast period - </w:t>
      </w:r>
      <w:r>
        <w:rPr>
          <w:spacing w:val="2"/>
          <w:sz w:val="24"/>
        </w:rPr>
        <w:t>out to </w:t>
      </w:r>
      <w:r>
        <w:rPr>
          <w:sz w:val="24"/>
        </w:rPr>
        <w:t>around two years - had improved since February and, on the May forecast, there was no longer a pressing case for an immediate rise in interest rates. The </w:t>
      </w:r>
      <w:r>
        <w:rPr>
          <w:spacing w:val="3"/>
          <w:sz w:val="24"/>
        </w:rPr>
        <w:t>outlook </w:t>
      </w:r>
      <w:r>
        <w:rPr>
          <w:sz w:val="24"/>
        </w:rPr>
        <w:t>was nevertheless uncomfortable. On this view, with the benefit of some hindsight, monetary policy should have been tighter during 1997 and into 1998 (although, on another view, fiscal policy should perhaps have been set more directly </w:t>
      </w:r>
      <w:r>
        <w:rPr>
          <w:spacing w:val="2"/>
          <w:sz w:val="24"/>
        </w:rPr>
        <w:t>to </w:t>
      </w:r>
      <w:r>
        <w:rPr>
          <w:sz w:val="24"/>
        </w:rPr>
        <w:t>reduce consumption growth). As a consequence domestically generated inflation remained high, with inflation projected </w:t>
      </w:r>
      <w:r>
        <w:rPr>
          <w:spacing w:val="2"/>
          <w:sz w:val="24"/>
        </w:rPr>
        <w:t>to </w:t>
      </w:r>
      <w:r>
        <w:rPr>
          <w:sz w:val="24"/>
        </w:rPr>
        <w:t>be in line, or a little below, the target </w:t>
      </w:r>
      <w:r>
        <w:rPr>
          <w:spacing w:val="3"/>
          <w:sz w:val="24"/>
        </w:rPr>
        <w:t>over </w:t>
      </w:r>
      <w:r>
        <w:rPr>
          <w:sz w:val="24"/>
        </w:rPr>
        <w:t>the forecast period </w:t>
      </w:r>
      <w:r>
        <w:rPr>
          <w:spacing w:val="3"/>
          <w:sz w:val="24"/>
        </w:rPr>
        <w:t>only </w:t>
      </w:r>
      <w:r>
        <w:rPr>
          <w:sz w:val="24"/>
        </w:rPr>
        <w:t>by virtue of the</w:t>
      </w:r>
      <w:r>
        <w:rPr>
          <w:spacing w:val="-17"/>
          <w:sz w:val="24"/>
        </w:rPr>
        <w:t> </w:t>
      </w:r>
      <w:r>
        <w:rPr>
          <w:sz w:val="24"/>
        </w:rPr>
        <w:t>beneficial</w:t>
      </w:r>
      <w:r>
        <w:rPr>
          <w:spacing w:val="-16"/>
          <w:sz w:val="24"/>
        </w:rPr>
        <w:t> </w:t>
      </w:r>
      <w:r>
        <w:rPr>
          <w:sz w:val="24"/>
        </w:rPr>
        <w:t>effects</w:t>
      </w:r>
      <w:r>
        <w:rPr>
          <w:spacing w:val="-16"/>
          <w:sz w:val="24"/>
        </w:rPr>
        <w:t> </w:t>
      </w:r>
      <w:r>
        <w:rPr>
          <w:sz w:val="24"/>
        </w:rPr>
        <w:t>of</w:t>
      </w:r>
      <w:r>
        <w:rPr>
          <w:spacing w:val="-13"/>
          <w:sz w:val="24"/>
        </w:rPr>
        <w:t> </w:t>
      </w:r>
      <w:r>
        <w:rPr>
          <w:spacing w:val="-3"/>
          <w:sz w:val="24"/>
        </w:rPr>
        <w:t>sterling’s</w:t>
      </w:r>
      <w:r>
        <w:rPr>
          <w:spacing w:val="-16"/>
          <w:sz w:val="24"/>
        </w:rPr>
        <w:t> </w:t>
      </w:r>
      <w:r>
        <w:rPr>
          <w:sz w:val="24"/>
        </w:rPr>
        <w:t>appreciation</w:t>
      </w:r>
      <w:r>
        <w:rPr>
          <w:spacing w:val="-17"/>
          <w:sz w:val="24"/>
        </w:rPr>
        <w:t> </w:t>
      </w:r>
      <w:r>
        <w:rPr>
          <w:sz w:val="24"/>
        </w:rPr>
        <w:t>and</w:t>
      </w:r>
      <w:r>
        <w:rPr>
          <w:spacing w:val="-16"/>
          <w:sz w:val="24"/>
        </w:rPr>
        <w:t> </w:t>
      </w:r>
      <w:r>
        <w:rPr>
          <w:sz w:val="24"/>
        </w:rPr>
        <w:t>falling</w:t>
      </w:r>
      <w:r>
        <w:rPr>
          <w:spacing w:val="-16"/>
          <w:sz w:val="24"/>
        </w:rPr>
        <w:t> </w:t>
      </w:r>
      <w:r>
        <w:rPr>
          <w:sz w:val="24"/>
        </w:rPr>
        <w:t>world</w:t>
      </w:r>
      <w:r>
        <w:rPr>
          <w:spacing w:val="-16"/>
          <w:sz w:val="24"/>
        </w:rPr>
        <w:t> </w:t>
      </w:r>
      <w:r>
        <w:rPr>
          <w:sz w:val="24"/>
        </w:rPr>
        <w:t>commodity</w:t>
      </w:r>
      <w:r>
        <w:rPr>
          <w:spacing w:val="-17"/>
          <w:sz w:val="24"/>
        </w:rPr>
        <w:t> </w:t>
      </w:r>
      <w:r>
        <w:rPr>
          <w:sz w:val="24"/>
        </w:rPr>
        <w:t>prices.</w:t>
      </w:r>
      <w:r>
        <w:rPr>
          <w:spacing w:val="28"/>
          <w:sz w:val="24"/>
        </w:rPr>
        <w:t> </w:t>
      </w:r>
      <w:r>
        <w:rPr>
          <w:sz w:val="24"/>
        </w:rPr>
        <w:t>Given</w:t>
      </w:r>
      <w:r>
        <w:rPr>
          <w:spacing w:val="-17"/>
          <w:sz w:val="24"/>
        </w:rPr>
        <w:t> </w:t>
      </w:r>
      <w:r>
        <w:rPr>
          <w:sz w:val="24"/>
        </w:rPr>
        <w:t>the</w:t>
      </w:r>
      <w:r>
        <w:rPr>
          <w:spacing w:val="-16"/>
          <w:sz w:val="24"/>
        </w:rPr>
        <w:t> </w:t>
      </w:r>
      <w:r>
        <w:rPr>
          <w:sz w:val="24"/>
        </w:rPr>
        <w:t>strength of domestic demand it was likely that a further slowdown in the internationally exposed sectors was now needed </w:t>
      </w:r>
      <w:r>
        <w:rPr>
          <w:spacing w:val="2"/>
          <w:sz w:val="24"/>
        </w:rPr>
        <w:t>to </w:t>
      </w:r>
      <w:r>
        <w:rPr>
          <w:sz w:val="24"/>
        </w:rPr>
        <w:t>achieve the inflation target on the exchange rate profile assumed in the central projection; and economy-wide unemployment would probably have </w:t>
      </w:r>
      <w:r>
        <w:rPr>
          <w:spacing w:val="2"/>
          <w:sz w:val="24"/>
        </w:rPr>
        <w:t>to </w:t>
      </w:r>
      <w:r>
        <w:rPr>
          <w:sz w:val="24"/>
        </w:rPr>
        <w:t>rise </w:t>
      </w:r>
      <w:r>
        <w:rPr>
          <w:spacing w:val="2"/>
          <w:sz w:val="24"/>
        </w:rPr>
        <w:t>to </w:t>
      </w:r>
      <w:r>
        <w:rPr>
          <w:sz w:val="24"/>
        </w:rPr>
        <w:t>hit the target on a sustainable basis. Monetary policy was in effect boxed in and would not be able </w:t>
      </w:r>
      <w:r>
        <w:rPr>
          <w:spacing w:val="2"/>
          <w:sz w:val="24"/>
        </w:rPr>
        <w:t>to </w:t>
      </w:r>
      <w:r>
        <w:rPr>
          <w:sz w:val="24"/>
        </w:rPr>
        <w:t>respond </w:t>
      </w:r>
      <w:r>
        <w:rPr>
          <w:spacing w:val="2"/>
          <w:sz w:val="24"/>
        </w:rPr>
        <w:t>to </w:t>
      </w:r>
      <w:r>
        <w:rPr>
          <w:sz w:val="24"/>
        </w:rPr>
        <w:t>any future positive shocks </w:t>
      </w:r>
      <w:r>
        <w:rPr>
          <w:spacing w:val="2"/>
          <w:sz w:val="24"/>
        </w:rPr>
        <w:t>to </w:t>
      </w:r>
      <w:r>
        <w:rPr>
          <w:sz w:val="24"/>
        </w:rPr>
        <w:t>inflation by accommodating their first-round</w:t>
      </w:r>
      <w:r>
        <w:rPr>
          <w:spacing w:val="-14"/>
          <w:sz w:val="24"/>
        </w:rPr>
        <w:t> </w:t>
      </w:r>
      <w:r>
        <w:rPr>
          <w:sz w:val="24"/>
        </w:rPr>
        <w:t>effects.</w:t>
      </w:r>
    </w:p>
    <w:p>
      <w:pPr>
        <w:pStyle w:val="BodyText"/>
        <w:spacing w:before="6"/>
        <w:rPr>
          <w:sz w:val="36"/>
        </w:rPr>
      </w:pPr>
    </w:p>
    <w:p>
      <w:pPr>
        <w:pStyle w:val="ListParagraph"/>
        <w:numPr>
          <w:ilvl w:val="0"/>
          <w:numId w:val="1"/>
        </w:numPr>
        <w:tabs>
          <w:tab w:pos="573" w:val="left" w:leader="none"/>
          <w:tab w:pos="574" w:val="left" w:leader="none"/>
        </w:tabs>
        <w:spacing w:line="372" w:lineRule="auto" w:before="0" w:after="0"/>
        <w:ind w:left="117" w:right="247" w:firstLine="0"/>
        <w:jc w:val="left"/>
        <w:rPr>
          <w:sz w:val="24"/>
        </w:rPr>
      </w:pPr>
      <w:r>
        <w:rPr>
          <w:sz w:val="24"/>
        </w:rPr>
        <w:t>On this first view, while interest rates did not need </w:t>
      </w:r>
      <w:r>
        <w:rPr>
          <w:spacing w:val="2"/>
          <w:sz w:val="24"/>
        </w:rPr>
        <w:t>to </w:t>
      </w:r>
      <w:r>
        <w:rPr>
          <w:sz w:val="24"/>
        </w:rPr>
        <w:t>increase immediately, it was still more likely</w:t>
      </w:r>
      <w:r>
        <w:rPr>
          <w:spacing w:val="-10"/>
          <w:sz w:val="24"/>
        </w:rPr>
        <w:t> </w:t>
      </w:r>
      <w:r>
        <w:rPr>
          <w:sz w:val="24"/>
        </w:rPr>
        <w:t>than</w:t>
      </w:r>
      <w:r>
        <w:rPr>
          <w:spacing w:val="-9"/>
          <w:sz w:val="24"/>
        </w:rPr>
        <w:t> </w:t>
      </w:r>
      <w:r>
        <w:rPr>
          <w:sz w:val="24"/>
        </w:rPr>
        <w:t>not</w:t>
      </w:r>
      <w:r>
        <w:rPr>
          <w:spacing w:val="-5"/>
          <w:sz w:val="24"/>
        </w:rPr>
        <w:t> </w:t>
      </w:r>
      <w:r>
        <w:rPr>
          <w:sz w:val="24"/>
        </w:rPr>
        <w:t>that</w:t>
      </w:r>
      <w:r>
        <w:rPr>
          <w:spacing w:val="-5"/>
          <w:sz w:val="24"/>
        </w:rPr>
        <w:t> </w:t>
      </w:r>
      <w:r>
        <w:rPr>
          <w:sz w:val="24"/>
        </w:rPr>
        <w:t>they</w:t>
      </w:r>
      <w:r>
        <w:rPr>
          <w:spacing w:val="-10"/>
          <w:sz w:val="24"/>
        </w:rPr>
        <w:t> </w:t>
      </w:r>
      <w:r>
        <w:rPr>
          <w:sz w:val="24"/>
        </w:rPr>
        <w:t>would</w:t>
      </w:r>
      <w:r>
        <w:rPr>
          <w:spacing w:val="-9"/>
          <w:sz w:val="24"/>
        </w:rPr>
        <w:t> </w:t>
      </w:r>
      <w:r>
        <w:rPr>
          <w:sz w:val="24"/>
        </w:rPr>
        <w:t>have</w:t>
      </w:r>
      <w:r>
        <w:rPr>
          <w:spacing w:val="-9"/>
          <w:sz w:val="24"/>
        </w:rPr>
        <w:t> </w:t>
      </w:r>
      <w:r>
        <w:rPr>
          <w:spacing w:val="2"/>
          <w:sz w:val="24"/>
        </w:rPr>
        <w:t>to</w:t>
      </w:r>
      <w:r>
        <w:rPr>
          <w:spacing w:val="-5"/>
          <w:sz w:val="24"/>
        </w:rPr>
        <w:t> </w:t>
      </w:r>
      <w:r>
        <w:rPr>
          <w:sz w:val="24"/>
        </w:rPr>
        <w:t>go</w:t>
      </w:r>
      <w:r>
        <w:rPr>
          <w:spacing w:val="-10"/>
          <w:sz w:val="24"/>
        </w:rPr>
        <w:t> </w:t>
      </w:r>
      <w:r>
        <w:rPr>
          <w:sz w:val="24"/>
        </w:rPr>
        <w:t>up</w:t>
      </w:r>
      <w:r>
        <w:rPr>
          <w:spacing w:val="-9"/>
          <w:sz w:val="24"/>
        </w:rPr>
        <w:t> </w:t>
      </w:r>
      <w:r>
        <w:rPr>
          <w:sz w:val="24"/>
        </w:rPr>
        <w:t>in</w:t>
      </w:r>
      <w:r>
        <w:rPr>
          <w:spacing w:val="-9"/>
          <w:sz w:val="24"/>
        </w:rPr>
        <w:t> </w:t>
      </w:r>
      <w:r>
        <w:rPr>
          <w:sz w:val="24"/>
        </w:rPr>
        <w:t>due</w:t>
      </w:r>
      <w:r>
        <w:rPr>
          <w:spacing w:val="-10"/>
          <w:sz w:val="24"/>
        </w:rPr>
        <w:t> </w:t>
      </w:r>
      <w:r>
        <w:rPr>
          <w:sz w:val="24"/>
        </w:rPr>
        <w:t>course</w:t>
      </w:r>
      <w:r>
        <w:rPr>
          <w:spacing w:val="-9"/>
          <w:sz w:val="24"/>
        </w:rPr>
        <w:t> </w:t>
      </w:r>
      <w:r>
        <w:rPr>
          <w:sz w:val="24"/>
        </w:rPr>
        <w:t>(although</w:t>
      </w:r>
      <w:r>
        <w:rPr>
          <w:spacing w:val="-8"/>
          <w:sz w:val="24"/>
        </w:rPr>
        <w:t> </w:t>
      </w:r>
      <w:r>
        <w:rPr>
          <w:sz w:val="24"/>
        </w:rPr>
        <w:t>the</w:t>
      </w:r>
      <w:r>
        <w:rPr>
          <w:spacing w:val="-9"/>
          <w:sz w:val="24"/>
        </w:rPr>
        <w:t> </w:t>
      </w:r>
      <w:r>
        <w:rPr>
          <w:sz w:val="24"/>
        </w:rPr>
        <w:t>probability</w:t>
      </w:r>
      <w:r>
        <w:rPr>
          <w:spacing w:val="-9"/>
          <w:sz w:val="24"/>
        </w:rPr>
        <w:t> </w:t>
      </w:r>
      <w:r>
        <w:rPr>
          <w:sz w:val="24"/>
        </w:rPr>
        <w:t>of</w:t>
      </w:r>
      <w:r>
        <w:rPr>
          <w:spacing w:val="-5"/>
          <w:sz w:val="24"/>
        </w:rPr>
        <w:t> </w:t>
      </w:r>
      <w:r>
        <w:rPr>
          <w:sz w:val="24"/>
        </w:rPr>
        <w:t>this</w:t>
      </w:r>
      <w:r>
        <w:rPr>
          <w:spacing w:val="-10"/>
          <w:sz w:val="24"/>
        </w:rPr>
        <w:t> </w:t>
      </w:r>
      <w:r>
        <w:rPr>
          <w:sz w:val="24"/>
        </w:rPr>
        <w:t>had</w:t>
      </w:r>
      <w:r>
        <w:rPr>
          <w:spacing w:val="-9"/>
          <w:sz w:val="24"/>
        </w:rPr>
        <w:t> </w:t>
      </w:r>
      <w:r>
        <w:rPr>
          <w:sz w:val="24"/>
        </w:rPr>
        <w:t>fallen somewhat). This was for four reasons. First, on the assumptions in the central projection, inflation was set </w:t>
      </w:r>
      <w:r>
        <w:rPr>
          <w:spacing w:val="2"/>
          <w:sz w:val="24"/>
        </w:rPr>
        <w:t>to </w:t>
      </w:r>
      <w:r>
        <w:rPr>
          <w:sz w:val="24"/>
        </w:rPr>
        <w:t>rise towards and beyond the two-year horizon as domestic demand was not projected to moderate sufficiently </w:t>
      </w:r>
      <w:r>
        <w:rPr>
          <w:spacing w:val="2"/>
          <w:sz w:val="24"/>
        </w:rPr>
        <w:t>to </w:t>
      </w:r>
      <w:r>
        <w:rPr>
          <w:spacing w:val="3"/>
          <w:sz w:val="24"/>
        </w:rPr>
        <w:t>offset </w:t>
      </w:r>
      <w:r>
        <w:rPr>
          <w:sz w:val="24"/>
        </w:rPr>
        <w:t>the wearing </w:t>
      </w:r>
      <w:r>
        <w:rPr>
          <w:spacing w:val="2"/>
          <w:sz w:val="24"/>
        </w:rPr>
        <w:t>off </w:t>
      </w:r>
      <w:r>
        <w:rPr>
          <w:sz w:val="24"/>
        </w:rPr>
        <w:t>of the beneficial but temporary external influences. Second, the risks </w:t>
      </w:r>
      <w:r>
        <w:rPr>
          <w:spacing w:val="2"/>
          <w:sz w:val="24"/>
        </w:rPr>
        <w:t>to </w:t>
      </w:r>
      <w:r>
        <w:rPr>
          <w:sz w:val="24"/>
        </w:rPr>
        <w:t>inflation were clearly on the upside at the end of the two-year horizon, largely because sterling might fall more rapidly than assumed on the central projection. Third, in the run up </w:t>
      </w:r>
      <w:r>
        <w:rPr>
          <w:spacing w:val="2"/>
          <w:sz w:val="24"/>
        </w:rPr>
        <w:t>to </w:t>
      </w:r>
      <w:r>
        <w:rPr>
          <w:sz w:val="24"/>
        </w:rPr>
        <w:t>the </w:t>
      </w:r>
      <w:r>
        <w:rPr>
          <w:spacing w:val="-3"/>
          <w:sz w:val="24"/>
        </w:rPr>
        <w:t>Committee’s </w:t>
      </w:r>
      <w:r>
        <w:rPr>
          <w:sz w:val="24"/>
        </w:rPr>
        <w:t>meeting, sterling had fallen materially below the starting point assumed in the forecast. Fourth, the forecast did not take into account the planned minimum wage; while it would be</w:t>
      </w:r>
      <w:r>
        <w:rPr>
          <w:spacing w:val="-10"/>
          <w:sz w:val="24"/>
        </w:rPr>
        <w:t> </w:t>
      </w:r>
      <w:r>
        <w:rPr>
          <w:sz w:val="24"/>
        </w:rPr>
        <w:t>a</w:t>
      </w:r>
      <w:r>
        <w:rPr>
          <w:spacing w:val="-10"/>
          <w:sz w:val="24"/>
        </w:rPr>
        <w:t> </w:t>
      </w:r>
      <w:r>
        <w:rPr>
          <w:sz w:val="24"/>
        </w:rPr>
        <w:t>mistake</w:t>
      </w:r>
      <w:r>
        <w:rPr>
          <w:spacing w:val="-10"/>
          <w:sz w:val="24"/>
        </w:rPr>
        <w:t> </w:t>
      </w:r>
      <w:r>
        <w:rPr>
          <w:sz w:val="24"/>
        </w:rPr>
        <w:t>for</w:t>
      </w:r>
      <w:r>
        <w:rPr>
          <w:spacing w:val="-10"/>
          <w:sz w:val="24"/>
        </w:rPr>
        <w:t> </w:t>
      </w:r>
      <w:r>
        <w:rPr>
          <w:sz w:val="24"/>
        </w:rPr>
        <w:t>policy</w:t>
      </w:r>
      <w:r>
        <w:rPr>
          <w:spacing w:val="-10"/>
          <w:sz w:val="24"/>
        </w:rPr>
        <w:t> </w:t>
      </w:r>
      <w:r>
        <w:rPr>
          <w:spacing w:val="2"/>
          <w:sz w:val="24"/>
        </w:rPr>
        <w:t>to</w:t>
      </w:r>
      <w:r>
        <w:rPr>
          <w:spacing w:val="-6"/>
          <w:sz w:val="24"/>
        </w:rPr>
        <w:t> </w:t>
      </w:r>
      <w:r>
        <w:rPr>
          <w:sz w:val="24"/>
        </w:rPr>
        <w:t>do</w:t>
      </w:r>
      <w:r>
        <w:rPr>
          <w:spacing w:val="-9"/>
          <w:sz w:val="24"/>
        </w:rPr>
        <w:t> </w:t>
      </w:r>
      <w:r>
        <w:rPr>
          <w:sz w:val="24"/>
        </w:rPr>
        <w:t>so</w:t>
      </w:r>
      <w:r>
        <w:rPr>
          <w:spacing w:val="-10"/>
          <w:sz w:val="24"/>
        </w:rPr>
        <w:t> </w:t>
      </w:r>
      <w:r>
        <w:rPr>
          <w:sz w:val="24"/>
        </w:rPr>
        <w:t>before</w:t>
      </w:r>
      <w:r>
        <w:rPr>
          <w:spacing w:val="-10"/>
          <w:sz w:val="24"/>
        </w:rPr>
        <w:t> </w:t>
      </w:r>
      <w:r>
        <w:rPr>
          <w:sz w:val="24"/>
        </w:rPr>
        <w:t>its</w:t>
      </w:r>
      <w:r>
        <w:rPr>
          <w:spacing w:val="-10"/>
          <w:sz w:val="24"/>
        </w:rPr>
        <w:t> </w:t>
      </w:r>
      <w:r>
        <w:rPr>
          <w:sz w:val="24"/>
        </w:rPr>
        <w:t>terms</w:t>
      </w:r>
      <w:r>
        <w:rPr>
          <w:spacing w:val="-10"/>
          <w:sz w:val="24"/>
        </w:rPr>
        <w:t> </w:t>
      </w:r>
      <w:r>
        <w:rPr>
          <w:sz w:val="24"/>
        </w:rPr>
        <w:t>were</w:t>
      </w:r>
      <w:r>
        <w:rPr>
          <w:spacing w:val="-10"/>
          <w:sz w:val="24"/>
        </w:rPr>
        <w:t> </w:t>
      </w:r>
      <w:r>
        <w:rPr>
          <w:sz w:val="24"/>
        </w:rPr>
        <w:t>clear,</w:t>
      </w:r>
      <w:r>
        <w:rPr>
          <w:spacing w:val="-10"/>
          <w:sz w:val="24"/>
        </w:rPr>
        <w:t> </w:t>
      </w:r>
      <w:r>
        <w:rPr>
          <w:sz w:val="24"/>
        </w:rPr>
        <w:t>the</w:t>
      </w:r>
      <w:r>
        <w:rPr>
          <w:spacing w:val="-9"/>
          <w:sz w:val="24"/>
        </w:rPr>
        <w:t> </w:t>
      </w:r>
      <w:r>
        <w:rPr>
          <w:sz w:val="24"/>
        </w:rPr>
        <w:t>implication</w:t>
      </w:r>
      <w:r>
        <w:rPr>
          <w:spacing w:val="-10"/>
          <w:sz w:val="24"/>
        </w:rPr>
        <w:t> </w:t>
      </w:r>
      <w:r>
        <w:rPr>
          <w:sz w:val="24"/>
        </w:rPr>
        <w:t>of</w:t>
      </w:r>
      <w:r>
        <w:rPr>
          <w:spacing w:val="-6"/>
          <w:sz w:val="24"/>
        </w:rPr>
        <w:t> </w:t>
      </w:r>
      <w:r>
        <w:rPr>
          <w:sz w:val="24"/>
        </w:rPr>
        <w:t>the</w:t>
      </w:r>
      <w:r>
        <w:rPr>
          <w:spacing w:val="-10"/>
          <w:sz w:val="24"/>
        </w:rPr>
        <w:t> </w:t>
      </w:r>
      <w:r>
        <w:rPr>
          <w:sz w:val="24"/>
        </w:rPr>
        <w:t>minimum</w:t>
      </w:r>
      <w:r>
        <w:rPr>
          <w:spacing w:val="-10"/>
          <w:sz w:val="24"/>
        </w:rPr>
        <w:t> </w:t>
      </w:r>
      <w:r>
        <w:rPr>
          <w:sz w:val="24"/>
        </w:rPr>
        <w:t>wage</w:t>
      </w:r>
      <w:r>
        <w:rPr>
          <w:spacing w:val="-10"/>
          <w:sz w:val="24"/>
        </w:rPr>
        <w:t> </w:t>
      </w:r>
      <w:r>
        <w:rPr>
          <w:sz w:val="24"/>
        </w:rPr>
        <w:t>was that future policy would need </w:t>
      </w:r>
      <w:r>
        <w:rPr>
          <w:spacing w:val="2"/>
          <w:sz w:val="24"/>
        </w:rPr>
        <w:t>to </w:t>
      </w:r>
      <w:r>
        <w:rPr>
          <w:sz w:val="24"/>
        </w:rPr>
        <w:t>be tighter than </w:t>
      </w:r>
      <w:r>
        <w:rPr>
          <w:spacing w:val="3"/>
          <w:sz w:val="24"/>
        </w:rPr>
        <w:t>otherwise. </w:t>
      </w:r>
      <w:r>
        <w:rPr>
          <w:sz w:val="24"/>
        </w:rPr>
        <w:t>For those reasons, it was important that a no-change decision should not lead the market </w:t>
      </w:r>
      <w:r>
        <w:rPr>
          <w:spacing w:val="2"/>
          <w:sz w:val="24"/>
        </w:rPr>
        <w:t>to </w:t>
      </w:r>
      <w:r>
        <w:rPr>
          <w:sz w:val="24"/>
        </w:rPr>
        <w:t>conclude that </w:t>
      </w:r>
      <w:r>
        <w:rPr>
          <w:spacing w:val="3"/>
          <w:sz w:val="24"/>
        </w:rPr>
        <w:t>official </w:t>
      </w:r>
      <w:r>
        <w:rPr>
          <w:sz w:val="24"/>
        </w:rPr>
        <w:t>rates had peaked. The Overview section of the Inflation Report should be drafted with this in</w:t>
      </w:r>
      <w:r>
        <w:rPr>
          <w:spacing w:val="-5"/>
          <w:sz w:val="24"/>
        </w:rPr>
        <w:t> </w:t>
      </w:r>
      <w:r>
        <w:rPr>
          <w:sz w:val="24"/>
        </w:rPr>
        <w:t>mind.</w:t>
      </w:r>
    </w:p>
    <w:p>
      <w:pPr>
        <w:pStyle w:val="BodyText"/>
        <w:spacing w:before="6"/>
        <w:rPr>
          <w:sz w:val="36"/>
        </w:rPr>
      </w:pPr>
    </w:p>
    <w:p>
      <w:pPr>
        <w:pStyle w:val="ListParagraph"/>
        <w:numPr>
          <w:ilvl w:val="0"/>
          <w:numId w:val="1"/>
        </w:numPr>
        <w:tabs>
          <w:tab w:pos="573" w:val="left" w:leader="none"/>
          <w:tab w:pos="574" w:val="left" w:leader="none"/>
        </w:tabs>
        <w:spacing w:line="372" w:lineRule="auto" w:before="0" w:after="0"/>
        <w:ind w:left="117" w:right="493" w:firstLine="0"/>
        <w:jc w:val="left"/>
        <w:rPr>
          <w:sz w:val="24"/>
        </w:rPr>
      </w:pPr>
      <w:r>
        <w:rPr>
          <w:sz w:val="24"/>
        </w:rPr>
        <w:t>On</w:t>
      </w:r>
      <w:r>
        <w:rPr>
          <w:spacing w:val="-8"/>
          <w:sz w:val="24"/>
        </w:rPr>
        <w:t> </w:t>
      </w:r>
      <w:r>
        <w:rPr>
          <w:sz w:val="24"/>
        </w:rPr>
        <w:t>a</w:t>
      </w:r>
      <w:r>
        <w:rPr>
          <w:spacing w:val="-8"/>
          <w:sz w:val="24"/>
        </w:rPr>
        <w:t> </w:t>
      </w:r>
      <w:r>
        <w:rPr>
          <w:sz w:val="24"/>
        </w:rPr>
        <w:t>second</w:t>
      </w:r>
      <w:r>
        <w:rPr>
          <w:spacing w:val="-8"/>
          <w:sz w:val="24"/>
        </w:rPr>
        <w:t> </w:t>
      </w:r>
      <w:r>
        <w:rPr>
          <w:sz w:val="24"/>
        </w:rPr>
        <w:t>view</w:t>
      </w:r>
      <w:r>
        <w:rPr>
          <w:spacing w:val="-7"/>
          <w:sz w:val="24"/>
        </w:rPr>
        <w:t> </w:t>
      </w:r>
      <w:r>
        <w:rPr>
          <w:sz w:val="24"/>
        </w:rPr>
        <w:t>there</w:t>
      </w:r>
      <w:r>
        <w:rPr>
          <w:spacing w:val="-8"/>
          <w:sz w:val="24"/>
        </w:rPr>
        <w:t> </w:t>
      </w:r>
      <w:r>
        <w:rPr>
          <w:sz w:val="24"/>
        </w:rPr>
        <w:t>had</w:t>
      </w:r>
      <w:r>
        <w:rPr>
          <w:spacing w:val="-8"/>
          <w:sz w:val="24"/>
        </w:rPr>
        <w:t> </w:t>
      </w:r>
      <w:r>
        <w:rPr>
          <w:sz w:val="24"/>
        </w:rPr>
        <w:t>not</w:t>
      </w:r>
      <w:r>
        <w:rPr>
          <w:spacing w:val="-3"/>
          <w:sz w:val="24"/>
        </w:rPr>
        <w:t> </w:t>
      </w:r>
      <w:r>
        <w:rPr>
          <w:sz w:val="24"/>
        </w:rPr>
        <w:t>been</w:t>
      </w:r>
      <w:r>
        <w:rPr>
          <w:spacing w:val="-8"/>
          <w:sz w:val="24"/>
        </w:rPr>
        <w:t> </w:t>
      </w:r>
      <w:r>
        <w:rPr>
          <w:sz w:val="24"/>
        </w:rPr>
        <w:t>much</w:t>
      </w:r>
      <w:r>
        <w:rPr>
          <w:spacing w:val="-8"/>
          <w:sz w:val="24"/>
        </w:rPr>
        <w:t> </w:t>
      </w:r>
      <w:r>
        <w:rPr>
          <w:sz w:val="24"/>
        </w:rPr>
        <w:t>news</w:t>
      </w:r>
      <w:r>
        <w:rPr>
          <w:spacing w:val="-8"/>
          <w:sz w:val="24"/>
        </w:rPr>
        <w:t> </w:t>
      </w:r>
      <w:r>
        <w:rPr>
          <w:spacing w:val="3"/>
          <w:sz w:val="24"/>
        </w:rPr>
        <w:t>over</w:t>
      </w:r>
      <w:r>
        <w:rPr>
          <w:spacing w:val="-3"/>
          <w:sz w:val="24"/>
        </w:rPr>
        <w:t> </w:t>
      </w:r>
      <w:r>
        <w:rPr>
          <w:sz w:val="24"/>
        </w:rPr>
        <w:t>the</w:t>
      </w:r>
      <w:r>
        <w:rPr>
          <w:spacing w:val="-8"/>
          <w:sz w:val="24"/>
        </w:rPr>
        <w:t> </w:t>
      </w:r>
      <w:r>
        <w:rPr>
          <w:sz w:val="24"/>
        </w:rPr>
        <w:t>past</w:t>
      </w:r>
      <w:r>
        <w:rPr>
          <w:spacing w:val="-3"/>
          <w:sz w:val="24"/>
        </w:rPr>
        <w:t> </w:t>
      </w:r>
      <w:r>
        <w:rPr>
          <w:sz w:val="24"/>
        </w:rPr>
        <w:t>month</w:t>
      </w:r>
      <w:r>
        <w:rPr>
          <w:spacing w:val="-8"/>
          <w:sz w:val="24"/>
        </w:rPr>
        <w:t> </w:t>
      </w:r>
      <w:r>
        <w:rPr>
          <w:sz w:val="24"/>
        </w:rPr>
        <w:t>materially</w:t>
      </w:r>
      <w:r>
        <w:rPr>
          <w:spacing w:val="-8"/>
          <w:sz w:val="24"/>
        </w:rPr>
        <w:t> </w:t>
      </w:r>
      <w:r>
        <w:rPr>
          <w:spacing w:val="2"/>
          <w:sz w:val="24"/>
        </w:rPr>
        <w:t>to</w:t>
      </w:r>
      <w:r>
        <w:rPr>
          <w:spacing w:val="-3"/>
          <w:sz w:val="24"/>
        </w:rPr>
        <w:t> </w:t>
      </w:r>
      <w:r>
        <w:rPr>
          <w:sz w:val="24"/>
        </w:rPr>
        <w:t>change</w:t>
      </w:r>
      <w:r>
        <w:rPr>
          <w:spacing w:val="-8"/>
          <w:sz w:val="24"/>
        </w:rPr>
        <w:t> </w:t>
      </w:r>
      <w:r>
        <w:rPr>
          <w:sz w:val="24"/>
        </w:rPr>
        <w:t>the implications</w:t>
      </w:r>
      <w:r>
        <w:rPr>
          <w:spacing w:val="-13"/>
          <w:sz w:val="24"/>
        </w:rPr>
        <w:t> </w:t>
      </w:r>
      <w:r>
        <w:rPr>
          <w:sz w:val="24"/>
        </w:rPr>
        <w:t>for</w:t>
      </w:r>
      <w:r>
        <w:rPr>
          <w:spacing w:val="-12"/>
          <w:sz w:val="24"/>
        </w:rPr>
        <w:t> </w:t>
      </w:r>
      <w:r>
        <w:rPr>
          <w:sz w:val="24"/>
        </w:rPr>
        <w:t>policy.</w:t>
      </w:r>
      <w:r>
        <w:rPr>
          <w:spacing w:val="35"/>
          <w:sz w:val="24"/>
        </w:rPr>
        <w:t> </w:t>
      </w:r>
      <w:r>
        <w:rPr>
          <w:sz w:val="24"/>
        </w:rPr>
        <w:t>Net</w:t>
      </w:r>
      <w:r>
        <w:rPr>
          <w:spacing w:val="-9"/>
          <w:sz w:val="24"/>
        </w:rPr>
        <w:t> </w:t>
      </w:r>
      <w:r>
        <w:rPr>
          <w:sz w:val="24"/>
        </w:rPr>
        <w:t>trade</w:t>
      </w:r>
      <w:r>
        <w:rPr>
          <w:spacing w:val="-12"/>
          <w:sz w:val="24"/>
        </w:rPr>
        <w:t> </w:t>
      </w:r>
      <w:r>
        <w:rPr>
          <w:sz w:val="24"/>
        </w:rPr>
        <w:t>had</w:t>
      </w:r>
      <w:r>
        <w:rPr>
          <w:spacing w:val="-13"/>
          <w:sz w:val="24"/>
        </w:rPr>
        <w:t> </w:t>
      </w:r>
      <w:r>
        <w:rPr>
          <w:sz w:val="24"/>
        </w:rPr>
        <w:t>clearly</w:t>
      </w:r>
      <w:r>
        <w:rPr>
          <w:spacing w:val="-12"/>
          <w:sz w:val="24"/>
        </w:rPr>
        <w:t> </w:t>
      </w:r>
      <w:r>
        <w:rPr>
          <w:sz w:val="24"/>
        </w:rPr>
        <w:t>been</w:t>
      </w:r>
      <w:r>
        <w:rPr>
          <w:spacing w:val="-13"/>
          <w:sz w:val="24"/>
        </w:rPr>
        <w:t> </w:t>
      </w:r>
      <w:r>
        <w:rPr>
          <w:sz w:val="24"/>
        </w:rPr>
        <w:t>weakening,</w:t>
      </w:r>
      <w:r>
        <w:rPr>
          <w:spacing w:val="-12"/>
          <w:sz w:val="24"/>
        </w:rPr>
        <w:t> </w:t>
      </w:r>
      <w:r>
        <w:rPr>
          <w:sz w:val="24"/>
        </w:rPr>
        <w:t>and</w:t>
      </w:r>
      <w:r>
        <w:rPr>
          <w:spacing w:val="-13"/>
          <w:sz w:val="24"/>
        </w:rPr>
        <w:t> </w:t>
      </w:r>
      <w:r>
        <w:rPr>
          <w:sz w:val="24"/>
        </w:rPr>
        <w:t>consumption</w:t>
      </w:r>
      <w:r>
        <w:rPr>
          <w:spacing w:val="-12"/>
          <w:sz w:val="24"/>
        </w:rPr>
        <w:t> </w:t>
      </w:r>
      <w:r>
        <w:rPr>
          <w:sz w:val="24"/>
        </w:rPr>
        <w:t>in</w:t>
      </w:r>
      <w:r>
        <w:rPr>
          <w:spacing w:val="-13"/>
          <w:sz w:val="24"/>
        </w:rPr>
        <w:t> </w:t>
      </w:r>
      <w:r>
        <w:rPr>
          <w:sz w:val="24"/>
        </w:rPr>
        <w:t>the</w:t>
      </w:r>
      <w:r>
        <w:rPr>
          <w:spacing w:val="-12"/>
          <w:sz w:val="24"/>
        </w:rPr>
        <w:t> </w:t>
      </w:r>
      <w:r>
        <w:rPr>
          <w:sz w:val="24"/>
        </w:rPr>
        <w:t>first</w:t>
      </w:r>
      <w:r>
        <w:rPr>
          <w:spacing w:val="-9"/>
          <w:sz w:val="24"/>
        </w:rPr>
        <w:t> </w:t>
      </w:r>
      <w:r>
        <w:rPr>
          <w:sz w:val="24"/>
        </w:rPr>
        <w:t>quarter</w:t>
      </w:r>
    </w:p>
    <w:p>
      <w:pPr>
        <w:spacing w:after="0" w:line="372" w:lineRule="auto"/>
        <w:jc w:val="left"/>
        <w:rPr>
          <w:sz w:val="24"/>
        </w:rPr>
        <w:sectPr>
          <w:pgSz w:w="11900" w:h="16840"/>
          <w:pgMar w:header="867" w:footer="0" w:top="1320" w:bottom="280" w:left="1020" w:right="880"/>
        </w:sectPr>
      </w:pPr>
    </w:p>
    <w:p>
      <w:pPr>
        <w:pStyle w:val="BodyText"/>
        <w:spacing w:line="372" w:lineRule="auto" w:before="80"/>
        <w:ind w:left="117" w:right="180"/>
      </w:pPr>
      <w:r>
        <w:rPr/>
        <w:t>had been broadly in line with earlier expectations, with a few signs - for example in the money numbers - that it may moderate, as it certainly needed to. The labour market remained delicately poised; the last few months’ data had offered some encouragement but pressures clearly remained and it was therefore right that the effects on prospective inflation of using the LFS measure had been moved to the central projection. While the external influences might have taken current and prospective inflation below the inflation target had overall policy been tighter in 1996-1997, the Committee should not conclude that it should raise interest rates now to compensate. Its job was to set policy to achieve the 2 ½% target; on the latest forecast, it was broadly on track to do so over the coming 2 years. Looking further ahead, the key to the outlook for inflation and policy would be the path of domestic demand. If it did not slow by more than was currently expected a further policy tightening might be needed at some point, but it was not necessary to take a firm view on that now.</w:t>
      </w:r>
    </w:p>
    <w:p>
      <w:pPr>
        <w:pStyle w:val="BodyText"/>
        <w:spacing w:line="372" w:lineRule="auto"/>
        <w:ind w:left="117" w:right="131"/>
      </w:pPr>
      <w:r>
        <w:rPr/>
        <w:t>The outlook over the forecast horizon was sufficiently benign to give the Committee time to collect more information about developments without endangering the inflation target over the period that current policy settings could materially affect. It would in particular be a mistake to anticipate possible but highly uncertain future moves in asset markets. On this view also, while not raising rates this month, it was important that the Committee should not signal that rates had peaked.</w:t>
      </w:r>
    </w:p>
    <w:p>
      <w:pPr>
        <w:pStyle w:val="BodyText"/>
        <w:spacing w:before="4"/>
        <w:rPr>
          <w:sz w:val="36"/>
        </w:rPr>
      </w:pPr>
    </w:p>
    <w:p>
      <w:pPr>
        <w:pStyle w:val="ListParagraph"/>
        <w:numPr>
          <w:ilvl w:val="0"/>
          <w:numId w:val="1"/>
        </w:numPr>
        <w:tabs>
          <w:tab w:pos="573" w:val="left" w:leader="none"/>
          <w:tab w:pos="574" w:val="left" w:leader="none"/>
        </w:tabs>
        <w:spacing w:line="372" w:lineRule="auto" w:before="0" w:after="0"/>
        <w:ind w:left="117" w:right="442" w:firstLine="0"/>
        <w:jc w:val="left"/>
        <w:rPr>
          <w:sz w:val="24"/>
        </w:rPr>
      </w:pPr>
      <w:r>
        <w:rPr>
          <w:sz w:val="24"/>
        </w:rPr>
        <w:t>A</w:t>
      </w:r>
      <w:r>
        <w:rPr>
          <w:spacing w:val="-9"/>
          <w:sz w:val="24"/>
        </w:rPr>
        <w:t> </w:t>
      </w:r>
      <w:r>
        <w:rPr>
          <w:sz w:val="24"/>
        </w:rPr>
        <w:t>third</w:t>
      </w:r>
      <w:r>
        <w:rPr>
          <w:spacing w:val="-9"/>
          <w:sz w:val="24"/>
        </w:rPr>
        <w:t> </w:t>
      </w:r>
      <w:r>
        <w:rPr>
          <w:sz w:val="24"/>
        </w:rPr>
        <w:t>view</w:t>
      </w:r>
      <w:r>
        <w:rPr>
          <w:spacing w:val="-9"/>
          <w:sz w:val="24"/>
        </w:rPr>
        <w:t> </w:t>
      </w:r>
      <w:r>
        <w:rPr>
          <w:sz w:val="24"/>
        </w:rPr>
        <w:t>emphasised</w:t>
      </w:r>
      <w:r>
        <w:rPr>
          <w:spacing w:val="-9"/>
          <w:sz w:val="24"/>
        </w:rPr>
        <w:t> </w:t>
      </w:r>
      <w:r>
        <w:rPr>
          <w:sz w:val="24"/>
        </w:rPr>
        <w:t>a</w:t>
      </w:r>
      <w:r>
        <w:rPr>
          <w:spacing w:val="-9"/>
          <w:sz w:val="24"/>
        </w:rPr>
        <w:t> </w:t>
      </w:r>
      <w:r>
        <w:rPr>
          <w:sz w:val="24"/>
        </w:rPr>
        <w:t>need</w:t>
      </w:r>
      <w:r>
        <w:rPr>
          <w:spacing w:val="-9"/>
          <w:sz w:val="24"/>
        </w:rPr>
        <w:t> </w:t>
      </w:r>
      <w:r>
        <w:rPr>
          <w:sz w:val="24"/>
        </w:rPr>
        <w:t>for</w:t>
      </w:r>
      <w:r>
        <w:rPr>
          <w:spacing w:val="-9"/>
          <w:sz w:val="24"/>
        </w:rPr>
        <w:t> </w:t>
      </w:r>
      <w:r>
        <w:rPr>
          <w:sz w:val="24"/>
        </w:rPr>
        <w:t>policy</w:t>
      </w:r>
      <w:r>
        <w:rPr>
          <w:spacing w:val="-9"/>
          <w:sz w:val="24"/>
        </w:rPr>
        <w:t> </w:t>
      </w:r>
      <w:r>
        <w:rPr>
          <w:spacing w:val="2"/>
          <w:sz w:val="24"/>
        </w:rPr>
        <w:t>to</w:t>
      </w:r>
      <w:r>
        <w:rPr>
          <w:spacing w:val="-5"/>
          <w:sz w:val="24"/>
        </w:rPr>
        <w:t> </w:t>
      </w:r>
      <w:r>
        <w:rPr>
          <w:sz w:val="24"/>
        </w:rPr>
        <w:t>react</w:t>
      </w:r>
      <w:r>
        <w:rPr>
          <w:spacing w:val="-8"/>
          <w:sz w:val="24"/>
        </w:rPr>
        <w:t> </w:t>
      </w:r>
      <w:r>
        <w:rPr>
          <w:sz w:val="24"/>
        </w:rPr>
        <w:t>now</w:t>
      </w:r>
      <w:r>
        <w:rPr>
          <w:spacing w:val="-9"/>
          <w:sz w:val="24"/>
        </w:rPr>
        <w:t> </w:t>
      </w:r>
      <w:r>
        <w:rPr>
          <w:spacing w:val="2"/>
          <w:sz w:val="24"/>
        </w:rPr>
        <w:t>to</w:t>
      </w:r>
      <w:r>
        <w:rPr>
          <w:spacing w:val="-5"/>
          <w:sz w:val="24"/>
        </w:rPr>
        <w:t> </w:t>
      </w:r>
      <w:r>
        <w:rPr>
          <w:sz w:val="24"/>
        </w:rPr>
        <w:t>the</w:t>
      </w:r>
      <w:r>
        <w:rPr>
          <w:spacing w:val="-8"/>
          <w:sz w:val="24"/>
        </w:rPr>
        <w:t> </w:t>
      </w:r>
      <w:r>
        <w:rPr>
          <w:sz w:val="24"/>
        </w:rPr>
        <w:t>possible</w:t>
      </w:r>
      <w:r>
        <w:rPr>
          <w:spacing w:val="-9"/>
          <w:sz w:val="24"/>
        </w:rPr>
        <w:t> </w:t>
      </w:r>
      <w:r>
        <w:rPr>
          <w:sz w:val="24"/>
        </w:rPr>
        <w:t>sources</w:t>
      </w:r>
      <w:r>
        <w:rPr>
          <w:spacing w:val="-9"/>
          <w:sz w:val="24"/>
        </w:rPr>
        <w:t> </w:t>
      </w:r>
      <w:r>
        <w:rPr>
          <w:sz w:val="24"/>
        </w:rPr>
        <w:t>of</w:t>
      </w:r>
      <w:r>
        <w:rPr>
          <w:spacing w:val="-5"/>
          <w:sz w:val="24"/>
        </w:rPr>
        <w:t> </w:t>
      </w:r>
      <w:r>
        <w:rPr>
          <w:sz w:val="24"/>
        </w:rPr>
        <w:t>inflationary pressure towards and through the end of the two-year forecast horizon. Four considerations were emphasised. First, it was possible that equity prices would rise faster than assumed in the central projection, putting upward pressure on consumption and investment. Second, </w:t>
      </w:r>
      <w:r>
        <w:rPr>
          <w:spacing w:val="-3"/>
          <w:sz w:val="24"/>
        </w:rPr>
        <w:t>sterling’s </w:t>
      </w:r>
      <w:r>
        <w:rPr>
          <w:sz w:val="24"/>
        </w:rPr>
        <w:t>recent fall meant both that its starting point was lower than assumed in the central projection and also that its depreciation might be steeper as, with uncertainty about EMU reducing, it was more likely that a turning point for sterling had been reached. Third, the minimum wage was expected </w:t>
      </w:r>
      <w:r>
        <w:rPr>
          <w:spacing w:val="2"/>
          <w:sz w:val="24"/>
        </w:rPr>
        <w:t>to </w:t>
      </w:r>
      <w:r>
        <w:rPr>
          <w:sz w:val="24"/>
        </w:rPr>
        <w:t>put</w:t>
      </w:r>
      <w:r>
        <w:rPr>
          <w:spacing w:val="-40"/>
          <w:sz w:val="24"/>
        </w:rPr>
        <w:t> </w:t>
      </w:r>
      <w:r>
        <w:rPr>
          <w:sz w:val="24"/>
        </w:rPr>
        <w:t>upward pressure on inflation and there was not enough leeway in the </w:t>
      </w:r>
      <w:r>
        <w:rPr>
          <w:spacing w:val="3"/>
          <w:sz w:val="24"/>
        </w:rPr>
        <w:t>outlook </w:t>
      </w:r>
      <w:r>
        <w:rPr>
          <w:sz w:val="24"/>
        </w:rPr>
        <w:t>for there </w:t>
      </w:r>
      <w:r>
        <w:rPr>
          <w:spacing w:val="2"/>
          <w:sz w:val="24"/>
        </w:rPr>
        <w:t>to </w:t>
      </w:r>
      <w:r>
        <w:rPr>
          <w:sz w:val="24"/>
        </w:rPr>
        <w:t>be no policy response at all until its terms were known. Fourth, inflation was set </w:t>
      </w:r>
      <w:r>
        <w:rPr>
          <w:spacing w:val="2"/>
          <w:sz w:val="24"/>
        </w:rPr>
        <w:t>to </w:t>
      </w:r>
      <w:r>
        <w:rPr>
          <w:sz w:val="24"/>
        </w:rPr>
        <w:t>be rising into the third year even</w:t>
      </w:r>
      <w:r>
        <w:rPr>
          <w:spacing w:val="-8"/>
          <w:sz w:val="24"/>
        </w:rPr>
        <w:t> </w:t>
      </w:r>
      <w:r>
        <w:rPr>
          <w:sz w:val="24"/>
        </w:rPr>
        <w:t>on</w:t>
      </w:r>
      <w:r>
        <w:rPr>
          <w:spacing w:val="-4"/>
          <w:sz w:val="24"/>
        </w:rPr>
        <w:t> </w:t>
      </w:r>
      <w:r>
        <w:rPr>
          <w:sz w:val="24"/>
        </w:rPr>
        <w:t>the</w:t>
      </w:r>
      <w:r>
        <w:rPr>
          <w:spacing w:val="-8"/>
          <w:sz w:val="24"/>
        </w:rPr>
        <w:t> </w:t>
      </w:r>
      <w:r>
        <w:rPr>
          <w:sz w:val="24"/>
        </w:rPr>
        <w:t>central</w:t>
      </w:r>
      <w:r>
        <w:rPr>
          <w:spacing w:val="-8"/>
          <w:sz w:val="24"/>
        </w:rPr>
        <w:t> </w:t>
      </w:r>
      <w:r>
        <w:rPr>
          <w:spacing w:val="-3"/>
          <w:sz w:val="24"/>
        </w:rPr>
        <w:t>projection’s</w:t>
      </w:r>
      <w:r>
        <w:rPr>
          <w:spacing w:val="-8"/>
          <w:sz w:val="24"/>
        </w:rPr>
        <w:t> </w:t>
      </w:r>
      <w:r>
        <w:rPr>
          <w:sz w:val="24"/>
        </w:rPr>
        <w:t>assumptions.</w:t>
      </w:r>
      <w:r>
        <w:rPr>
          <w:spacing w:val="44"/>
          <w:sz w:val="24"/>
        </w:rPr>
        <w:t> </w:t>
      </w:r>
      <w:r>
        <w:rPr>
          <w:sz w:val="24"/>
        </w:rPr>
        <w:t>On</w:t>
      </w:r>
      <w:r>
        <w:rPr>
          <w:spacing w:val="-8"/>
          <w:sz w:val="24"/>
        </w:rPr>
        <w:t> </w:t>
      </w:r>
      <w:r>
        <w:rPr>
          <w:sz w:val="24"/>
        </w:rPr>
        <w:t>these</w:t>
      </w:r>
      <w:r>
        <w:rPr>
          <w:spacing w:val="-8"/>
          <w:sz w:val="24"/>
        </w:rPr>
        <w:t> </w:t>
      </w:r>
      <w:r>
        <w:rPr>
          <w:sz w:val="24"/>
        </w:rPr>
        <w:t>arguments</w:t>
      </w:r>
      <w:r>
        <w:rPr>
          <w:spacing w:val="-8"/>
          <w:sz w:val="24"/>
        </w:rPr>
        <w:t> </w:t>
      </w:r>
      <w:r>
        <w:rPr>
          <w:sz w:val="24"/>
        </w:rPr>
        <w:t>the</w:t>
      </w:r>
      <w:r>
        <w:rPr>
          <w:spacing w:val="-8"/>
          <w:sz w:val="24"/>
        </w:rPr>
        <w:t> </w:t>
      </w:r>
      <w:r>
        <w:rPr>
          <w:sz w:val="24"/>
        </w:rPr>
        <w:t>safer</w:t>
      </w:r>
      <w:r>
        <w:rPr>
          <w:spacing w:val="-8"/>
          <w:sz w:val="24"/>
        </w:rPr>
        <w:t> </w:t>
      </w:r>
      <w:r>
        <w:rPr>
          <w:sz w:val="24"/>
        </w:rPr>
        <w:t>stance</w:t>
      </w:r>
      <w:r>
        <w:rPr>
          <w:spacing w:val="-8"/>
          <w:sz w:val="24"/>
        </w:rPr>
        <w:t> </w:t>
      </w:r>
      <w:r>
        <w:rPr>
          <w:sz w:val="24"/>
        </w:rPr>
        <w:t>was</w:t>
      </w:r>
      <w:r>
        <w:rPr>
          <w:spacing w:val="-8"/>
          <w:sz w:val="24"/>
        </w:rPr>
        <w:t> </w:t>
      </w:r>
      <w:r>
        <w:rPr>
          <w:sz w:val="24"/>
        </w:rPr>
        <w:t>for</w:t>
      </w:r>
      <w:r>
        <w:rPr>
          <w:spacing w:val="-8"/>
          <w:sz w:val="24"/>
        </w:rPr>
        <w:t> </w:t>
      </w:r>
      <w:r>
        <w:rPr>
          <w:sz w:val="24"/>
        </w:rPr>
        <w:t>policy</w:t>
      </w:r>
      <w:r>
        <w:rPr>
          <w:spacing w:val="-8"/>
          <w:sz w:val="24"/>
        </w:rPr>
        <w:t> </w:t>
      </w:r>
      <w:r>
        <w:rPr>
          <w:sz w:val="24"/>
        </w:rPr>
        <w:t>to be tightened by a further 25bp</w:t>
      </w:r>
      <w:r>
        <w:rPr>
          <w:spacing w:val="4"/>
          <w:sz w:val="24"/>
        </w:rPr>
        <w:t> </w:t>
      </w:r>
      <w:r>
        <w:rPr>
          <w:sz w:val="24"/>
        </w:rPr>
        <w:t>immediately.</w:t>
      </w:r>
    </w:p>
    <w:p>
      <w:pPr>
        <w:pStyle w:val="BodyText"/>
        <w:spacing w:before="7"/>
        <w:rPr>
          <w:sz w:val="36"/>
        </w:rPr>
      </w:pPr>
    </w:p>
    <w:p>
      <w:pPr>
        <w:pStyle w:val="ListParagraph"/>
        <w:numPr>
          <w:ilvl w:val="0"/>
          <w:numId w:val="1"/>
        </w:numPr>
        <w:tabs>
          <w:tab w:pos="573" w:val="left" w:leader="none"/>
          <w:tab w:pos="574" w:val="left" w:leader="none"/>
        </w:tabs>
        <w:spacing w:line="372" w:lineRule="auto" w:before="0" w:after="0"/>
        <w:ind w:left="117" w:right="185" w:firstLine="0"/>
        <w:jc w:val="left"/>
        <w:rPr>
          <w:sz w:val="24"/>
        </w:rPr>
      </w:pPr>
      <w:r>
        <w:rPr>
          <w:sz w:val="24"/>
        </w:rPr>
        <w:t>A fourth view stressed the gathering evidence that the economy, including parts of the services sector , was now clearly slowing. On the new central projection, inflation was forecast </w:t>
      </w:r>
      <w:r>
        <w:rPr>
          <w:spacing w:val="2"/>
          <w:sz w:val="24"/>
        </w:rPr>
        <w:t>to </w:t>
      </w:r>
      <w:r>
        <w:rPr>
          <w:sz w:val="24"/>
        </w:rPr>
        <w:t>be below the target for virtually all of the forecast period. This was consistent with a soft landing - the desired rebalancing of external and domestic demand in the economy as it returned </w:t>
      </w:r>
      <w:r>
        <w:rPr>
          <w:spacing w:val="2"/>
          <w:sz w:val="24"/>
        </w:rPr>
        <w:t>to </w:t>
      </w:r>
      <w:r>
        <w:rPr>
          <w:sz w:val="24"/>
        </w:rPr>
        <w:t>trend</w:t>
      </w:r>
      <w:r>
        <w:rPr>
          <w:spacing w:val="-44"/>
          <w:sz w:val="24"/>
        </w:rPr>
        <w:t> </w:t>
      </w:r>
      <w:r>
        <w:rPr>
          <w:sz w:val="24"/>
        </w:rPr>
        <w:t>growth. Yet with</w:t>
      </w:r>
    </w:p>
    <w:p>
      <w:pPr>
        <w:spacing w:after="0" w:line="372" w:lineRule="auto"/>
        <w:jc w:val="left"/>
        <w:rPr>
          <w:sz w:val="24"/>
        </w:rPr>
        <w:sectPr>
          <w:pgSz w:w="11900" w:h="16840"/>
          <w:pgMar w:header="867" w:footer="0" w:top="1320" w:bottom="280" w:left="1020" w:right="880"/>
        </w:sectPr>
      </w:pPr>
    </w:p>
    <w:p>
      <w:pPr>
        <w:pStyle w:val="BodyText"/>
        <w:spacing w:line="372" w:lineRule="auto" w:before="80"/>
        <w:ind w:left="117" w:right="131"/>
      </w:pPr>
      <w:r>
        <w:rPr>
          <w:spacing w:val="3"/>
        </w:rPr>
        <w:t>official</w:t>
      </w:r>
      <w:r>
        <w:rPr>
          <w:spacing w:val="-7"/>
        </w:rPr>
        <w:t> </w:t>
      </w:r>
      <w:r>
        <w:rPr/>
        <w:t>interest</w:t>
      </w:r>
      <w:r>
        <w:rPr>
          <w:spacing w:val="-8"/>
        </w:rPr>
        <w:t> </w:t>
      </w:r>
      <w:r>
        <w:rPr/>
        <w:t>rates</w:t>
      </w:r>
      <w:r>
        <w:rPr>
          <w:spacing w:val="-9"/>
        </w:rPr>
        <w:t> </w:t>
      </w:r>
      <w:r>
        <w:rPr/>
        <w:t>at</w:t>
      </w:r>
      <w:r>
        <w:rPr>
          <w:spacing w:val="-7"/>
        </w:rPr>
        <w:t> </w:t>
      </w:r>
      <w:r>
        <w:rPr/>
        <w:t>their</w:t>
      </w:r>
      <w:r>
        <w:rPr>
          <w:spacing w:val="-11"/>
        </w:rPr>
        <w:t> </w:t>
      </w:r>
      <w:r>
        <w:rPr/>
        <w:t>current</w:t>
      </w:r>
      <w:r>
        <w:rPr>
          <w:spacing w:val="-7"/>
        </w:rPr>
        <w:t> </w:t>
      </w:r>
      <w:r>
        <w:rPr/>
        <w:t>level,</w:t>
      </w:r>
      <w:r>
        <w:rPr>
          <w:spacing w:val="-11"/>
        </w:rPr>
        <w:t> </w:t>
      </w:r>
      <w:r>
        <w:rPr/>
        <w:t>the</w:t>
      </w:r>
      <w:r>
        <w:rPr>
          <w:spacing w:val="-11"/>
        </w:rPr>
        <w:t> </w:t>
      </w:r>
      <w:r>
        <w:rPr/>
        <w:t>yield</w:t>
      </w:r>
      <w:r>
        <w:rPr>
          <w:spacing w:val="-11"/>
        </w:rPr>
        <w:t> </w:t>
      </w:r>
      <w:r>
        <w:rPr/>
        <w:t>curve</w:t>
      </w:r>
      <w:r>
        <w:rPr>
          <w:spacing w:val="-11"/>
        </w:rPr>
        <w:t> </w:t>
      </w:r>
      <w:r>
        <w:rPr/>
        <w:t>remained</w:t>
      </w:r>
      <w:r>
        <w:rPr>
          <w:spacing w:val="-9"/>
        </w:rPr>
        <w:t> </w:t>
      </w:r>
      <w:r>
        <w:rPr/>
        <w:t>steeply</w:t>
      </w:r>
      <w:r>
        <w:rPr>
          <w:spacing w:val="-11"/>
        </w:rPr>
        <w:t> </w:t>
      </w:r>
      <w:r>
        <w:rPr/>
        <w:t>inverted</w:t>
      </w:r>
      <w:r>
        <w:rPr>
          <w:spacing w:val="-11"/>
        </w:rPr>
        <w:t> </w:t>
      </w:r>
      <w:r>
        <w:rPr/>
        <w:t>and</w:t>
      </w:r>
      <w:r>
        <w:rPr>
          <w:spacing w:val="-11"/>
        </w:rPr>
        <w:t> </w:t>
      </w:r>
      <w:r>
        <w:rPr/>
        <w:t>the</w:t>
      </w:r>
      <w:r>
        <w:rPr>
          <w:spacing w:val="-11"/>
        </w:rPr>
        <w:t> </w:t>
      </w:r>
      <w:r>
        <w:rPr/>
        <w:t>real</w:t>
      </w:r>
      <w:r>
        <w:rPr>
          <w:spacing w:val="-9"/>
        </w:rPr>
        <w:t> </w:t>
      </w:r>
      <w:r>
        <w:rPr/>
        <w:t>short- term interest rate was probably </w:t>
      </w:r>
      <w:r>
        <w:rPr>
          <w:spacing w:val="3"/>
        </w:rPr>
        <w:t>over </w:t>
      </w:r>
      <w:r>
        <w:rPr/>
        <w:t>4%. Policy was therefore tighter than was necessary at this stage of the cycle. While there were upside risks </w:t>
      </w:r>
      <w:r>
        <w:rPr>
          <w:spacing w:val="2"/>
        </w:rPr>
        <w:t>to </w:t>
      </w:r>
      <w:r>
        <w:rPr/>
        <w:t>inflation, there were also downside risks both </w:t>
      </w:r>
      <w:r>
        <w:rPr>
          <w:spacing w:val="2"/>
        </w:rPr>
        <w:t>to output </w:t>
      </w:r>
      <w:r>
        <w:rPr/>
        <w:t>and </w:t>
      </w:r>
      <w:r>
        <w:rPr>
          <w:spacing w:val="2"/>
        </w:rPr>
        <w:t>to </w:t>
      </w:r>
      <w:r>
        <w:rPr/>
        <w:t>inflation, including the possibility that inflation expectations could moderate further as the economy slowed and the headline rate came down in the summer, which could help </w:t>
      </w:r>
      <w:r>
        <w:rPr>
          <w:spacing w:val="2"/>
        </w:rPr>
        <w:t>to </w:t>
      </w:r>
      <w:r>
        <w:rPr/>
        <w:t>contain wage pressures. The upside implications of the minimum wage would need </w:t>
      </w:r>
      <w:r>
        <w:rPr>
          <w:spacing w:val="2"/>
        </w:rPr>
        <w:t>to </w:t>
      </w:r>
      <w:r>
        <w:rPr/>
        <w:t>be assessed with the downside effects of the </w:t>
      </w:r>
      <w:r>
        <w:rPr>
          <w:spacing w:val="-3"/>
        </w:rPr>
        <w:t>Government’s </w:t>
      </w:r>
      <w:r>
        <w:rPr/>
        <w:t>New Deal. Until that was done it was hard </w:t>
      </w:r>
      <w:r>
        <w:rPr>
          <w:spacing w:val="2"/>
        </w:rPr>
        <w:t>to </w:t>
      </w:r>
      <w:r>
        <w:rPr/>
        <w:t>justify a presumption either way. On these arguments, there was a case for reducing rates now, by 25bp, to begin</w:t>
      </w:r>
      <w:r>
        <w:rPr>
          <w:spacing w:val="-12"/>
        </w:rPr>
        <w:t> </w:t>
      </w:r>
      <w:r>
        <w:rPr/>
        <w:t>the</w:t>
      </w:r>
      <w:r>
        <w:rPr>
          <w:spacing w:val="-11"/>
        </w:rPr>
        <w:t> </w:t>
      </w:r>
      <w:r>
        <w:rPr/>
        <w:t>process</w:t>
      </w:r>
      <w:r>
        <w:rPr>
          <w:spacing w:val="-12"/>
        </w:rPr>
        <w:t> </w:t>
      </w:r>
      <w:r>
        <w:rPr/>
        <w:t>of</w:t>
      </w:r>
      <w:r>
        <w:rPr>
          <w:spacing w:val="-7"/>
        </w:rPr>
        <w:t> </w:t>
      </w:r>
      <w:r>
        <w:rPr/>
        <w:t>moving</w:t>
      </w:r>
      <w:r>
        <w:rPr>
          <w:spacing w:val="-12"/>
        </w:rPr>
        <w:t> </w:t>
      </w:r>
      <w:r>
        <w:rPr/>
        <w:t>policy</w:t>
      </w:r>
      <w:r>
        <w:rPr>
          <w:spacing w:val="-11"/>
        </w:rPr>
        <w:t> </w:t>
      </w:r>
      <w:r>
        <w:rPr/>
        <w:t>back</w:t>
      </w:r>
      <w:r>
        <w:rPr>
          <w:spacing w:val="-12"/>
        </w:rPr>
        <w:t> </w:t>
      </w:r>
      <w:r>
        <w:rPr>
          <w:spacing w:val="2"/>
        </w:rPr>
        <w:t>to</w:t>
      </w:r>
      <w:r>
        <w:rPr>
          <w:spacing w:val="-7"/>
        </w:rPr>
        <w:t> </w:t>
      </w:r>
      <w:r>
        <w:rPr/>
        <w:t>a</w:t>
      </w:r>
      <w:r>
        <w:rPr>
          <w:spacing w:val="-12"/>
        </w:rPr>
        <w:t> </w:t>
      </w:r>
      <w:r>
        <w:rPr/>
        <w:t>more</w:t>
      </w:r>
      <w:r>
        <w:rPr>
          <w:spacing w:val="-11"/>
        </w:rPr>
        <w:t> </w:t>
      </w:r>
      <w:r>
        <w:rPr/>
        <w:t>neutral</w:t>
      </w:r>
      <w:r>
        <w:rPr>
          <w:spacing w:val="-12"/>
        </w:rPr>
        <w:t> </w:t>
      </w:r>
      <w:r>
        <w:rPr/>
        <w:t>stance,</w:t>
      </w:r>
      <w:r>
        <w:rPr>
          <w:spacing w:val="-11"/>
        </w:rPr>
        <w:t> </w:t>
      </w:r>
      <w:r>
        <w:rPr/>
        <w:t>consistent</w:t>
      </w:r>
      <w:r>
        <w:rPr>
          <w:spacing w:val="-8"/>
        </w:rPr>
        <w:t> </w:t>
      </w:r>
      <w:r>
        <w:rPr/>
        <w:t>with</w:t>
      </w:r>
      <w:r>
        <w:rPr>
          <w:spacing w:val="-11"/>
        </w:rPr>
        <w:t> </w:t>
      </w:r>
      <w:r>
        <w:rPr/>
        <w:t>meeting</w:t>
      </w:r>
      <w:r>
        <w:rPr>
          <w:spacing w:val="-12"/>
        </w:rPr>
        <w:t> </w:t>
      </w:r>
      <w:r>
        <w:rPr/>
        <w:t>the</w:t>
      </w:r>
      <w:r>
        <w:rPr>
          <w:spacing w:val="-11"/>
        </w:rPr>
        <w:t> </w:t>
      </w:r>
      <w:r>
        <w:rPr/>
        <w:t>inflation target.</w:t>
      </w:r>
    </w:p>
    <w:p>
      <w:pPr>
        <w:pStyle w:val="BodyText"/>
        <w:spacing w:before="7"/>
        <w:rPr>
          <w:sz w:val="36"/>
        </w:rPr>
      </w:pPr>
    </w:p>
    <w:p>
      <w:pPr>
        <w:pStyle w:val="ListParagraph"/>
        <w:numPr>
          <w:ilvl w:val="0"/>
          <w:numId w:val="1"/>
        </w:numPr>
        <w:tabs>
          <w:tab w:pos="573" w:val="left" w:leader="none"/>
          <w:tab w:pos="574" w:val="left" w:leader="none"/>
        </w:tabs>
        <w:spacing w:line="372" w:lineRule="auto" w:before="0" w:after="0"/>
        <w:ind w:left="117" w:right="243" w:firstLine="0"/>
        <w:jc w:val="left"/>
        <w:rPr>
          <w:sz w:val="24"/>
        </w:rPr>
      </w:pPr>
      <w:r>
        <w:rPr>
          <w:sz w:val="24"/>
        </w:rPr>
        <w:t>The</w:t>
      </w:r>
      <w:r>
        <w:rPr>
          <w:spacing w:val="-6"/>
          <w:sz w:val="24"/>
        </w:rPr>
        <w:t> </w:t>
      </w:r>
      <w:r>
        <w:rPr>
          <w:sz w:val="24"/>
        </w:rPr>
        <w:t>Governor</w:t>
      </w:r>
      <w:r>
        <w:rPr>
          <w:spacing w:val="-7"/>
          <w:sz w:val="24"/>
        </w:rPr>
        <w:t> </w:t>
      </w:r>
      <w:r>
        <w:rPr>
          <w:sz w:val="24"/>
        </w:rPr>
        <w:t>invited</w:t>
      </w:r>
      <w:r>
        <w:rPr>
          <w:spacing w:val="-7"/>
          <w:sz w:val="24"/>
        </w:rPr>
        <w:t> </w:t>
      </w:r>
      <w:r>
        <w:rPr>
          <w:sz w:val="24"/>
        </w:rPr>
        <w:t>members</w:t>
      </w:r>
      <w:r>
        <w:rPr>
          <w:spacing w:val="-7"/>
          <w:sz w:val="24"/>
        </w:rPr>
        <w:t> </w:t>
      </w:r>
      <w:r>
        <w:rPr>
          <w:sz w:val="24"/>
        </w:rPr>
        <w:t>of</w:t>
      </w:r>
      <w:r>
        <w:rPr>
          <w:spacing w:val="-3"/>
          <w:sz w:val="24"/>
        </w:rPr>
        <w:t> </w:t>
      </w:r>
      <w:r>
        <w:rPr>
          <w:sz w:val="24"/>
        </w:rPr>
        <w:t>the</w:t>
      </w:r>
      <w:r>
        <w:rPr>
          <w:spacing w:val="-8"/>
          <w:sz w:val="24"/>
        </w:rPr>
        <w:t> </w:t>
      </w:r>
      <w:r>
        <w:rPr>
          <w:sz w:val="24"/>
        </w:rPr>
        <w:t>Committee</w:t>
      </w:r>
      <w:r>
        <w:rPr>
          <w:spacing w:val="-7"/>
          <w:sz w:val="24"/>
        </w:rPr>
        <w:t> </w:t>
      </w:r>
      <w:r>
        <w:rPr>
          <w:spacing w:val="2"/>
          <w:sz w:val="24"/>
        </w:rPr>
        <w:t>to</w:t>
      </w:r>
      <w:r>
        <w:rPr>
          <w:spacing w:val="-3"/>
          <w:sz w:val="24"/>
        </w:rPr>
        <w:t> </w:t>
      </w:r>
      <w:r>
        <w:rPr>
          <w:sz w:val="24"/>
        </w:rPr>
        <w:t>vote</w:t>
      </w:r>
      <w:r>
        <w:rPr>
          <w:spacing w:val="-7"/>
          <w:sz w:val="24"/>
        </w:rPr>
        <w:t> </w:t>
      </w:r>
      <w:r>
        <w:rPr>
          <w:sz w:val="24"/>
        </w:rPr>
        <w:t>on</w:t>
      </w:r>
      <w:r>
        <w:rPr>
          <w:spacing w:val="-3"/>
          <w:sz w:val="24"/>
        </w:rPr>
        <w:t> </w:t>
      </w:r>
      <w:r>
        <w:rPr>
          <w:sz w:val="24"/>
        </w:rPr>
        <w:t>the</w:t>
      </w:r>
      <w:r>
        <w:rPr>
          <w:spacing w:val="-7"/>
          <w:sz w:val="24"/>
        </w:rPr>
        <w:t> </w:t>
      </w:r>
      <w:r>
        <w:rPr>
          <w:sz w:val="24"/>
        </w:rPr>
        <w:t>proposition</w:t>
      </w:r>
      <w:r>
        <w:rPr>
          <w:spacing w:val="-7"/>
          <w:sz w:val="24"/>
        </w:rPr>
        <w:t> </w:t>
      </w:r>
      <w:r>
        <w:rPr>
          <w:sz w:val="24"/>
        </w:rPr>
        <w:t>that</w:t>
      </w:r>
      <w:r>
        <w:rPr>
          <w:spacing w:val="-3"/>
          <w:sz w:val="24"/>
        </w:rPr>
        <w:t> </w:t>
      </w:r>
      <w:r>
        <w:rPr>
          <w:sz w:val="24"/>
        </w:rPr>
        <w:t>the</w:t>
      </w:r>
      <w:r>
        <w:rPr>
          <w:spacing w:val="-7"/>
          <w:sz w:val="24"/>
        </w:rPr>
        <w:t> </w:t>
      </w:r>
      <w:r>
        <w:rPr>
          <w:spacing w:val="-6"/>
          <w:sz w:val="24"/>
        </w:rPr>
        <w:t>Bank’s</w:t>
      </w:r>
      <w:r>
        <w:rPr>
          <w:spacing w:val="-7"/>
          <w:sz w:val="24"/>
        </w:rPr>
        <w:t> </w:t>
      </w:r>
      <w:r>
        <w:rPr>
          <w:sz w:val="24"/>
        </w:rPr>
        <w:t>repo rate be left unchanged this month. Six members of the Committee (the Governor, David Clementi, Alan</w:t>
      </w:r>
      <w:r>
        <w:rPr>
          <w:spacing w:val="-10"/>
          <w:sz w:val="24"/>
        </w:rPr>
        <w:t> </w:t>
      </w:r>
      <w:r>
        <w:rPr>
          <w:sz w:val="24"/>
        </w:rPr>
        <w:t>Budd,</w:t>
      </w:r>
      <w:r>
        <w:rPr>
          <w:spacing w:val="-9"/>
          <w:sz w:val="24"/>
        </w:rPr>
        <w:t> </w:t>
      </w:r>
      <w:r>
        <w:rPr>
          <w:sz w:val="24"/>
        </w:rPr>
        <w:t>Charles</w:t>
      </w:r>
      <w:r>
        <w:rPr>
          <w:spacing w:val="-9"/>
          <w:sz w:val="24"/>
        </w:rPr>
        <w:t> </w:t>
      </w:r>
      <w:r>
        <w:rPr>
          <w:sz w:val="24"/>
        </w:rPr>
        <w:t>Goodhart,</w:t>
      </w:r>
      <w:r>
        <w:rPr>
          <w:spacing w:val="-5"/>
          <w:sz w:val="24"/>
        </w:rPr>
        <w:t> </w:t>
      </w:r>
      <w:r>
        <w:rPr>
          <w:sz w:val="24"/>
        </w:rPr>
        <w:t>Mervyn</w:t>
      </w:r>
      <w:r>
        <w:rPr>
          <w:spacing w:val="-10"/>
          <w:sz w:val="24"/>
        </w:rPr>
        <w:t> </w:t>
      </w:r>
      <w:r>
        <w:rPr>
          <w:sz w:val="24"/>
        </w:rPr>
        <w:t>King</w:t>
      </w:r>
      <w:r>
        <w:rPr>
          <w:spacing w:val="-9"/>
          <w:sz w:val="24"/>
        </w:rPr>
        <w:t> </w:t>
      </w:r>
      <w:r>
        <w:rPr>
          <w:sz w:val="24"/>
        </w:rPr>
        <w:t>and</w:t>
      </w:r>
      <w:r>
        <w:rPr>
          <w:spacing w:val="-9"/>
          <w:sz w:val="24"/>
        </w:rPr>
        <w:t> </w:t>
      </w:r>
      <w:r>
        <w:rPr>
          <w:sz w:val="24"/>
        </w:rPr>
        <w:t>Ian</w:t>
      </w:r>
      <w:r>
        <w:rPr>
          <w:spacing w:val="-8"/>
          <w:sz w:val="24"/>
        </w:rPr>
        <w:t> </w:t>
      </w:r>
      <w:r>
        <w:rPr>
          <w:sz w:val="24"/>
        </w:rPr>
        <w:t>Plenderleith)</w:t>
      </w:r>
      <w:r>
        <w:rPr>
          <w:spacing w:val="-8"/>
          <w:sz w:val="24"/>
        </w:rPr>
        <w:t> </w:t>
      </w:r>
      <w:r>
        <w:rPr>
          <w:sz w:val="24"/>
        </w:rPr>
        <w:t>voted</w:t>
      </w:r>
      <w:r>
        <w:rPr>
          <w:spacing w:val="-9"/>
          <w:sz w:val="24"/>
        </w:rPr>
        <w:t> </w:t>
      </w:r>
      <w:r>
        <w:rPr>
          <w:sz w:val="24"/>
        </w:rPr>
        <w:t>for</w:t>
      </w:r>
      <w:r>
        <w:rPr>
          <w:spacing w:val="-10"/>
          <w:sz w:val="24"/>
        </w:rPr>
        <w:t> </w:t>
      </w:r>
      <w:r>
        <w:rPr>
          <w:sz w:val="24"/>
        </w:rPr>
        <w:t>the</w:t>
      </w:r>
      <w:r>
        <w:rPr>
          <w:spacing w:val="-9"/>
          <w:sz w:val="24"/>
        </w:rPr>
        <w:t> </w:t>
      </w:r>
      <w:r>
        <w:rPr>
          <w:sz w:val="24"/>
        </w:rPr>
        <w:t>proposition,</w:t>
      </w:r>
      <w:r>
        <w:rPr>
          <w:spacing w:val="-9"/>
          <w:sz w:val="24"/>
        </w:rPr>
        <w:t> </w:t>
      </w:r>
      <w:r>
        <w:rPr>
          <w:sz w:val="24"/>
        </w:rPr>
        <w:t>and</w:t>
      </w:r>
      <w:r>
        <w:rPr>
          <w:spacing w:val="-9"/>
          <w:sz w:val="24"/>
        </w:rPr>
        <w:t> </w:t>
      </w:r>
      <w:r>
        <w:rPr>
          <w:sz w:val="24"/>
        </w:rPr>
        <w:t>two (Willem Buiter and DeAnne Julius) voted against. Willem Buiter preferred an immediate rise in interest rates and DeAnne Julius an immediate</w:t>
      </w:r>
      <w:r>
        <w:rPr>
          <w:spacing w:val="12"/>
          <w:sz w:val="24"/>
        </w:rPr>
        <w:t> </w:t>
      </w:r>
      <w:r>
        <w:rPr>
          <w:sz w:val="24"/>
        </w:rPr>
        <w:t>cut.</w:t>
      </w:r>
    </w:p>
    <w:p>
      <w:pPr>
        <w:pStyle w:val="BodyText"/>
        <w:spacing w:before="10"/>
        <w:rPr>
          <w:sz w:val="36"/>
        </w:rPr>
      </w:pPr>
    </w:p>
    <w:p>
      <w:pPr>
        <w:pStyle w:val="BodyText"/>
        <w:spacing w:before="1"/>
        <w:ind w:left="117"/>
      </w:pPr>
      <w:r>
        <w:rPr/>
        <w:t>The following members of the Committee were present:-</w:t>
      </w:r>
    </w:p>
    <w:p>
      <w:pPr>
        <w:pStyle w:val="BodyText"/>
        <w:rPr>
          <w:sz w:val="26"/>
        </w:rPr>
      </w:pPr>
    </w:p>
    <w:p>
      <w:pPr>
        <w:pStyle w:val="BodyText"/>
        <w:spacing w:before="3"/>
      </w:pPr>
    </w:p>
    <w:p>
      <w:pPr>
        <w:pStyle w:val="BodyText"/>
        <w:ind w:left="117"/>
      </w:pPr>
      <w:r>
        <w:rPr/>
        <w:t>Eddie George (Governor)</w:t>
      </w:r>
    </w:p>
    <w:p>
      <w:pPr>
        <w:pStyle w:val="BodyText"/>
        <w:spacing w:line="372" w:lineRule="auto" w:before="151"/>
        <w:ind w:left="117" w:right="6430"/>
      </w:pPr>
      <w:r>
        <w:rPr/>
        <w:t>David Clementi (Deputy Governor) Alan Budd</w:t>
      </w:r>
    </w:p>
    <w:p>
      <w:pPr>
        <w:pStyle w:val="BodyText"/>
        <w:spacing w:line="372" w:lineRule="auto"/>
        <w:ind w:left="117" w:right="7790"/>
      </w:pPr>
      <w:r>
        <w:rPr/>
        <w:t>Willem Buiter Charles Goodhart DeAnne Julius Mervyn King</w:t>
      </w:r>
    </w:p>
    <w:p>
      <w:pPr>
        <w:pStyle w:val="BodyText"/>
        <w:spacing w:line="274" w:lineRule="exact"/>
        <w:ind w:left="117"/>
      </w:pPr>
      <w:r>
        <w:rPr/>
        <w:t>Ian Plenderleith</w:t>
      </w:r>
    </w:p>
    <w:p>
      <w:pPr>
        <w:pStyle w:val="BodyText"/>
        <w:rPr>
          <w:sz w:val="26"/>
        </w:rPr>
      </w:pPr>
    </w:p>
    <w:p>
      <w:pPr>
        <w:pStyle w:val="BodyText"/>
        <w:spacing w:before="2"/>
      </w:pPr>
    </w:p>
    <w:p>
      <w:pPr>
        <w:pStyle w:val="BodyText"/>
        <w:spacing w:before="1"/>
        <w:ind w:left="117"/>
      </w:pPr>
      <w:r>
        <w:rPr/>
        <w:t>Terry Burns was also present as the Treasury representative.</w:t>
      </w:r>
    </w:p>
    <w:p>
      <w:pPr>
        <w:spacing w:after="0"/>
        <w:sectPr>
          <w:pgSz w:w="11900" w:h="16840"/>
          <w:pgMar w:header="867" w:footer="0" w:top="1320" w:bottom="280" w:left="1020" w:right="880"/>
        </w:sectPr>
      </w:pPr>
    </w:p>
    <w:p>
      <w:pPr>
        <w:pStyle w:val="BodyText"/>
        <w:spacing w:before="6"/>
      </w:pPr>
    </w:p>
    <w:p>
      <w:pPr>
        <w:spacing w:before="87"/>
        <w:ind w:left="117" w:right="0" w:firstLine="0"/>
        <w:jc w:val="left"/>
        <w:rPr>
          <w:b/>
          <w:sz w:val="28"/>
        </w:rPr>
      </w:pPr>
      <w:r>
        <w:rPr>
          <w:b/>
          <w:sz w:val="28"/>
        </w:rPr>
        <w:t>ANNEX: SUMMARY OF DATA PRESENTED BY BANK STAFF</w:t>
      </w:r>
    </w:p>
    <w:p>
      <w:pPr>
        <w:pStyle w:val="BodyText"/>
        <w:spacing w:before="2"/>
        <w:rPr>
          <w:b/>
          <w:sz w:val="41"/>
        </w:rPr>
      </w:pPr>
    </w:p>
    <w:p>
      <w:pPr>
        <w:pStyle w:val="BodyText"/>
        <w:tabs>
          <w:tab w:pos="683" w:val="left" w:leader="none"/>
        </w:tabs>
        <w:spacing w:line="321" w:lineRule="auto"/>
        <w:ind w:left="117" w:right="257"/>
      </w:pPr>
      <w:r>
        <w:rPr/>
        <w:t>A1</w:t>
        <w:tab/>
        <w:t>This</w:t>
      </w:r>
      <w:r>
        <w:rPr>
          <w:spacing w:val="-14"/>
        </w:rPr>
        <w:t> </w:t>
      </w:r>
      <w:r>
        <w:rPr/>
        <w:t>Annex</w:t>
      </w:r>
      <w:r>
        <w:rPr>
          <w:spacing w:val="-15"/>
        </w:rPr>
        <w:t> </w:t>
      </w:r>
      <w:r>
        <w:rPr/>
        <w:t>summarises</w:t>
      </w:r>
      <w:r>
        <w:rPr>
          <w:spacing w:val="-15"/>
        </w:rPr>
        <w:t> </w:t>
      </w:r>
      <w:r>
        <w:rPr/>
        <w:t>the</w:t>
      </w:r>
      <w:r>
        <w:rPr>
          <w:spacing w:val="-15"/>
        </w:rPr>
        <w:t> </w:t>
      </w:r>
      <w:r>
        <w:rPr/>
        <w:t>analysis</w:t>
      </w:r>
      <w:r>
        <w:rPr>
          <w:spacing w:val="-16"/>
        </w:rPr>
        <w:t> </w:t>
      </w:r>
      <w:r>
        <w:rPr/>
        <w:t>presented</w:t>
      </w:r>
      <w:r>
        <w:rPr>
          <w:spacing w:val="-15"/>
        </w:rPr>
        <w:t> </w:t>
      </w:r>
      <w:r>
        <w:rPr/>
        <w:t>by</w:t>
      </w:r>
      <w:r>
        <w:rPr>
          <w:spacing w:val="-15"/>
        </w:rPr>
        <w:t> </w:t>
      </w:r>
      <w:r>
        <w:rPr/>
        <w:t>Bank</w:t>
      </w:r>
      <w:r>
        <w:rPr>
          <w:spacing w:val="-15"/>
        </w:rPr>
        <w:t> </w:t>
      </w:r>
      <w:r>
        <w:rPr/>
        <w:t>staff</w:t>
      </w:r>
      <w:r>
        <w:rPr>
          <w:spacing w:val="-15"/>
        </w:rPr>
        <w:t> </w:t>
      </w:r>
      <w:r>
        <w:rPr>
          <w:spacing w:val="2"/>
        </w:rPr>
        <w:t>to</w:t>
      </w:r>
      <w:r>
        <w:rPr>
          <w:spacing w:val="-11"/>
        </w:rPr>
        <w:t> </w:t>
      </w:r>
      <w:r>
        <w:rPr/>
        <w:t>the</w:t>
      </w:r>
      <w:r>
        <w:rPr>
          <w:spacing w:val="-15"/>
        </w:rPr>
        <w:t> </w:t>
      </w:r>
      <w:r>
        <w:rPr/>
        <w:t>Monetary</w:t>
      </w:r>
      <w:r>
        <w:rPr>
          <w:spacing w:val="-16"/>
        </w:rPr>
        <w:t> </w:t>
      </w:r>
      <w:r>
        <w:rPr/>
        <w:t>Policy</w:t>
      </w:r>
      <w:r>
        <w:rPr>
          <w:spacing w:val="-14"/>
        </w:rPr>
        <w:t> </w:t>
      </w:r>
      <w:r>
        <w:rPr/>
        <w:t>Committee on 1 May 1998, in advance of its meeting. At the start of the Committee meeting itself, members were made aware of information that had subsequently become available, and that information is included in the</w:t>
      </w:r>
      <w:r>
        <w:rPr>
          <w:spacing w:val="4"/>
        </w:rPr>
        <w:t> </w:t>
      </w:r>
      <w:r>
        <w:rPr/>
        <w:t>Annex.</w:t>
      </w:r>
    </w:p>
    <w:p>
      <w:pPr>
        <w:pStyle w:val="BodyText"/>
        <w:spacing w:before="1"/>
        <w:rPr>
          <w:sz w:val="32"/>
        </w:rPr>
      </w:pPr>
    </w:p>
    <w:p>
      <w:pPr>
        <w:pStyle w:val="ListParagraph"/>
        <w:numPr>
          <w:ilvl w:val="0"/>
          <w:numId w:val="2"/>
        </w:numPr>
        <w:tabs>
          <w:tab w:pos="837" w:val="left" w:leader="none"/>
          <w:tab w:pos="838" w:val="left" w:leader="none"/>
        </w:tabs>
        <w:spacing w:line="240" w:lineRule="auto" w:before="0" w:after="0"/>
        <w:ind w:left="837" w:right="0" w:hanging="721"/>
        <w:jc w:val="left"/>
        <w:rPr>
          <w:sz w:val="24"/>
        </w:rPr>
      </w:pPr>
      <w:r>
        <w:rPr>
          <w:sz w:val="24"/>
          <w:u w:val="single"/>
        </w:rPr>
        <w:t>Monetary</w:t>
      </w:r>
      <w:r>
        <w:rPr>
          <w:spacing w:val="1"/>
          <w:sz w:val="24"/>
          <w:u w:val="single"/>
        </w:rPr>
        <w:t> </w:t>
      </w:r>
      <w:r>
        <w:rPr>
          <w:sz w:val="24"/>
          <w:u w:val="single"/>
        </w:rPr>
        <w:t>conditions</w:t>
      </w:r>
    </w:p>
    <w:p>
      <w:pPr>
        <w:pStyle w:val="BodyText"/>
        <w:rPr>
          <w:sz w:val="20"/>
        </w:rPr>
      </w:pPr>
    </w:p>
    <w:p>
      <w:pPr>
        <w:pStyle w:val="BodyText"/>
        <w:tabs>
          <w:tab w:pos="683" w:val="left" w:leader="none"/>
        </w:tabs>
        <w:spacing w:line="321" w:lineRule="auto" w:before="233"/>
        <w:ind w:left="117" w:right="562"/>
      </w:pPr>
      <w:r>
        <w:rPr/>
        <w:t>A2</w:t>
        <w:tab/>
        <w:t>The</w:t>
      </w:r>
      <w:r>
        <w:rPr>
          <w:spacing w:val="-6"/>
        </w:rPr>
        <w:t> </w:t>
      </w:r>
      <w:r>
        <w:rPr/>
        <w:t>annual</w:t>
      </w:r>
      <w:r>
        <w:rPr>
          <w:spacing w:val="-6"/>
        </w:rPr>
        <w:t> </w:t>
      </w:r>
      <w:r>
        <w:rPr/>
        <w:t>growth</w:t>
      </w:r>
      <w:r>
        <w:rPr>
          <w:spacing w:val="-7"/>
        </w:rPr>
        <w:t> </w:t>
      </w:r>
      <w:r>
        <w:rPr/>
        <w:t>rate</w:t>
      </w:r>
      <w:r>
        <w:rPr>
          <w:spacing w:val="-5"/>
        </w:rPr>
        <w:t> </w:t>
      </w:r>
      <w:r>
        <w:rPr/>
        <w:t>of</w:t>
      </w:r>
      <w:r>
        <w:rPr>
          <w:spacing w:val="-2"/>
        </w:rPr>
        <w:t> </w:t>
      </w:r>
      <w:r>
        <w:rPr/>
        <w:t>notes</w:t>
      </w:r>
      <w:r>
        <w:rPr>
          <w:spacing w:val="-7"/>
        </w:rPr>
        <w:t> </w:t>
      </w:r>
      <w:r>
        <w:rPr/>
        <w:t>and</w:t>
      </w:r>
      <w:r>
        <w:rPr>
          <w:spacing w:val="-7"/>
        </w:rPr>
        <w:t> </w:t>
      </w:r>
      <w:r>
        <w:rPr/>
        <w:t>coin</w:t>
      </w:r>
      <w:r>
        <w:rPr>
          <w:spacing w:val="-7"/>
        </w:rPr>
        <w:t> </w:t>
      </w:r>
      <w:r>
        <w:rPr/>
        <w:t>had</w:t>
      </w:r>
      <w:r>
        <w:rPr>
          <w:spacing w:val="-6"/>
        </w:rPr>
        <w:t> </w:t>
      </w:r>
      <w:r>
        <w:rPr/>
        <w:t>slowed</w:t>
      </w:r>
      <w:r>
        <w:rPr>
          <w:spacing w:val="-7"/>
        </w:rPr>
        <w:t> </w:t>
      </w:r>
      <w:r>
        <w:rPr>
          <w:spacing w:val="2"/>
        </w:rPr>
        <w:t>to</w:t>
      </w:r>
      <w:r>
        <w:rPr>
          <w:spacing w:val="-3"/>
        </w:rPr>
        <w:t> </w:t>
      </w:r>
      <w:r>
        <w:rPr/>
        <w:t>6.5%</w:t>
      </w:r>
      <w:r>
        <w:rPr>
          <w:spacing w:val="-6"/>
        </w:rPr>
        <w:t> </w:t>
      </w:r>
      <w:r>
        <w:rPr/>
        <w:t>in</w:t>
      </w:r>
      <w:r>
        <w:rPr>
          <w:spacing w:val="-7"/>
        </w:rPr>
        <w:t> </w:t>
      </w:r>
      <w:r>
        <w:rPr/>
        <w:t>April</w:t>
      </w:r>
      <w:r>
        <w:rPr>
          <w:spacing w:val="-7"/>
        </w:rPr>
        <w:t> </w:t>
      </w:r>
      <w:r>
        <w:rPr/>
        <w:t>after</w:t>
      </w:r>
      <w:r>
        <w:rPr>
          <w:spacing w:val="-7"/>
        </w:rPr>
        <w:t> </w:t>
      </w:r>
      <w:r>
        <w:rPr/>
        <w:t>adjusting</w:t>
      </w:r>
      <w:r>
        <w:rPr>
          <w:spacing w:val="-6"/>
        </w:rPr>
        <w:t> </w:t>
      </w:r>
      <w:r>
        <w:rPr/>
        <w:t>for</w:t>
      </w:r>
      <w:r>
        <w:rPr>
          <w:spacing w:val="-7"/>
        </w:rPr>
        <w:t> </w:t>
      </w:r>
      <w:r>
        <w:rPr/>
        <w:t>the effects</w:t>
      </w:r>
      <w:r>
        <w:rPr>
          <w:spacing w:val="-8"/>
        </w:rPr>
        <w:t> </w:t>
      </w:r>
      <w:r>
        <w:rPr/>
        <w:t>of</w:t>
      </w:r>
      <w:r>
        <w:rPr>
          <w:spacing w:val="-3"/>
        </w:rPr>
        <w:t> </w:t>
      </w:r>
      <w:r>
        <w:rPr/>
        <w:t>the</w:t>
      </w:r>
      <w:r>
        <w:rPr>
          <w:spacing w:val="-8"/>
        </w:rPr>
        <w:t> </w:t>
      </w:r>
      <w:r>
        <w:rPr/>
        <w:t>introduction</w:t>
      </w:r>
      <w:r>
        <w:rPr>
          <w:spacing w:val="-8"/>
        </w:rPr>
        <w:t> </w:t>
      </w:r>
      <w:r>
        <w:rPr/>
        <w:t>of</w:t>
      </w:r>
      <w:r>
        <w:rPr>
          <w:spacing w:val="-3"/>
        </w:rPr>
        <w:t> </w:t>
      </w:r>
      <w:r>
        <w:rPr/>
        <w:t>the</w:t>
      </w:r>
      <w:r>
        <w:rPr>
          <w:spacing w:val="-8"/>
        </w:rPr>
        <w:t> </w:t>
      </w:r>
      <w:r>
        <w:rPr/>
        <w:t>new</w:t>
      </w:r>
      <w:r>
        <w:rPr>
          <w:spacing w:val="-7"/>
        </w:rPr>
        <w:t> </w:t>
      </w:r>
      <w:r>
        <w:rPr/>
        <w:t>50p</w:t>
      </w:r>
      <w:r>
        <w:rPr>
          <w:spacing w:val="-8"/>
        </w:rPr>
        <w:t> </w:t>
      </w:r>
      <w:r>
        <w:rPr/>
        <w:t>coin,</w:t>
      </w:r>
      <w:r>
        <w:rPr>
          <w:spacing w:val="-7"/>
        </w:rPr>
        <w:t> </w:t>
      </w:r>
      <w:r>
        <w:rPr/>
        <w:t>which</w:t>
      </w:r>
      <w:r>
        <w:rPr>
          <w:spacing w:val="-8"/>
        </w:rPr>
        <w:t> </w:t>
      </w:r>
      <w:r>
        <w:rPr/>
        <w:t>was</w:t>
      </w:r>
      <w:r>
        <w:rPr>
          <w:spacing w:val="-8"/>
        </w:rPr>
        <w:t> </w:t>
      </w:r>
      <w:r>
        <w:rPr/>
        <w:t>still</w:t>
      </w:r>
      <w:r>
        <w:rPr>
          <w:spacing w:val="-7"/>
        </w:rPr>
        <w:t> </w:t>
      </w:r>
      <w:r>
        <w:rPr/>
        <w:t>adding</w:t>
      </w:r>
      <w:r>
        <w:rPr>
          <w:spacing w:val="-8"/>
        </w:rPr>
        <w:t> </w:t>
      </w:r>
      <w:r>
        <w:rPr/>
        <w:t>0.1pp</w:t>
      </w:r>
      <w:r>
        <w:rPr>
          <w:spacing w:val="-7"/>
        </w:rPr>
        <w:t> </w:t>
      </w:r>
      <w:r>
        <w:rPr>
          <w:spacing w:val="2"/>
        </w:rPr>
        <w:t>to</w:t>
      </w:r>
      <w:r>
        <w:rPr>
          <w:spacing w:val="-4"/>
        </w:rPr>
        <w:t> </w:t>
      </w:r>
      <w:r>
        <w:rPr/>
        <w:t>the</w:t>
      </w:r>
      <w:r>
        <w:rPr>
          <w:spacing w:val="-7"/>
        </w:rPr>
        <w:t> </w:t>
      </w:r>
      <w:r>
        <w:rPr/>
        <w:t>twelve-month growth</w:t>
      </w:r>
      <w:r>
        <w:rPr>
          <w:spacing w:val="1"/>
        </w:rPr>
        <w:t> </w:t>
      </w:r>
      <w:r>
        <w:rPr/>
        <w:t>rate.</w:t>
      </w:r>
    </w:p>
    <w:p>
      <w:pPr>
        <w:pStyle w:val="BodyText"/>
        <w:spacing w:before="1"/>
        <w:rPr>
          <w:sz w:val="32"/>
        </w:rPr>
      </w:pPr>
    </w:p>
    <w:p>
      <w:pPr>
        <w:pStyle w:val="BodyText"/>
        <w:tabs>
          <w:tab w:pos="683" w:val="left" w:leader="none"/>
        </w:tabs>
        <w:spacing w:line="321" w:lineRule="auto"/>
        <w:ind w:left="117" w:right="180"/>
      </w:pPr>
      <w:r>
        <w:rPr/>
        <w:t>A3</w:t>
        <w:tab/>
        <w:t>The growth of </w:t>
      </w:r>
      <w:r>
        <w:rPr>
          <w:spacing w:val="3"/>
        </w:rPr>
        <w:t>other </w:t>
      </w:r>
      <w:r>
        <w:rPr>
          <w:spacing w:val="-4"/>
        </w:rPr>
        <w:t>‘narrow’ </w:t>
      </w:r>
      <w:r>
        <w:rPr/>
        <w:t>measures of money was also slower in March. The £1.1 billion inflow into retail M4 deposits had been the smallest monthly flow since April 1997, and the twelve- month</w:t>
      </w:r>
      <w:r>
        <w:rPr>
          <w:spacing w:val="-10"/>
        </w:rPr>
        <w:t> </w:t>
      </w:r>
      <w:r>
        <w:rPr/>
        <w:t>growth</w:t>
      </w:r>
      <w:r>
        <w:rPr>
          <w:spacing w:val="-9"/>
        </w:rPr>
        <w:t> </w:t>
      </w:r>
      <w:r>
        <w:rPr/>
        <w:t>rate</w:t>
      </w:r>
      <w:r>
        <w:rPr>
          <w:spacing w:val="-7"/>
        </w:rPr>
        <w:t> </w:t>
      </w:r>
      <w:r>
        <w:rPr/>
        <w:t>had</w:t>
      </w:r>
      <w:r>
        <w:rPr>
          <w:spacing w:val="-9"/>
        </w:rPr>
        <w:t> </w:t>
      </w:r>
      <w:r>
        <w:rPr/>
        <w:t>fallen</w:t>
      </w:r>
      <w:r>
        <w:rPr>
          <w:spacing w:val="-9"/>
        </w:rPr>
        <w:t> </w:t>
      </w:r>
      <w:r>
        <w:rPr>
          <w:spacing w:val="2"/>
        </w:rPr>
        <w:t>to</w:t>
      </w:r>
      <w:r>
        <w:rPr>
          <w:spacing w:val="-5"/>
        </w:rPr>
        <w:t> </w:t>
      </w:r>
      <w:r>
        <w:rPr/>
        <w:t>6.5%</w:t>
      </w:r>
      <w:r>
        <w:rPr>
          <w:spacing w:val="-9"/>
        </w:rPr>
        <w:t> </w:t>
      </w:r>
      <w:r>
        <w:rPr/>
        <w:t>from</w:t>
      </w:r>
      <w:r>
        <w:rPr>
          <w:spacing w:val="-9"/>
        </w:rPr>
        <w:t> </w:t>
      </w:r>
      <w:r>
        <w:rPr/>
        <w:t>7.0%</w:t>
      </w:r>
      <w:r>
        <w:rPr>
          <w:spacing w:val="-9"/>
        </w:rPr>
        <w:t> </w:t>
      </w:r>
      <w:r>
        <w:rPr/>
        <w:t>in</w:t>
      </w:r>
      <w:r>
        <w:rPr>
          <w:spacing w:val="-10"/>
        </w:rPr>
        <w:t> </w:t>
      </w:r>
      <w:r>
        <w:rPr/>
        <w:t>February.</w:t>
      </w:r>
      <w:r>
        <w:rPr>
          <w:spacing w:val="42"/>
        </w:rPr>
        <w:t> </w:t>
      </w:r>
      <w:r>
        <w:rPr/>
        <w:t>However,</w:t>
      </w:r>
      <w:r>
        <w:rPr>
          <w:spacing w:val="-9"/>
        </w:rPr>
        <w:t> </w:t>
      </w:r>
      <w:r>
        <w:rPr/>
        <w:t>the</w:t>
      </w:r>
      <w:r>
        <w:rPr>
          <w:spacing w:val="-9"/>
        </w:rPr>
        <w:t> </w:t>
      </w:r>
      <w:r>
        <w:rPr/>
        <w:t>March</w:t>
      </w:r>
      <w:r>
        <w:rPr>
          <w:spacing w:val="-9"/>
        </w:rPr>
        <w:t> </w:t>
      </w:r>
      <w:r>
        <w:rPr/>
        <w:t>inflow</w:t>
      </w:r>
      <w:r>
        <w:rPr>
          <w:spacing w:val="-9"/>
        </w:rPr>
        <w:t> </w:t>
      </w:r>
      <w:r>
        <w:rPr/>
        <w:t>might</w:t>
      </w:r>
      <w:r>
        <w:rPr>
          <w:spacing w:val="-5"/>
        </w:rPr>
        <w:t> </w:t>
      </w:r>
      <w:r>
        <w:rPr/>
        <w:t>have been distorted by two factors. First, February had ended at a weekend, so </w:t>
      </w:r>
      <w:r>
        <w:rPr>
          <w:spacing w:val="3"/>
        </w:rPr>
        <w:t>end-February </w:t>
      </w:r>
      <w:r>
        <w:rPr/>
        <w:t>direct debit payments would have been held </w:t>
      </w:r>
      <w:r>
        <w:rPr>
          <w:spacing w:val="3"/>
        </w:rPr>
        <w:t>over </w:t>
      </w:r>
      <w:r>
        <w:rPr>
          <w:spacing w:val="2"/>
        </w:rPr>
        <w:t>to </w:t>
      </w:r>
      <w:r>
        <w:rPr/>
        <w:t>be paid in March; second, retail inflows </w:t>
      </w:r>
      <w:r>
        <w:rPr>
          <w:spacing w:val="2"/>
        </w:rPr>
        <w:t>to </w:t>
      </w:r>
      <w:r>
        <w:rPr/>
        <w:t>unit trusts had been very strong in the wake of Budget announcements about the future of personal equity plans (PEPs).</w:t>
      </w:r>
    </w:p>
    <w:p>
      <w:pPr>
        <w:pStyle w:val="BodyText"/>
        <w:rPr>
          <w:sz w:val="32"/>
        </w:rPr>
      </w:pPr>
    </w:p>
    <w:p>
      <w:pPr>
        <w:pStyle w:val="BodyText"/>
        <w:tabs>
          <w:tab w:pos="683" w:val="left" w:leader="none"/>
        </w:tabs>
        <w:spacing w:line="321" w:lineRule="auto"/>
        <w:ind w:left="117" w:right="236"/>
      </w:pPr>
      <w:r>
        <w:rPr/>
        <w:t>A4</w:t>
        <w:tab/>
        <w:t>Divisia money growth had also fallen sharply. Growth in the four quarters </w:t>
      </w:r>
      <w:r>
        <w:rPr>
          <w:spacing w:val="2"/>
        </w:rPr>
        <w:t>to </w:t>
      </w:r>
      <w:r>
        <w:rPr/>
        <w:t>Q1 was 8.5%, down from 10.8% in Q4. The fall in </w:t>
      </w:r>
      <w:r>
        <w:rPr>
          <w:spacing w:val="3"/>
        </w:rPr>
        <w:t>one-quarter-annualised </w:t>
      </w:r>
      <w:r>
        <w:rPr/>
        <w:t>rates was sharper, coming down from 11.5% </w:t>
      </w:r>
      <w:r>
        <w:rPr>
          <w:spacing w:val="2"/>
        </w:rPr>
        <w:t>to </w:t>
      </w:r>
      <w:r>
        <w:rPr/>
        <w:t>3.6%. The fall had been largely been accounted for by the personal </w:t>
      </w:r>
      <w:r>
        <w:rPr>
          <w:spacing w:val="2"/>
        </w:rPr>
        <w:t>sector, </w:t>
      </w:r>
      <w:r>
        <w:rPr/>
        <w:t>where the four- quarter</w:t>
      </w:r>
      <w:r>
        <w:rPr>
          <w:spacing w:val="-5"/>
        </w:rPr>
        <w:t> </w:t>
      </w:r>
      <w:r>
        <w:rPr/>
        <w:t>growth</w:t>
      </w:r>
      <w:r>
        <w:rPr>
          <w:spacing w:val="-5"/>
        </w:rPr>
        <w:t> </w:t>
      </w:r>
      <w:r>
        <w:rPr/>
        <w:t>rate</w:t>
      </w:r>
      <w:r>
        <w:rPr>
          <w:spacing w:val="-3"/>
        </w:rPr>
        <w:t> </w:t>
      </w:r>
      <w:r>
        <w:rPr/>
        <w:t>was</w:t>
      </w:r>
      <w:r>
        <w:rPr>
          <w:spacing w:val="-4"/>
        </w:rPr>
        <w:t> </w:t>
      </w:r>
      <w:r>
        <w:rPr/>
        <w:t>6.6%,</w:t>
      </w:r>
      <w:r>
        <w:rPr>
          <w:spacing w:val="-5"/>
        </w:rPr>
        <w:t> </w:t>
      </w:r>
      <w:r>
        <w:rPr/>
        <w:t>down</w:t>
      </w:r>
      <w:r>
        <w:rPr>
          <w:spacing w:val="-5"/>
        </w:rPr>
        <w:t> </w:t>
      </w:r>
      <w:r>
        <w:rPr/>
        <w:t>from</w:t>
      </w:r>
      <w:r>
        <w:rPr>
          <w:spacing w:val="-5"/>
        </w:rPr>
        <w:t> </w:t>
      </w:r>
      <w:r>
        <w:rPr/>
        <w:t>9.4%</w:t>
      </w:r>
      <w:r>
        <w:rPr>
          <w:spacing w:val="-4"/>
        </w:rPr>
        <w:t> </w:t>
      </w:r>
      <w:r>
        <w:rPr/>
        <w:t>in</w:t>
      </w:r>
      <w:r>
        <w:rPr>
          <w:spacing w:val="-5"/>
        </w:rPr>
        <w:t> </w:t>
      </w:r>
      <w:r>
        <w:rPr/>
        <w:t>Q4,</w:t>
      </w:r>
      <w:r>
        <w:rPr>
          <w:spacing w:val="-5"/>
        </w:rPr>
        <w:t> </w:t>
      </w:r>
      <w:r>
        <w:rPr/>
        <w:t>while</w:t>
      </w:r>
      <w:r>
        <w:rPr>
          <w:spacing w:val="-4"/>
        </w:rPr>
        <w:t> </w:t>
      </w:r>
      <w:r>
        <w:rPr/>
        <w:t>the</w:t>
      </w:r>
      <w:r>
        <w:rPr>
          <w:spacing w:val="-5"/>
        </w:rPr>
        <w:t> </w:t>
      </w:r>
      <w:r>
        <w:rPr>
          <w:spacing w:val="3"/>
        </w:rPr>
        <w:t>one-quarter-annualised</w:t>
      </w:r>
      <w:r>
        <w:rPr/>
        <w:t> growth</w:t>
      </w:r>
      <w:r>
        <w:rPr>
          <w:spacing w:val="-5"/>
        </w:rPr>
        <w:t> </w:t>
      </w:r>
      <w:r>
        <w:rPr/>
        <w:t>rate had fallen </w:t>
      </w:r>
      <w:r>
        <w:rPr>
          <w:spacing w:val="2"/>
        </w:rPr>
        <w:t>to </w:t>
      </w:r>
      <w:r>
        <w:rPr/>
        <w:t>0.8%. This partly reflected a move </w:t>
      </w:r>
      <w:r>
        <w:rPr>
          <w:spacing w:val="2"/>
        </w:rPr>
        <w:t>out </w:t>
      </w:r>
      <w:r>
        <w:rPr/>
        <w:t>of non-interest-bearing deposits in 1998</w:t>
      </w:r>
      <w:r>
        <w:rPr>
          <w:spacing w:val="-9"/>
        </w:rPr>
        <w:t> </w:t>
      </w:r>
      <w:r>
        <w:rPr/>
        <w:t>Q1.</w:t>
      </w:r>
    </w:p>
    <w:p>
      <w:pPr>
        <w:pStyle w:val="BodyText"/>
        <w:spacing w:before="1"/>
        <w:rPr>
          <w:sz w:val="32"/>
        </w:rPr>
      </w:pPr>
    </w:p>
    <w:p>
      <w:pPr>
        <w:pStyle w:val="BodyText"/>
        <w:tabs>
          <w:tab w:pos="683" w:val="left" w:leader="none"/>
        </w:tabs>
        <w:spacing w:line="321" w:lineRule="auto"/>
        <w:ind w:left="117" w:right="970"/>
      </w:pPr>
      <w:r>
        <w:rPr/>
        <w:t>A5</w:t>
        <w:tab/>
        <w:t>Aggregate</w:t>
      </w:r>
      <w:r>
        <w:rPr>
          <w:spacing w:val="-7"/>
        </w:rPr>
        <w:t> </w:t>
      </w:r>
      <w:r>
        <w:rPr/>
        <w:t>M4</w:t>
      </w:r>
      <w:r>
        <w:rPr>
          <w:spacing w:val="-6"/>
        </w:rPr>
        <w:t> </w:t>
      </w:r>
      <w:r>
        <w:rPr/>
        <w:t>growth</w:t>
      </w:r>
      <w:r>
        <w:rPr>
          <w:spacing w:val="-7"/>
        </w:rPr>
        <w:t> </w:t>
      </w:r>
      <w:r>
        <w:rPr/>
        <w:t>had</w:t>
      </w:r>
      <w:r>
        <w:rPr>
          <w:spacing w:val="-6"/>
        </w:rPr>
        <w:t> </w:t>
      </w:r>
      <w:r>
        <w:rPr/>
        <w:t>slowed</w:t>
      </w:r>
      <w:r>
        <w:rPr>
          <w:spacing w:val="-7"/>
        </w:rPr>
        <w:t> </w:t>
      </w:r>
      <w:r>
        <w:rPr/>
        <w:t>in</w:t>
      </w:r>
      <w:r>
        <w:rPr>
          <w:spacing w:val="-6"/>
        </w:rPr>
        <w:t> </w:t>
      </w:r>
      <w:r>
        <w:rPr/>
        <w:t>March,</w:t>
      </w:r>
      <w:r>
        <w:rPr>
          <w:spacing w:val="-6"/>
        </w:rPr>
        <w:t> </w:t>
      </w:r>
      <w:r>
        <w:rPr/>
        <w:t>but</w:t>
      </w:r>
      <w:r>
        <w:rPr>
          <w:spacing w:val="-3"/>
        </w:rPr>
        <w:t> </w:t>
      </w:r>
      <w:r>
        <w:rPr/>
        <w:t>annual</w:t>
      </w:r>
      <w:r>
        <w:rPr>
          <w:spacing w:val="-6"/>
        </w:rPr>
        <w:t> </w:t>
      </w:r>
      <w:r>
        <w:rPr/>
        <w:t>growth</w:t>
      </w:r>
      <w:r>
        <w:rPr>
          <w:spacing w:val="-6"/>
        </w:rPr>
        <w:t> </w:t>
      </w:r>
      <w:r>
        <w:rPr/>
        <w:t>rates</w:t>
      </w:r>
      <w:r>
        <w:rPr>
          <w:spacing w:val="-5"/>
        </w:rPr>
        <w:t> </w:t>
      </w:r>
      <w:r>
        <w:rPr/>
        <w:t>from</w:t>
      </w:r>
      <w:r>
        <w:rPr>
          <w:spacing w:val="-7"/>
        </w:rPr>
        <w:t> </w:t>
      </w:r>
      <w:r>
        <w:rPr/>
        <w:t>December</w:t>
      </w:r>
      <w:r>
        <w:rPr>
          <w:spacing w:val="-6"/>
        </w:rPr>
        <w:t> </w:t>
      </w:r>
      <w:r>
        <w:rPr/>
        <w:t>to February had been revised up by an average of 0.3 percentage points in each month.</w:t>
      </w:r>
      <w:r>
        <w:rPr>
          <w:spacing w:val="-1"/>
        </w:rPr>
        <w:t> </w:t>
      </w:r>
      <w:r>
        <w:rPr/>
        <w:t>The</w:t>
      </w:r>
    </w:p>
    <w:p>
      <w:pPr>
        <w:pStyle w:val="BodyText"/>
        <w:spacing w:line="321" w:lineRule="auto"/>
        <w:ind w:left="117" w:right="642"/>
      </w:pPr>
      <w:r>
        <w:rPr/>
        <w:t>twelve-month</w:t>
      </w:r>
      <w:r>
        <w:rPr>
          <w:spacing w:val="-7"/>
        </w:rPr>
        <w:t> </w:t>
      </w:r>
      <w:r>
        <w:rPr/>
        <w:t>growth</w:t>
      </w:r>
      <w:r>
        <w:rPr>
          <w:spacing w:val="-8"/>
        </w:rPr>
        <w:t> </w:t>
      </w:r>
      <w:r>
        <w:rPr/>
        <w:t>rate</w:t>
      </w:r>
      <w:r>
        <w:rPr>
          <w:spacing w:val="-6"/>
        </w:rPr>
        <w:t> </w:t>
      </w:r>
      <w:r>
        <w:rPr/>
        <w:t>had</w:t>
      </w:r>
      <w:r>
        <w:rPr>
          <w:spacing w:val="-9"/>
        </w:rPr>
        <w:t> </w:t>
      </w:r>
      <w:r>
        <w:rPr/>
        <w:t>fallen</w:t>
      </w:r>
      <w:r>
        <w:rPr>
          <w:spacing w:val="-8"/>
        </w:rPr>
        <w:t> </w:t>
      </w:r>
      <w:r>
        <w:rPr/>
        <w:t>below</w:t>
      </w:r>
      <w:r>
        <w:rPr>
          <w:spacing w:val="-8"/>
        </w:rPr>
        <w:t> </w:t>
      </w:r>
      <w:r>
        <w:rPr/>
        <w:t>10%</w:t>
      </w:r>
      <w:r>
        <w:rPr>
          <w:spacing w:val="-8"/>
        </w:rPr>
        <w:t> </w:t>
      </w:r>
      <w:r>
        <w:rPr/>
        <w:t>in</w:t>
      </w:r>
      <w:r>
        <w:rPr>
          <w:spacing w:val="-8"/>
        </w:rPr>
        <w:t> </w:t>
      </w:r>
      <w:r>
        <w:rPr/>
        <w:t>March,</w:t>
      </w:r>
      <w:r>
        <w:rPr>
          <w:spacing w:val="-8"/>
        </w:rPr>
        <w:t> </w:t>
      </w:r>
      <w:r>
        <w:rPr>
          <w:spacing w:val="2"/>
        </w:rPr>
        <w:t>to</w:t>
      </w:r>
      <w:r>
        <w:rPr>
          <w:spacing w:val="-4"/>
        </w:rPr>
        <w:t> </w:t>
      </w:r>
      <w:r>
        <w:rPr/>
        <w:t>9.8%,</w:t>
      </w:r>
      <w:r>
        <w:rPr>
          <w:spacing w:val="-8"/>
        </w:rPr>
        <w:t> </w:t>
      </w:r>
      <w:r>
        <w:rPr/>
        <w:t>and</w:t>
      </w:r>
      <w:r>
        <w:rPr>
          <w:spacing w:val="-8"/>
        </w:rPr>
        <w:t> </w:t>
      </w:r>
      <w:r>
        <w:rPr/>
        <w:t>the</w:t>
      </w:r>
      <w:r>
        <w:rPr>
          <w:spacing w:val="-8"/>
        </w:rPr>
        <w:t> </w:t>
      </w:r>
      <w:r>
        <w:rPr/>
        <w:t>six-month</w:t>
      </w:r>
      <w:r>
        <w:rPr>
          <w:spacing w:val="-8"/>
        </w:rPr>
        <w:t> </w:t>
      </w:r>
      <w:r>
        <w:rPr/>
        <w:t>and</w:t>
      </w:r>
      <w:r>
        <w:rPr>
          <w:spacing w:val="-8"/>
        </w:rPr>
        <w:t> </w:t>
      </w:r>
      <w:r>
        <w:rPr/>
        <w:t>three- month annualised growth rates were slightly lower than</w:t>
      </w:r>
      <w:r>
        <w:rPr>
          <w:spacing w:val="1"/>
        </w:rPr>
        <w:t> </w:t>
      </w:r>
      <w:r>
        <w:rPr/>
        <w:t>this.</w:t>
      </w:r>
    </w:p>
    <w:p>
      <w:pPr>
        <w:pStyle w:val="BodyText"/>
        <w:rPr>
          <w:sz w:val="32"/>
        </w:rPr>
      </w:pPr>
    </w:p>
    <w:p>
      <w:pPr>
        <w:pStyle w:val="BodyText"/>
        <w:tabs>
          <w:tab w:pos="683" w:val="left" w:leader="none"/>
        </w:tabs>
        <w:spacing w:line="321" w:lineRule="auto"/>
        <w:ind w:left="117" w:right="639"/>
      </w:pPr>
      <w:r>
        <w:rPr/>
        <w:t>A6</w:t>
        <w:tab/>
        <w:t>Personal</w:t>
      </w:r>
      <w:r>
        <w:rPr>
          <w:spacing w:val="-8"/>
        </w:rPr>
        <w:t> </w:t>
      </w:r>
      <w:r>
        <w:rPr/>
        <w:t>sector</w:t>
      </w:r>
      <w:r>
        <w:rPr>
          <w:spacing w:val="-4"/>
        </w:rPr>
        <w:t> </w:t>
      </w:r>
      <w:r>
        <w:rPr/>
        <w:t>M4</w:t>
      </w:r>
      <w:r>
        <w:rPr>
          <w:spacing w:val="-8"/>
        </w:rPr>
        <w:t> </w:t>
      </w:r>
      <w:r>
        <w:rPr/>
        <w:t>growth</w:t>
      </w:r>
      <w:r>
        <w:rPr>
          <w:spacing w:val="-8"/>
        </w:rPr>
        <w:t> </w:t>
      </w:r>
      <w:r>
        <w:rPr/>
        <w:t>had</w:t>
      </w:r>
      <w:r>
        <w:rPr>
          <w:spacing w:val="-8"/>
        </w:rPr>
        <w:t> </w:t>
      </w:r>
      <w:r>
        <w:rPr/>
        <w:t>weakened</w:t>
      </w:r>
      <w:r>
        <w:rPr>
          <w:spacing w:val="-8"/>
        </w:rPr>
        <w:t> </w:t>
      </w:r>
      <w:r>
        <w:rPr/>
        <w:t>in</w:t>
      </w:r>
      <w:r>
        <w:rPr>
          <w:spacing w:val="-8"/>
        </w:rPr>
        <w:t> </w:t>
      </w:r>
      <w:r>
        <w:rPr/>
        <w:t>Q1,</w:t>
      </w:r>
      <w:r>
        <w:rPr>
          <w:spacing w:val="-8"/>
        </w:rPr>
        <w:t> </w:t>
      </w:r>
      <w:r>
        <w:rPr/>
        <w:t>with</w:t>
      </w:r>
      <w:r>
        <w:rPr>
          <w:spacing w:val="-9"/>
        </w:rPr>
        <w:t> </w:t>
      </w:r>
      <w:r>
        <w:rPr/>
        <w:t>the</w:t>
      </w:r>
      <w:r>
        <w:rPr>
          <w:spacing w:val="-8"/>
        </w:rPr>
        <w:t> </w:t>
      </w:r>
      <w:r>
        <w:rPr/>
        <w:t>twelve-month</w:t>
      </w:r>
      <w:r>
        <w:rPr>
          <w:spacing w:val="-8"/>
        </w:rPr>
        <w:t> </w:t>
      </w:r>
      <w:r>
        <w:rPr/>
        <w:t>growth</w:t>
      </w:r>
      <w:r>
        <w:rPr>
          <w:spacing w:val="-8"/>
        </w:rPr>
        <w:t> </w:t>
      </w:r>
      <w:r>
        <w:rPr/>
        <w:t>rate</w:t>
      </w:r>
      <w:r>
        <w:rPr>
          <w:spacing w:val="-6"/>
        </w:rPr>
        <w:t> </w:t>
      </w:r>
      <w:r>
        <w:rPr/>
        <w:t>falling from 8.3% </w:t>
      </w:r>
      <w:r>
        <w:rPr>
          <w:spacing w:val="2"/>
        </w:rPr>
        <w:t>to </w:t>
      </w:r>
      <w:r>
        <w:rPr/>
        <w:t>6.3%. This was the first quarter since 1996 Q4 not </w:t>
      </w:r>
      <w:r>
        <w:rPr>
          <w:spacing w:val="2"/>
        </w:rPr>
        <w:t>to </w:t>
      </w:r>
      <w:r>
        <w:rPr/>
        <w:t>have been affected</w:t>
      </w:r>
      <w:r>
        <w:rPr>
          <w:spacing w:val="-28"/>
        </w:rPr>
        <w:t> </w:t>
      </w:r>
      <w:r>
        <w:rPr/>
        <w:t>by</w:t>
      </w:r>
    </w:p>
    <w:p>
      <w:pPr>
        <w:pStyle w:val="BodyText"/>
        <w:spacing w:line="321" w:lineRule="auto"/>
        <w:ind w:left="117" w:right="351"/>
      </w:pPr>
      <w:r>
        <w:rPr/>
        <w:t>windfall-related</w:t>
      </w:r>
      <w:r>
        <w:rPr>
          <w:spacing w:val="-14"/>
        </w:rPr>
        <w:t> </w:t>
      </w:r>
      <w:r>
        <w:rPr/>
        <w:t>flows,</w:t>
      </w:r>
      <w:r>
        <w:rPr>
          <w:spacing w:val="-15"/>
        </w:rPr>
        <w:t> </w:t>
      </w:r>
      <w:r>
        <w:rPr/>
        <w:t>and</w:t>
      </w:r>
      <w:r>
        <w:rPr>
          <w:spacing w:val="-15"/>
        </w:rPr>
        <w:t> </w:t>
      </w:r>
      <w:r>
        <w:rPr/>
        <w:t>self-assessment</w:t>
      </w:r>
      <w:r>
        <w:rPr>
          <w:spacing w:val="-11"/>
        </w:rPr>
        <w:t> </w:t>
      </w:r>
      <w:r>
        <w:rPr/>
        <w:t>tax</w:t>
      </w:r>
      <w:r>
        <w:rPr>
          <w:spacing w:val="-15"/>
        </w:rPr>
        <w:t> </w:t>
      </w:r>
      <w:r>
        <w:rPr/>
        <w:t>receipts</w:t>
      </w:r>
      <w:r>
        <w:rPr>
          <w:spacing w:val="-13"/>
        </w:rPr>
        <w:t> </w:t>
      </w:r>
      <w:r>
        <w:rPr/>
        <w:t>had</w:t>
      </w:r>
      <w:r>
        <w:rPr>
          <w:spacing w:val="-15"/>
        </w:rPr>
        <w:t> </w:t>
      </w:r>
      <w:r>
        <w:rPr/>
        <w:t>been</w:t>
      </w:r>
      <w:r>
        <w:rPr>
          <w:spacing w:val="-15"/>
        </w:rPr>
        <w:t> </w:t>
      </w:r>
      <w:r>
        <w:rPr/>
        <w:t>some</w:t>
      </w:r>
      <w:r>
        <w:rPr>
          <w:spacing w:val="-15"/>
        </w:rPr>
        <w:t> </w:t>
      </w:r>
      <w:r>
        <w:rPr/>
        <w:t>£5</w:t>
      </w:r>
      <w:r>
        <w:rPr>
          <w:spacing w:val="-11"/>
        </w:rPr>
        <w:t> </w:t>
      </w:r>
      <w:r>
        <w:rPr/>
        <w:t>billion</w:t>
      </w:r>
      <w:r>
        <w:rPr>
          <w:spacing w:val="-15"/>
        </w:rPr>
        <w:t> </w:t>
      </w:r>
      <w:r>
        <w:rPr/>
        <w:t>higher</w:t>
      </w:r>
      <w:r>
        <w:rPr>
          <w:spacing w:val="-15"/>
        </w:rPr>
        <w:t> </w:t>
      </w:r>
      <w:r>
        <w:rPr/>
        <w:t>than</w:t>
      </w:r>
      <w:r>
        <w:rPr>
          <w:spacing w:val="-15"/>
        </w:rPr>
        <w:t> </w:t>
      </w:r>
      <w:r>
        <w:rPr/>
        <w:t>in</w:t>
      </w:r>
      <w:r>
        <w:rPr>
          <w:spacing w:val="-15"/>
        </w:rPr>
        <w:t> </w:t>
      </w:r>
      <w:r>
        <w:rPr/>
        <w:t>1997 Q1. In addition, the figure would have been affected by large flows into PEPs at the end of the quarter.</w:t>
      </w:r>
    </w:p>
    <w:p>
      <w:pPr>
        <w:spacing w:after="0" w:line="321" w:lineRule="auto"/>
        <w:sectPr>
          <w:pgSz w:w="11900" w:h="16840"/>
          <w:pgMar w:header="867" w:footer="0" w:top="1320" w:bottom="280" w:left="1020" w:right="880"/>
        </w:sectPr>
      </w:pPr>
    </w:p>
    <w:p>
      <w:pPr>
        <w:pStyle w:val="BodyText"/>
        <w:tabs>
          <w:tab w:pos="683" w:val="left" w:leader="none"/>
        </w:tabs>
        <w:spacing w:line="321" w:lineRule="auto" w:before="80"/>
        <w:ind w:left="117" w:right="235"/>
      </w:pPr>
      <w:r>
        <w:rPr/>
        <w:t>A7</w:t>
        <w:tab/>
      </w:r>
      <w:r>
        <w:rPr>
          <w:spacing w:val="-6"/>
        </w:rPr>
        <w:t>ICC’s </w:t>
      </w:r>
      <w:r>
        <w:rPr/>
        <w:t>M4 deposits rose sharply in March; the </w:t>
      </w:r>
      <w:r>
        <w:rPr>
          <w:spacing w:val="3"/>
        </w:rPr>
        <w:t>one-month </w:t>
      </w:r>
      <w:r>
        <w:rPr/>
        <w:t>growth rate had been 3.0%. The rise in Q1, at 2.4%, was the largest since 1996 Q2. Much of the March inflow had been into sight deposits,</w:t>
      </w:r>
      <w:r>
        <w:rPr>
          <w:spacing w:val="-7"/>
        </w:rPr>
        <w:t> </w:t>
      </w:r>
      <w:r>
        <w:rPr/>
        <w:t>and</w:t>
      </w:r>
      <w:r>
        <w:rPr>
          <w:spacing w:val="-7"/>
        </w:rPr>
        <w:t> </w:t>
      </w:r>
      <w:r>
        <w:rPr/>
        <w:t>in</w:t>
      </w:r>
      <w:r>
        <w:rPr>
          <w:spacing w:val="-7"/>
        </w:rPr>
        <w:t> </w:t>
      </w:r>
      <w:r>
        <w:rPr/>
        <w:t>Q1</w:t>
      </w:r>
      <w:r>
        <w:rPr>
          <w:spacing w:val="-7"/>
        </w:rPr>
        <w:t> </w:t>
      </w:r>
      <w:r>
        <w:rPr/>
        <w:t>as</w:t>
      </w:r>
      <w:r>
        <w:rPr>
          <w:spacing w:val="-7"/>
        </w:rPr>
        <w:t> </w:t>
      </w:r>
      <w:r>
        <w:rPr/>
        <w:t>a</w:t>
      </w:r>
      <w:r>
        <w:rPr>
          <w:spacing w:val="-7"/>
        </w:rPr>
        <w:t> </w:t>
      </w:r>
      <w:r>
        <w:rPr/>
        <w:t>whole</w:t>
      </w:r>
      <w:r>
        <w:rPr>
          <w:spacing w:val="-7"/>
        </w:rPr>
        <w:t> </w:t>
      </w:r>
      <w:r>
        <w:rPr/>
        <w:t>there</w:t>
      </w:r>
      <w:r>
        <w:rPr>
          <w:spacing w:val="-7"/>
        </w:rPr>
        <w:t> </w:t>
      </w:r>
      <w:r>
        <w:rPr/>
        <w:t>was</w:t>
      </w:r>
      <w:r>
        <w:rPr>
          <w:spacing w:val="-7"/>
        </w:rPr>
        <w:t> </w:t>
      </w:r>
      <w:r>
        <w:rPr/>
        <w:t>a</w:t>
      </w:r>
      <w:r>
        <w:rPr>
          <w:spacing w:val="-7"/>
        </w:rPr>
        <w:t> </w:t>
      </w:r>
      <w:r>
        <w:rPr/>
        <w:t>large</w:t>
      </w:r>
      <w:r>
        <w:rPr>
          <w:spacing w:val="-7"/>
        </w:rPr>
        <w:t> </w:t>
      </w:r>
      <w:r>
        <w:rPr/>
        <w:t>rise</w:t>
      </w:r>
      <w:r>
        <w:rPr>
          <w:spacing w:val="-5"/>
        </w:rPr>
        <w:t> </w:t>
      </w:r>
      <w:r>
        <w:rPr/>
        <w:t>in</w:t>
      </w:r>
      <w:r>
        <w:rPr>
          <w:spacing w:val="-7"/>
        </w:rPr>
        <w:t> </w:t>
      </w:r>
      <w:r>
        <w:rPr/>
        <w:t>deposits</w:t>
      </w:r>
      <w:r>
        <w:rPr>
          <w:spacing w:val="-7"/>
        </w:rPr>
        <w:t> </w:t>
      </w:r>
      <w:r>
        <w:rPr/>
        <w:t>placed</w:t>
      </w:r>
      <w:r>
        <w:rPr>
          <w:spacing w:val="-7"/>
        </w:rPr>
        <w:t> </w:t>
      </w:r>
      <w:r>
        <w:rPr/>
        <w:t>by</w:t>
      </w:r>
      <w:r>
        <w:rPr>
          <w:spacing w:val="-6"/>
        </w:rPr>
        <w:t> </w:t>
      </w:r>
      <w:r>
        <w:rPr/>
        <w:t>the</w:t>
      </w:r>
      <w:r>
        <w:rPr>
          <w:spacing w:val="-7"/>
        </w:rPr>
        <w:t> </w:t>
      </w:r>
      <w:r>
        <w:rPr/>
        <w:t>legal,</w:t>
      </w:r>
      <w:r>
        <w:rPr>
          <w:spacing w:val="-7"/>
        </w:rPr>
        <w:t> </w:t>
      </w:r>
      <w:r>
        <w:rPr/>
        <w:t>accountancy</w:t>
      </w:r>
      <w:r>
        <w:rPr>
          <w:spacing w:val="-7"/>
        </w:rPr>
        <w:t> </w:t>
      </w:r>
      <w:r>
        <w:rPr/>
        <w:t>and consultancy</w:t>
      </w:r>
      <w:r>
        <w:rPr>
          <w:spacing w:val="1"/>
        </w:rPr>
        <w:t> </w:t>
      </w:r>
      <w:r>
        <w:rPr/>
        <w:t>sub-sector.</w:t>
      </w:r>
    </w:p>
    <w:p>
      <w:pPr>
        <w:pStyle w:val="BodyText"/>
        <w:rPr>
          <w:sz w:val="32"/>
        </w:rPr>
      </w:pPr>
    </w:p>
    <w:p>
      <w:pPr>
        <w:pStyle w:val="BodyText"/>
        <w:tabs>
          <w:tab w:pos="683" w:val="left" w:leader="none"/>
        </w:tabs>
        <w:spacing w:line="321" w:lineRule="auto"/>
        <w:ind w:left="117" w:right="215"/>
      </w:pPr>
      <w:r>
        <w:rPr/>
        <w:t>A8</w:t>
        <w:tab/>
        <w:t>OFIs’</w:t>
      </w:r>
      <w:r>
        <w:rPr>
          <w:spacing w:val="-33"/>
        </w:rPr>
        <w:t> </w:t>
      </w:r>
      <w:r>
        <w:rPr/>
        <w:t>annual</w:t>
      </w:r>
      <w:r>
        <w:rPr>
          <w:spacing w:val="-8"/>
        </w:rPr>
        <w:t> </w:t>
      </w:r>
      <w:r>
        <w:rPr/>
        <w:t>M4</w:t>
      </w:r>
      <w:r>
        <w:rPr>
          <w:spacing w:val="-8"/>
        </w:rPr>
        <w:t> </w:t>
      </w:r>
      <w:r>
        <w:rPr/>
        <w:t>growth</w:t>
      </w:r>
      <w:r>
        <w:rPr>
          <w:spacing w:val="-8"/>
        </w:rPr>
        <w:t> </w:t>
      </w:r>
      <w:r>
        <w:rPr/>
        <w:t>was</w:t>
      </w:r>
      <w:r>
        <w:rPr>
          <w:spacing w:val="-7"/>
        </w:rPr>
        <w:t> </w:t>
      </w:r>
      <w:r>
        <w:rPr/>
        <w:t>21.8%</w:t>
      </w:r>
      <w:r>
        <w:rPr>
          <w:spacing w:val="-8"/>
        </w:rPr>
        <w:t> </w:t>
      </w:r>
      <w:r>
        <w:rPr/>
        <w:t>in</w:t>
      </w:r>
      <w:r>
        <w:rPr>
          <w:spacing w:val="-8"/>
        </w:rPr>
        <w:t> </w:t>
      </w:r>
      <w:r>
        <w:rPr/>
        <w:t>Q1,</w:t>
      </w:r>
      <w:r>
        <w:rPr>
          <w:spacing w:val="-7"/>
        </w:rPr>
        <w:t> </w:t>
      </w:r>
      <w:r>
        <w:rPr/>
        <w:t>down</w:t>
      </w:r>
      <w:r>
        <w:rPr>
          <w:spacing w:val="-8"/>
        </w:rPr>
        <w:t> </w:t>
      </w:r>
      <w:r>
        <w:rPr/>
        <w:t>from</w:t>
      </w:r>
      <w:r>
        <w:rPr>
          <w:spacing w:val="-8"/>
        </w:rPr>
        <w:t> </w:t>
      </w:r>
      <w:r>
        <w:rPr/>
        <w:t>26.1%</w:t>
      </w:r>
      <w:r>
        <w:rPr>
          <w:spacing w:val="-7"/>
        </w:rPr>
        <w:t> </w:t>
      </w:r>
      <w:r>
        <w:rPr/>
        <w:t>in</w:t>
      </w:r>
      <w:r>
        <w:rPr>
          <w:spacing w:val="-8"/>
        </w:rPr>
        <w:t> </w:t>
      </w:r>
      <w:r>
        <w:rPr/>
        <w:t>Q4.</w:t>
      </w:r>
      <w:r>
        <w:rPr>
          <w:spacing w:val="44"/>
        </w:rPr>
        <w:t> </w:t>
      </w:r>
      <w:r>
        <w:rPr/>
        <w:t>The</w:t>
      </w:r>
      <w:r>
        <w:rPr>
          <w:spacing w:val="-6"/>
        </w:rPr>
        <w:t> </w:t>
      </w:r>
      <w:r>
        <w:rPr/>
        <w:t>six-month</w:t>
      </w:r>
      <w:r>
        <w:rPr>
          <w:spacing w:val="-7"/>
        </w:rPr>
        <w:t> </w:t>
      </w:r>
      <w:r>
        <w:rPr/>
        <w:t>annualised rate,</w:t>
      </w:r>
      <w:r>
        <w:rPr>
          <w:spacing w:val="-4"/>
        </w:rPr>
        <w:t> </w:t>
      </w:r>
      <w:r>
        <w:rPr/>
        <w:t>which</w:t>
      </w:r>
      <w:r>
        <w:rPr>
          <w:spacing w:val="-6"/>
        </w:rPr>
        <w:t> </w:t>
      </w:r>
      <w:r>
        <w:rPr/>
        <w:t>was</w:t>
      </w:r>
      <w:r>
        <w:rPr>
          <w:spacing w:val="-5"/>
        </w:rPr>
        <w:t> </w:t>
      </w:r>
      <w:r>
        <w:rPr/>
        <w:t>not</w:t>
      </w:r>
      <w:r>
        <w:rPr>
          <w:spacing w:val="-1"/>
        </w:rPr>
        <w:t> </w:t>
      </w:r>
      <w:r>
        <w:rPr/>
        <w:t>distorted</w:t>
      </w:r>
      <w:r>
        <w:rPr>
          <w:spacing w:val="-6"/>
        </w:rPr>
        <w:t> </w:t>
      </w:r>
      <w:r>
        <w:rPr/>
        <w:t>by</w:t>
      </w:r>
      <w:r>
        <w:rPr>
          <w:spacing w:val="-5"/>
        </w:rPr>
        <w:t> </w:t>
      </w:r>
      <w:r>
        <w:rPr/>
        <w:t>the</w:t>
      </w:r>
      <w:r>
        <w:rPr>
          <w:spacing w:val="-6"/>
        </w:rPr>
        <w:t> </w:t>
      </w:r>
      <w:r>
        <w:rPr/>
        <w:t>strong</w:t>
      </w:r>
      <w:r>
        <w:rPr>
          <w:spacing w:val="-5"/>
        </w:rPr>
        <w:t> </w:t>
      </w:r>
      <w:r>
        <w:rPr/>
        <w:t>rise</w:t>
      </w:r>
      <w:r>
        <w:rPr>
          <w:spacing w:val="-4"/>
        </w:rPr>
        <w:t> </w:t>
      </w:r>
      <w:r>
        <w:rPr/>
        <w:t>in</w:t>
      </w:r>
      <w:r>
        <w:rPr>
          <w:spacing w:val="-5"/>
        </w:rPr>
        <w:t> </w:t>
      </w:r>
      <w:r>
        <w:rPr/>
        <w:t>repo</w:t>
      </w:r>
      <w:r>
        <w:rPr>
          <w:spacing w:val="-4"/>
        </w:rPr>
        <w:t> </w:t>
      </w:r>
      <w:r>
        <w:rPr/>
        <w:t>transactions</w:t>
      </w:r>
      <w:r>
        <w:rPr>
          <w:spacing w:val="-5"/>
        </w:rPr>
        <w:t> </w:t>
      </w:r>
      <w:r>
        <w:rPr/>
        <w:t>in</w:t>
      </w:r>
      <w:r>
        <w:rPr>
          <w:spacing w:val="-6"/>
        </w:rPr>
        <w:t> </w:t>
      </w:r>
      <w:r>
        <w:rPr/>
        <w:t>1997</w:t>
      </w:r>
      <w:r>
        <w:rPr>
          <w:spacing w:val="-5"/>
        </w:rPr>
        <w:t> </w:t>
      </w:r>
      <w:r>
        <w:rPr/>
        <w:t>Q1,</w:t>
      </w:r>
      <w:r>
        <w:rPr>
          <w:spacing w:val="-6"/>
        </w:rPr>
        <w:t> </w:t>
      </w:r>
      <w:r>
        <w:rPr/>
        <w:t>was</w:t>
      </w:r>
      <w:r>
        <w:rPr>
          <w:spacing w:val="-5"/>
        </w:rPr>
        <w:t> </w:t>
      </w:r>
      <w:r>
        <w:rPr/>
        <w:t>still</w:t>
      </w:r>
      <w:r>
        <w:rPr>
          <w:spacing w:val="-6"/>
        </w:rPr>
        <w:t> </w:t>
      </w:r>
      <w:r>
        <w:rPr/>
        <w:t>above</w:t>
      </w:r>
      <w:r>
        <w:rPr>
          <w:spacing w:val="-5"/>
        </w:rPr>
        <w:t> </w:t>
      </w:r>
      <w:r>
        <w:rPr/>
        <w:t>20%.</w:t>
      </w:r>
    </w:p>
    <w:p>
      <w:pPr>
        <w:pStyle w:val="BodyText"/>
        <w:spacing w:before="1"/>
        <w:rPr>
          <w:sz w:val="32"/>
        </w:rPr>
      </w:pPr>
    </w:p>
    <w:p>
      <w:pPr>
        <w:pStyle w:val="BodyText"/>
        <w:tabs>
          <w:tab w:pos="683" w:val="left" w:leader="none"/>
        </w:tabs>
        <w:spacing w:line="321" w:lineRule="auto" w:before="1"/>
        <w:ind w:left="117" w:right="170"/>
      </w:pPr>
      <w:r>
        <w:rPr/>
        <w:t>A9</w:t>
        <w:tab/>
        <w:t>M4</w:t>
      </w:r>
      <w:r>
        <w:rPr>
          <w:spacing w:val="-8"/>
        </w:rPr>
        <w:t> </w:t>
      </w:r>
      <w:r>
        <w:rPr/>
        <w:t>lending</w:t>
      </w:r>
      <w:r>
        <w:rPr>
          <w:spacing w:val="-8"/>
        </w:rPr>
        <w:t> </w:t>
      </w:r>
      <w:r>
        <w:rPr/>
        <w:t>had</w:t>
      </w:r>
      <w:r>
        <w:rPr>
          <w:spacing w:val="-7"/>
        </w:rPr>
        <w:t> </w:t>
      </w:r>
      <w:r>
        <w:rPr/>
        <w:t>risen</w:t>
      </w:r>
      <w:r>
        <w:rPr>
          <w:spacing w:val="-6"/>
        </w:rPr>
        <w:t> </w:t>
      </w:r>
      <w:r>
        <w:rPr/>
        <w:t>0.3%</w:t>
      </w:r>
      <w:r>
        <w:rPr>
          <w:spacing w:val="-7"/>
        </w:rPr>
        <w:t> </w:t>
      </w:r>
      <w:r>
        <w:rPr/>
        <w:t>on</w:t>
      </w:r>
      <w:r>
        <w:rPr>
          <w:spacing w:val="-4"/>
        </w:rPr>
        <w:t> </w:t>
      </w:r>
      <w:r>
        <w:rPr/>
        <w:t>the</w:t>
      </w:r>
      <w:r>
        <w:rPr>
          <w:spacing w:val="-7"/>
        </w:rPr>
        <w:t> </w:t>
      </w:r>
      <w:r>
        <w:rPr/>
        <w:t>previous</w:t>
      </w:r>
      <w:r>
        <w:rPr>
          <w:spacing w:val="-8"/>
        </w:rPr>
        <w:t> </w:t>
      </w:r>
      <w:r>
        <w:rPr/>
        <w:t>month</w:t>
      </w:r>
      <w:r>
        <w:rPr>
          <w:spacing w:val="-7"/>
        </w:rPr>
        <w:t> </w:t>
      </w:r>
      <w:r>
        <w:rPr/>
        <w:t>and</w:t>
      </w:r>
      <w:r>
        <w:rPr>
          <w:spacing w:val="-8"/>
        </w:rPr>
        <w:t> </w:t>
      </w:r>
      <w:r>
        <w:rPr/>
        <w:t>by</w:t>
      </w:r>
      <w:r>
        <w:rPr>
          <w:spacing w:val="-7"/>
        </w:rPr>
        <w:t> </w:t>
      </w:r>
      <w:r>
        <w:rPr/>
        <w:t>8.4%</w:t>
      </w:r>
      <w:r>
        <w:rPr>
          <w:spacing w:val="-8"/>
        </w:rPr>
        <w:t> </w:t>
      </w:r>
      <w:r>
        <w:rPr/>
        <w:t>on</w:t>
      </w:r>
      <w:r>
        <w:rPr>
          <w:spacing w:val="-3"/>
        </w:rPr>
        <w:t> </w:t>
      </w:r>
      <w:r>
        <w:rPr/>
        <w:t>a</w:t>
      </w:r>
      <w:r>
        <w:rPr>
          <w:spacing w:val="-8"/>
        </w:rPr>
        <w:t> </w:t>
      </w:r>
      <w:r>
        <w:rPr/>
        <w:t>year</w:t>
      </w:r>
      <w:r>
        <w:rPr>
          <w:spacing w:val="-7"/>
        </w:rPr>
        <w:t> </w:t>
      </w:r>
      <w:r>
        <w:rPr/>
        <w:t>earlier,</w:t>
      </w:r>
      <w:r>
        <w:rPr>
          <w:spacing w:val="-8"/>
        </w:rPr>
        <w:t> </w:t>
      </w:r>
      <w:r>
        <w:rPr/>
        <w:t>compared</w:t>
      </w:r>
      <w:r>
        <w:rPr>
          <w:spacing w:val="-7"/>
        </w:rPr>
        <w:t> </w:t>
      </w:r>
      <w:r>
        <w:rPr/>
        <w:t>with 1.2% and 8.9% respectively in</w:t>
      </w:r>
      <w:r>
        <w:rPr>
          <w:spacing w:val="8"/>
        </w:rPr>
        <w:t> </w:t>
      </w:r>
      <w:r>
        <w:rPr/>
        <w:t>February.</w:t>
      </w:r>
    </w:p>
    <w:p>
      <w:pPr>
        <w:pStyle w:val="BodyText"/>
        <w:spacing w:before="1"/>
        <w:rPr>
          <w:sz w:val="32"/>
        </w:rPr>
      </w:pPr>
    </w:p>
    <w:p>
      <w:pPr>
        <w:pStyle w:val="BodyText"/>
        <w:spacing w:line="321" w:lineRule="auto"/>
        <w:ind w:left="117" w:right="131"/>
      </w:pPr>
      <w:r>
        <w:rPr/>
        <w:t>A10 Lending </w:t>
      </w:r>
      <w:r>
        <w:rPr>
          <w:spacing w:val="2"/>
        </w:rPr>
        <w:t>to </w:t>
      </w:r>
      <w:r>
        <w:rPr/>
        <w:t>individuals had remained steady at 7.5% in March. There had been further signs of</w:t>
      </w:r>
      <w:r>
        <w:rPr>
          <w:spacing w:val="-34"/>
        </w:rPr>
        <w:t> </w:t>
      </w:r>
      <w:r>
        <w:rPr/>
        <w:t>a modest</w:t>
      </w:r>
      <w:r>
        <w:rPr>
          <w:spacing w:val="-9"/>
        </w:rPr>
        <w:t> </w:t>
      </w:r>
      <w:r>
        <w:rPr/>
        <w:t>slowdown</w:t>
      </w:r>
      <w:r>
        <w:rPr>
          <w:spacing w:val="-12"/>
        </w:rPr>
        <w:t> </w:t>
      </w:r>
      <w:r>
        <w:rPr/>
        <w:t>in</w:t>
      </w:r>
      <w:r>
        <w:rPr>
          <w:spacing w:val="-12"/>
        </w:rPr>
        <w:t> </w:t>
      </w:r>
      <w:r>
        <w:rPr/>
        <w:t>secured</w:t>
      </w:r>
      <w:r>
        <w:rPr>
          <w:spacing w:val="-12"/>
        </w:rPr>
        <w:t> </w:t>
      </w:r>
      <w:r>
        <w:rPr/>
        <w:t>lending,</w:t>
      </w:r>
      <w:r>
        <w:rPr>
          <w:spacing w:val="-12"/>
        </w:rPr>
        <w:t> </w:t>
      </w:r>
      <w:r>
        <w:rPr/>
        <w:t>in</w:t>
      </w:r>
      <w:r>
        <w:rPr>
          <w:spacing w:val="-12"/>
        </w:rPr>
        <w:t> </w:t>
      </w:r>
      <w:r>
        <w:rPr/>
        <w:t>line</w:t>
      </w:r>
      <w:r>
        <w:rPr>
          <w:spacing w:val="-12"/>
        </w:rPr>
        <w:t> </w:t>
      </w:r>
      <w:r>
        <w:rPr/>
        <w:t>with</w:t>
      </w:r>
      <w:r>
        <w:rPr>
          <w:spacing w:val="-12"/>
        </w:rPr>
        <w:t> </w:t>
      </w:r>
      <w:r>
        <w:rPr/>
        <w:t>some</w:t>
      </w:r>
      <w:r>
        <w:rPr>
          <w:spacing w:val="-12"/>
        </w:rPr>
        <w:t> </w:t>
      </w:r>
      <w:r>
        <w:rPr/>
        <w:t>indicators</w:t>
      </w:r>
      <w:r>
        <w:rPr>
          <w:spacing w:val="-12"/>
        </w:rPr>
        <w:t> </w:t>
      </w:r>
      <w:r>
        <w:rPr/>
        <w:t>of</w:t>
      </w:r>
      <w:r>
        <w:rPr>
          <w:spacing w:val="-8"/>
        </w:rPr>
        <w:t> </w:t>
      </w:r>
      <w:r>
        <w:rPr/>
        <w:t>activity</w:t>
      </w:r>
      <w:r>
        <w:rPr>
          <w:spacing w:val="-12"/>
        </w:rPr>
        <w:t> </w:t>
      </w:r>
      <w:r>
        <w:rPr/>
        <w:t>and</w:t>
      </w:r>
      <w:r>
        <w:rPr>
          <w:spacing w:val="-12"/>
        </w:rPr>
        <w:t> </w:t>
      </w:r>
      <w:r>
        <w:rPr/>
        <w:t>prices</w:t>
      </w:r>
      <w:r>
        <w:rPr>
          <w:spacing w:val="-12"/>
        </w:rPr>
        <w:t> </w:t>
      </w:r>
      <w:r>
        <w:rPr/>
        <w:t>in</w:t>
      </w:r>
      <w:r>
        <w:rPr>
          <w:spacing w:val="-12"/>
        </w:rPr>
        <w:t> </w:t>
      </w:r>
      <w:r>
        <w:rPr/>
        <w:t>the</w:t>
      </w:r>
      <w:r>
        <w:rPr>
          <w:spacing w:val="-12"/>
        </w:rPr>
        <w:t> </w:t>
      </w:r>
      <w:r>
        <w:rPr/>
        <w:t>housing market. Although mortgage approvals were rising strongly in volume and value terms, this could be consistent with a rise in remortgaging activity, of which there was some evidence in figures released by the Council of Mortgage Lenders and estimates by Bank staff. Growth in total unsecured lending </w:t>
      </w:r>
      <w:r>
        <w:rPr>
          <w:spacing w:val="2"/>
        </w:rPr>
        <w:t>to </w:t>
      </w:r>
      <w:r>
        <w:rPr/>
        <w:t>individuals had continued </w:t>
      </w:r>
      <w:r>
        <w:rPr>
          <w:spacing w:val="2"/>
        </w:rPr>
        <w:t>to </w:t>
      </w:r>
      <w:r>
        <w:rPr/>
        <w:t>rise strongly, with the twelve-month growth rate rising </w:t>
      </w:r>
      <w:r>
        <w:rPr>
          <w:spacing w:val="2"/>
        </w:rPr>
        <w:t>to </w:t>
      </w:r>
      <w:r>
        <w:rPr/>
        <w:t>16.6% in March; credit card lending - around 20% of the stock of unsecured credit - had been growing particularly strongly at</w:t>
      </w:r>
      <w:r>
        <w:rPr>
          <w:spacing w:val="9"/>
        </w:rPr>
        <w:t> </w:t>
      </w:r>
      <w:r>
        <w:rPr/>
        <w:t>23.5%.</w:t>
      </w:r>
    </w:p>
    <w:p>
      <w:pPr>
        <w:pStyle w:val="BodyText"/>
        <w:spacing w:before="11"/>
        <w:rPr>
          <w:sz w:val="31"/>
        </w:rPr>
      </w:pPr>
    </w:p>
    <w:p>
      <w:pPr>
        <w:pStyle w:val="BodyText"/>
        <w:spacing w:line="321" w:lineRule="auto"/>
        <w:ind w:left="117" w:right="131"/>
      </w:pPr>
      <w:r>
        <w:rPr/>
        <w:t>A11 Lending to ICCs had fallen by 0.1% in March. Growth in Q1, however, had risen to 2.3% from 0.6% in Q4, reflecting the strength in January and February. The twelve-month growth rate had risen from 3.2% to 5.6%. ICCs’ total external finance, including sterling and foreign currency capital issues, had also been strong in Q1.</w:t>
      </w:r>
    </w:p>
    <w:p>
      <w:pPr>
        <w:pStyle w:val="BodyText"/>
        <w:spacing w:before="1"/>
        <w:rPr>
          <w:sz w:val="32"/>
        </w:rPr>
      </w:pPr>
    </w:p>
    <w:p>
      <w:pPr>
        <w:pStyle w:val="BodyText"/>
        <w:spacing w:line="321" w:lineRule="auto"/>
        <w:ind w:left="117" w:right="111"/>
      </w:pPr>
      <w:r>
        <w:rPr/>
        <w:t>A12 The counterparts to M4 were affected by the PSBR having been overfunded by around £8 ½ bn in 1997/98. Assuming no behavioural offsets, the overfunding would have reduced M4 growth by 1.2 percentage points in the year to March 1998. HMG had announced that the overfinancing of the CGBR would be carried forward into 1998/99, reducing the size of planned gilt issuance. Again assuming no behavioural effects, this could result in a net boost to M4 growth in 1998/99.</w:t>
      </w:r>
    </w:p>
    <w:p>
      <w:pPr>
        <w:pStyle w:val="BodyText"/>
        <w:rPr>
          <w:sz w:val="32"/>
        </w:rPr>
      </w:pPr>
    </w:p>
    <w:p>
      <w:pPr>
        <w:pStyle w:val="BodyText"/>
        <w:spacing w:line="321" w:lineRule="auto" w:before="1"/>
        <w:ind w:left="117"/>
      </w:pPr>
      <w:r>
        <w:rPr/>
        <w:t>A13 Turning to financial price developments, unsecured lending rates had fallen slightly along with those on secured fixed-rate loans, continuing the trend of 1997. In the money markets, there had been little net change in April in expected three-month interbank rates implied by short sterling futures.</w:t>
      </w:r>
    </w:p>
    <w:p>
      <w:pPr>
        <w:pStyle w:val="BodyText"/>
        <w:rPr>
          <w:sz w:val="32"/>
        </w:rPr>
      </w:pPr>
    </w:p>
    <w:p>
      <w:pPr>
        <w:pStyle w:val="BodyText"/>
        <w:spacing w:line="321" w:lineRule="auto" w:before="1"/>
        <w:ind w:left="117" w:right="235"/>
      </w:pPr>
      <w:r>
        <w:rPr/>
        <w:t>A14</w:t>
      </w:r>
      <w:r>
        <w:rPr>
          <w:spacing w:val="4"/>
        </w:rPr>
        <w:t> </w:t>
      </w:r>
      <w:r>
        <w:rPr/>
        <w:t>Short-term</w:t>
      </w:r>
      <w:r>
        <w:rPr>
          <w:spacing w:val="-11"/>
        </w:rPr>
        <w:t> </w:t>
      </w:r>
      <w:r>
        <w:rPr/>
        <w:t>inflation</w:t>
      </w:r>
      <w:r>
        <w:rPr>
          <w:spacing w:val="-11"/>
        </w:rPr>
        <w:t> </w:t>
      </w:r>
      <w:r>
        <w:rPr/>
        <w:t>expectations,</w:t>
      </w:r>
      <w:r>
        <w:rPr>
          <w:spacing w:val="-11"/>
        </w:rPr>
        <w:t> </w:t>
      </w:r>
      <w:r>
        <w:rPr/>
        <w:t>as</w:t>
      </w:r>
      <w:r>
        <w:rPr>
          <w:spacing w:val="-12"/>
        </w:rPr>
        <w:t> </w:t>
      </w:r>
      <w:r>
        <w:rPr/>
        <w:t>measured</w:t>
      </w:r>
      <w:r>
        <w:rPr>
          <w:spacing w:val="-11"/>
        </w:rPr>
        <w:t> </w:t>
      </w:r>
      <w:r>
        <w:rPr/>
        <w:t>by</w:t>
      </w:r>
      <w:r>
        <w:rPr>
          <w:spacing w:val="-11"/>
        </w:rPr>
        <w:t> </w:t>
      </w:r>
      <w:r>
        <w:rPr/>
        <w:t>the</w:t>
      </w:r>
      <w:r>
        <w:rPr>
          <w:spacing w:val="-12"/>
        </w:rPr>
        <w:t> </w:t>
      </w:r>
      <w:r>
        <w:rPr/>
        <w:t>survey</w:t>
      </w:r>
      <w:r>
        <w:rPr>
          <w:spacing w:val="-11"/>
        </w:rPr>
        <w:t> </w:t>
      </w:r>
      <w:r>
        <w:rPr/>
        <w:t>of</w:t>
      </w:r>
      <w:r>
        <w:rPr>
          <w:spacing w:val="-7"/>
        </w:rPr>
        <w:t> </w:t>
      </w:r>
      <w:r>
        <w:rPr/>
        <w:t>professional</w:t>
      </w:r>
      <w:r>
        <w:rPr>
          <w:spacing w:val="-12"/>
        </w:rPr>
        <w:t> </w:t>
      </w:r>
      <w:r>
        <w:rPr/>
        <w:t>forecasters</w:t>
      </w:r>
      <w:r>
        <w:rPr>
          <w:spacing w:val="-11"/>
        </w:rPr>
        <w:t> </w:t>
      </w:r>
      <w:r>
        <w:rPr/>
        <w:t>carried </w:t>
      </w:r>
      <w:r>
        <w:rPr>
          <w:spacing w:val="2"/>
        </w:rPr>
        <w:t>out</w:t>
      </w:r>
      <w:r>
        <w:rPr>
          <w:spacing w:val="-6"/>
        </w:rPr>
        <w:t> </w:t>
      </w:r>
      <w:r>
        <w:rPr/>
        <w:t>by</w:t>
      </w:r>
      <w:r>
        <w:rPr>
          <w:spacing w:val="-9"/>
        </w:rPr>
        <w:t> </w:t>
      </w:r>
      <w:r>
        <w:rPr/>
        <w:t>Consensus</w:t>
      </w:r>
      <w:r>
        <w:rPr>
          <w:spacing w:val="-9"/>
        </w:rPr>
        <w:t> </w:t>
      </w:r>
      <w:r>
        <w:rPr/>
        <w:t>Economics,</w:t>
      </w:r>
      <w:r>
        <w:rPr>
          <w:spacing w:val="-7"/>
        </w:rPr>
        <w:t> </w:t>
      </w:r>
      <w:r>
        <w:rPr/>
        <w:t>had</w:t>
      </w:r>
      <w:r>
        <w:rPr>
          <w:spacing w:val="-10"/>
        </w:rPr>
        <w:t> </w:t>
      </w:r>
      <w:r>
        <w:rPr/>
        <w:t>changed</w:t>
      </w:r>
      <w:r>
        <w:rPr>
          <w:spacing w:val="-9"/>
        </w:rPr>
        <w:t> </w:t>
      </w:r>
      <w:r>
        <w:rPr/>
        <w:t>very</w:t>
      </w:r>
      <w:r>
        <w:rPr>
          <w:spacing w:val="-9"/>
        </w:rPr>
        <w:t> </w:t>
      </w:r>
      <w:r>
        <w:rPr/>
        <w:t>little</w:t>
      </w:r>
      <w:r>
        <w:rPr>
          <w:spacing w:val="-9"/>
        </w:rPr>
        <w:t> </w:t>
      </w:r>
      <w:r>
        <w:rPr/>
        <w:t>since</w:t>
      </w:r>
      <w:r>
        <w:rPr>
          <w:spacing w:val="-9"/>
        </w:rPr>
        <w:t> </w:t>
      </w:r>
      <w:r>
        <w:rPr/>
        <w:t>the</w:t>
      </w:r>
      <w:r>
        <w:rPr>
          <w:spacing w:val="-10"/>
        </w:rPr>
        <w:t> </w:t>
      </w:r>
      <w:r>
        <w:rPr/>
        <w:t>start</w:t>
      </w:r>
      <w:r>
        <w:rPr>
          <w:spacing w:val="-5"/>
        </w:rPr>
        <w:t> </w:t>
      </w:r>
      <w:r>
        <w:rPr/>
        <w:t>of</w:t>
      </w:r>
      <w:r>
        <w:rPr>
          <w:spacing w:val="-5"/>
        </w:rPr>
        <w:t> </w:t>
      </w:r>
      <w:r>
        <w:rPr/>
        <w:t>the</w:t>
      </w:r>
      <w:r>
        <w:rPr>
          <w:spacing w:val="-9"/>
        </w:rPr>
        <w:t> </w:t>
      </w:r>
      <w:r>
        <w:rPr/>
        <w:t>year,</w:t>
      </w:r>
      <w:r>
        <w:rPr>
          <w:spacing w:val="-9"/>
        </w:rPr>
        <w:t> </w:t>
      </w:r>
      <w:r>
        <w:rPr/>
        <w:t>with</w:t>
      </w:r>
      <w:r>
        <w:rPr>
          <w:spacing w:val="-9"/>
        </w:rPr>
        <w:t> </w:t>
      </w:r>
      <w:r>
        <w:rPr/>
        <w:t>the</w:t>
      </w:r>
      <w:r>
        <w:rPr>
          <w:spacing w:val="-9"/>
        </w:rPr>
        <w:t> </w:t>
      </w:r>
      <w:r>
        <w:rPr/>
        <w:t>April</w:t>
      </w:r>
      <w:r>
        <w:rPr>
          <w:spacing w:val="-10"/>
        </w:rPr>
        <w:t> </w:t>
      </w:r>
      <w:r>
        <w:rPr/>
        <w:t>survey showing RPIX inflation expected </w:t>
      </w:r>
      <w:r>
        <w:rPr>
          <w:spacing w:val="2"/>
        </w:rPr>
        <w:t>to </w:t>
      </w:r>
      <w:r>
        <w:rPr/>
        <w:t>average 2.7% and 2.8% in 1998 and 1999</w:t>
      </w:r>
      <w:r>
        <w:rPr>
          <w:spacing w:val="-38"/>
        </w:rPr>
        <w:t> </w:t>
      </w:r>
      <w:r>
        <w:rPr/>
        <w:t>respectively.</w:t>
      </w:r>
    </w:p>
    <w:p>
      <w:pPr>
        <w:spacing w:after="0" w:line="321" w:lineRule="auto"/>
        <w:sectPr>
          <w:pgSz w:w="11900" w:h="16840"/>
          <w:pgMar w:header="867" w:footer="0" w:top="1320" w:bottom="280" w:left="1020" w:right="880"/>
        </w:sectPr>
      </w:pPr>
    </w:p>
    <w:p>
      <w:pPr>
        <w:pStyle w:val="BodyText"/>
        <w:rPr>
          <w:sz w:val="20"/>
        </w:rPr>
      </w:pPr>
    </w:p>
    <w:p>
      <w:pPr>
        <w:pStyle w:val="BodyText"/>
        <w:spacing w:line="321" w:lineRule="auto" w:before="219"/>
        <w:ind w:left="117" w:right="131"/>
      </w:pPr>
      <w:r>
        <w:rPr/>
        <w:t>A15 The six monthly Consensus survey of forecasts of average inflation between 5 and 10 years ahead showed a fall of 10 basis points to 2.6% between October 1997 and April. This compared with a 28 basis point fall in the measure derived from the gilt-edged market over the same period.</w:t>
      </w:r>
    </w:p>
    <w:p>
      <w:pPr>
        <w:pStyle w:val="BodyText"/>
        <w:spacing w:before="1"/>
        <w:rPr>
          <w:sz w:val="32"/>
        </w:rPr>
      </w:pPr>
    </w:p>
    <w:p>
      <w:pPr>
        <w:pStyle w:val="BodyText"/>
        <w:spacing w:line="321" w:lineRule="auto"/>
        <w:ind w:left="117" w:right="293"/>
      </w:pPr>
      <w:r>
        <w:rPr/>
        <w:t>A16 Since October 1996, the Consensus survey of long-term inflation expectations in a number of </w:t>
      </w:r>
      <w:r>
        <w:rPr>
          <w:spacing w:val="3"/>
        </w:rPr>
        <w:t>other </w:t>
      </w:r>
      <w:r>
        <w:rPr/>
        <w:t>major industrialised countries had also fallen. This had accompanied an even greater fall in long-term nominal forward interest rates. Estimates of long maturity real rates, constructed from wholesale market nominal rates and the Consensus inflation surveys, had fallen materially </w:t>
      </w:r>
      <w:r>
        <w:rPr>
          <w:spacing w:val="3"/>
        </w:rPr>
        <w:t>over </w:t>
      </w:r>
      <w:r>
        <w:rPr/>
        <w:t>the past year. This was consistent with the fall in yields on long-maturity index-linked bonds. In some cases - for example, in the United Kingdom and Italy - a fall in the survey-based measures of real yields</w:t>
      </w:r>
      <w:r>
        <w:rPr>
          <w:spacing w:val="-16"/>
        </w:rPr>
        <w:t> </w:t>
      </w:r>
      <w:r>
        <w:rPr/>
        <w:t>might</w:t>
      </w:r>
      <w:r>
        <w:rPr>
          <w:spacing w:val="-13"/>
        </w:rPr>
        <w:t> </w:t>
      </w:r>
      <w:r>
        <w:rPr/>
        <w:t>be</w:t>
      </w:r>
      <w:r>
        <w:rPr>
          <w:spacing w:val="-16"/>
        </w:rPr>
        <w:t> </w:t>
      </w:r>
      <w:r>
        <w:rPr/>
        <w:t>partly</w:t>
      </w:r>
      <w:r>
        <w:rPr>
          <w:spacing w:val="-16"/>
        </w:rPr>
        <w:t> </w:t>
      </w:r>
      <w:r>
        <w:rPr/>
        <w:t>attributable</w:t>
      </w:r>
      <w:r>
        <w:rPr>
          <w:spacing w:val="-16"/>
        </w:rPr>
        <w:t> </w:t>
      </w:r>
      <w:r>
        <w:rPr>
          <w:spacing w:val="2"/>
        </w:rPr>
        <w:t>to</w:t>
      </w:r>
      <w:r>
        <w:rPr>
          <w:spacing w:val="-12"/>
        </w:rPr>
        <w:t> </w:t>
      </w:r>
      <w:r>
        <w:rPr/>
        <w:t>a</w:t>
      </w:r>
      <w:r>
        <w:rPr>
          <w:spacing w:val="-16"/>
        </w:rPr>
        <w:t> </w:t>
      </w:r>
      <w:r>
        <w:rPr/>
        <w:t>fall</w:t>
      </w:r>
      <w:r>
        <w:rPr>
          <w:spacing w:val="-16"/>
        </w:rPr>
        <w:t> </w:t>
      </w:r>
      <w:r>
        <w:rPr/>
        <w:t>in</w:t>
      </w:r>
      <w:r>
        <w:rPr>
          <w:spacing w:val="-16"/>
        </w:rPr>
        <w:t> </w:t>
      </w:r>
      <w:r>
        <w:rPr/>
        <w:t>the</w:t>
      </w:r>
      <w:r>
        <w:rPr>
          <w:spacing w:val="-16"/>
        </w:rPr>
        <w:t> </w:t>
      </w:r>
      <w:r>
        <w:rPr/>
        <w:t>inflation</w:t>
      </w:r>
      <w:r>
        <w:rPr>
          <w:spacing w:val="-16"/>
        </w:rPr>
        <w:t> </w:t>
      </w:r>
      <w:r>
        <w:rPr/>
        <w:t>risk</w:t>
      </w:r>
      <w:r>
        <w:rPr>
          <w:spacing w:val="-15"/>
        </w:rPr>
        <w:t> </w:t>
      </w:r>
      <w:r>
        <w:rPr/>
        <w:t>premium,</w:t>
      </w:r>
      <w:r>
        <w:rPr>
          <w:spacing w:val="-16"/>
        </w:rPr>
        <w:t> </w:t>
      </w:r>
      <w:r>
        <w:rPr/>
        <w:t>given</w:t>
      </w:r>
      <w:r>
        <w:rPr>
          <w:spacing w:val="-16"/>
        </w:rPr>
        <w:t> </w:t>
      </w:r>
      <w:r>
        <w:rPr/>
        <w:t>institutional</w:t>
      </w:r>
      <w:r>
        <w:rPr>
          <w:spacing w:val="-16"/>
        </w:rPr>
        <w:t> </w:t>
      </w:r>
      <w:r>
        <w:rPr/>
        <w:t>changes</w:t>
      </w:r>
      <w:r>
        <w:rPr>
          <w:spacing w:val="-16"/>
        </w:rPr>
        <w:t> </w:t>
      </w:r>
      <w:r>
        <w:rPr/>
        <w:t>or planned changes in monetary arrangements. Current and prospective fiscal consolidation across a number</w:t>
      </w:r>
      <w:r>
        <w:rPr>
          <w:spacing w:val="-11"/>
        </w:rPr>
        <w:t> </w:t>
      </w:r>
      <w:r>
        <w:rPr/>
        <w:t>of</w:t>
      </w:r>
      <w:r>
        <w:rPr>
          <w:spacing w:val="-6"/>
        </w:rPr>
        <w:t> </w:t>
      </w:r>
      <w:r>
        <w:rPr/>
        <w:t>countries</w:t>
      </w:r>
      <w:r>
        <w:rPr>
          <w:spacing w:val="-11"/>
        </w:rPr>
        <w:t> </w:t>
      </w:r>
      <w:r>
        <w:rPr/>
        <w:t>was</w:t>
      </w:r>
      <w:r>
        <w:rPr>
          <w:spacing w:val="-10"/>
        </w:rPr>
        <w:t> </w:t>
      </w:r>
      <w:r>
        <w:rPr/>
        <w:t>also</w:t>
      </w:r>
      <w:r>
        <w:rPr>
          <w:spacing w:val="-11"/>
        </w:rPr>
        <w:t> </w:t>
      </w:r>
      <w:r>
        <w:rPr/>
        <w:t>a</w:t>
      </w:r>
      <w:r>
        <w:rPr>
          <w:spacing w:val="-10"/>
        </w:rPr>
        <w:t> </w:t>
      </w:r>
      <w:r>
        <w:rPr/>
        <w:t>plausible</w:t>
      </w:r>
      <w:r>
        <w:rPr>
          <w:spacing w:val="-11"/>
        </w:rPr>
        <w:t> </w:t>
      </w:r>
      <w:r>
        <w:rPr/>
        <w:t>explanation</w:t>
      </w:r>
      <w:r>
        <w:rPr>
          <w:spacing w:val="-10"/>
        </w:rPr>
        <w:t> </w:t>
      </w:r>
      <w:r>
        <w:rPr/>
        <w:t>for</w:t>
      </w:r>
      <w:r>
        <w:rPr>
          <w:spacing w:val="-11"/>
        </w:rPr>
        <w:t> </w:t>
      </w:r>
      <w:r>
        <w:rPr/>
        <w:t>a</w:t>
      </w:r>
      <w:r>
        <w:rPr>
          <w:spacing w:val="-10"/>
        </w:rPr>
        <w:t> </w:t>
      </w:r>
      <w:r>
        <w:rPr/>
        <w:t>common</w:t>
      </w:r>
      <w:r>
        <w:rPr>
          <w:spacing w:val="-11"/>
        </w:rPr>
        <w:t> </w:t>
      </w:r>
      <w:r>
        <w:rPr/>
        <w:t>fall</w:t>
      </w:r>
      <w:r>
        <w:rPr>
          <w:spacing w:val="-10"/>
        </w:rPr>
        <w:t> </w:t>
      </w:r>
      <w:r>
        <w:rPr/>
        <w:t>in</w:t>
      </w:r>
      <w:r>
        <w:rPr>
          <w:spacing w:val="-11"/>
        </w:rPr>
        <w:t> </w:t>
      </w:r>
      <w:r>
        <w:rPr/>
        <w:t>long-term</w:t>
      </w:r>
      <w:r>
        <w:rPr>
          <w:spacing w:val="-10"/>
        </w:rPr>
        <w:t> </w:t>
      </w:r>
      <w:r>
        <w:rPr/>
        <w:t>real</w:t>
      </w:r>
      <w:r>
        <w:rPr>
          <w:spacing w:val="-9"/>
        </w:rPr>
        <w:t> </w:t>
      </w:r>
      <w:r>
        <w:rPr/>
        <w:t>rates.</w:t>
      </w:r>
      <w:r>
        <w:rPr>
          <w:spacing w:val="41"/>
        </w:rPr>
        <w:t> </w:t>
      </w:r>
      <w:r>
        <w:rPr/>
        <w:t>This could have implications for underlying shorter-maturity real interest rates in due</w:t>
      </w:r>
      <w:r>
        <w:rPr>
          <w:spacing w:val="-37"/>
        </w:rPr>
        <w:t> </w:t>
      </w:r>
      <w:r>
        <w:rPr/>
        <w:t>course.</w:t>
      </w:r>
    </w:p>
    <w:p>
      <w:pPr>
        <w:pStyle w:val="BodyText"/>
        <w:spacing w:before="11"/>
        <w:rPr>
          <w:sz w:val="31"/>
        </w:rPr>
      </w:pPr>
    </w:p>
    <w:p>
      <w:pPr>
        <w:pStyle w:val="BodyText"/>
        <w:spacing w:line="321" w:lineRule="auto"/>
        <w:ind w:left="117" w:right="258"/>
      </w:pPr>
      <w:r>
        <w:rPr/>
        <w:t>A17</w:t>
      </w:r>
      <w:r>
        <w:rPr>
          <w:spacing w:val="-9"/>
        </w:rPr>
        <w:t> </w:t>
      </w:r>
      <w:r>
        <w:rPr/>
        <w:t>The sterling ERI had fallen by 0.8% since the last </w:t>
      </w:r>
      <w:r>
        <w:rPr>
          <w:i/>
        </w:rPr>
        <w:t>Inflation Report</w:t>
      </w:r>
      <w:r>
        <w:rPr/>
        <w:t>, while the broader measure, incorporating 49 currencies, had fallen by 0.6%. The forward path of the ERI implied by uncovered interest</w:t>
      </w:r>
      <w:r>
        <w:rPr>
          <w:spacing w:val="-10"/>
        </w:rPr>
        <w:t> </w:t>
      </w:r>
      <w:r>
        <w:rPr/>
        <w:t>parity</w:t>
      </w:r>
      <w:r>
        <w:rPr>
          <w:spacing w:val="-13"/>
        </w:rPr>
        <w:t> </w:t>
      </w:r>
      <w:r>
        <w:rPr/>
        <w:t>had</w:t>
      </w:r>
      <w:r>
        <w:rPr>
          <w:spacing w:val="-14"/>
        </w:rPr>
        <w:t> </w:t>
      </w:r>
      <w:r>
        <w:rPr/>
        <w:t>fallen</w:t>
      </w:r>
      <w:r>
        <w:rPr>
          <w:spacing w:val="-13"/>
        </w:rPr>
        <w:t> </w:t>
      </w:r>
      <w:r>
        <w:rPr/>
        <w:t>since</w:t>
      </w:r>
      <w:r>
        <w:rPr>
          <w:spacing w:val="-13"/>
        </w:rPr>
        <w:t> </w:t>
      </w:r>
      <w:r>
        <w:rPr/>
        <w:t>the</w:t>
      </w:r>
      <w:r>
        <w:rPr>
          <w:spacing w:val="-14"/>
        </w:rPr>
        <w:t> </w:t>
      </w:r>
      <w:r>
        <w:rPr/>
        <w:t>April</w:t>
      </w:r>
      <w:r>
        <w:rPr>
          <w:spacing w:val="-13"/>
        </w:rPr>
        <w:t> </w:t>
      </w:r>
      <w:r>
        <w:rPr/>
        <w:t>MPC</w:t>
      </w:r>
      <w:r>
        <w:rPr>
          <w:spacing w:val="-13"/>
        </w:rPr>
        <w:t> </w:t>
      </w:r>
      <w:r>
        <w:rPr/>
        <w:t>meeting,</w:t>
      </w:r>
      <w:r>
        <w:rPr>
          <w:spacing w:val="-14"/>
        </w:rPr>
        <w:t> </w:t>
      </w:r>
      <w:r>
        <w:rPr/>
        <w:t>but</w:t>
      </w:r>
      <w:r>
        <w:rPr>
          <w:spacing w:val="-9"/>
        </w:rPr>
        <w:t> </w:t>
      </w:r>
      <w:r>
        <w:rPr/>
        <w:t>remained</w:t>
      </w:r>
      <w:r>
        <w:rPr>
          <w:spacing w:val="-12"/>
        </w:rPr>
        <w:t> </w:t>
      </w:r>
      <w:r>
        <w:rPr/>
        <w:t>above</w:t>
      </w:r>
      <w:r>
        <w:rPr>
          <w:spacing w:val="-14"/>
        </w:rPr>
        <w:t> </w:t>
      </w:r>
      <w:r>
        <w:rPr/>
        <w:t>the</w:t>
      </w:r>
      <w:r>
        <w:rPr>
          <w:spacing w:val="-13"/>
        </w:rPr>
        <w:t> </w:t>
      </w:r>
      <w:r>
        <w:rPr/>
        <w:t>profile</w:t>
      </w:r>
      <w:r>
        <w:rPr>
          <w:spacing w:val="-13"/>
        </w:rPr>
        <w:t> </w:t>
      </w:r>
      <w:r>
        <w:rPr/>
        <w:t>incorporated</w:t>
      </w:r>
      <w:r>
        <w:rPr>
          <w:spacing w:val="-14"/>
        </w:rPr>
        <w:t> </w:t>
      </w:r>
      <w:r>
        <w:rPr/>
        <w:t>in the February </w:t>
      </w:r>
      <w:r>
        <w:rPr>
          <w:i/>
        </w:rPr>
        <w:t>Inflation Report</w:t>
      </w:r>
      <w:r>
        <w:rPr/>
        <w:t>. UK and </w:t>
      </w:r>
      <w:r>
        <w:rPr>
          <w:spacing w:val="3"/>
        </w:rPr>
        <w:t>overseas </w:t>
      </w:r>
      <w:r>
        <w:rPr/>
        <w:t>forward interest rates had broadly moved together during April, implying that there was little net monetary news during the month. The cumulative relative monetary news since the </w:t>
      </w:r>
      <w:r>
        <w:rPr>
          <w:i/>
        </w:rPr>
        <w:t>Inflation Report </w:t>
      </w:r>
      <w:r>
        <w:rPr/>
        <w:t>implied a small</w:t>
      </w:r>
      <w:r>
        <w:rPr>
          <w:spacing w:val="-15"/>
        </w:rPr>
        <w:t> </w:t>
      </w:r>
      <w:r>
        <w:rPr/>
        <w:t>depreciation.</w:t>
      </w:r>
    </w:p>
    <w:p>
      <w:pPr>
        <w:pStyle w:val="BodyText"/>
        <w:rPr>
          <w:sz w:val="32"/>
        </w:rPr>
      </w:pPr>
    </w:p>
    <w:p>
      <w:pPr>
        <w:pStyle w:val="ListParagraph"/>
        <w:numPr>
          <w:ilvl w:val="0"/>
          <w:numId w:val="2"/>
        </w:numPr>
        <w:tabs>
          <w:tab w:pos="837" w:val="left" w:leader="none"/>
          <w:tab w:pos="838" w:val="left" w:leader="none"/>
        </w:tabs>
        <w:spacing w:line="240" w:lineRule="auto" w:before="1" w:after="0"/>
        <w:ind w:left="837" w:right="0" w:hanging="721"/>
        <w:jc w:val="left"/>
        <w:rPr>
          <w:sz w:val="24"/>
        </w:rPr>
      </w:pPr>
      <w:r>
        <w:rPr>
          <w:sz w:val="24"/>
          <w:u w:val="single"/>
        </w:rPr>
        <w:t>Demand and</w:t>
      </w:r>
      <w:r>
        <w:rPr>
          <w:spacing w:val="3"/>
          <w:sz w:val="24"/>
          <w:u w:val="single"/>
        </w:rPr>
        <w:t> </w:t>
      </w:r>
      <w:r>
        <w:rPr>
          <w:spacing w:val="2"/>
          <w:sz w:val="24"/>
          <w:u w:val="single"/>
        </w:rPr>
        <w:t>output</w:t>
      </w:r>
    </w:p>
    <w:p>
      <w:pPr>
        <w:pStyle w:val="BodyText"/>
        <w:rPr>
          <w:sz w:val="20"/>
        </w:rPr>
      </w:pPr>
    </w:p>
    <w:p>
      <w:pPr>
        <w:pStyle w:val="BodyText"/>
        <w:spacing w:line="321" w:lineRule="auto" w:before="233"/>
        <w:ind w:left="117" w:right="133"/>
      </w:pPr>
      <w:r>
        <w:rPr/>
        <w:t>A18</w:t>
      </w:r>
      <w:r>
        <w:rPr>
          <w:spacing w:val="-9"/>
        </w:rPr>
        <w:t> </w:t>
      </w:r>
      <w:r>
        <w:rPr/>
        <w:t>GDP had provisionally been estimated </w:t>
      </w:r>
      <w:r>
        <w:rPr>
          <w:spacing w:val="2"/>
        </w:rPr>
        <w:t>to </w:t>
      </w:r>
      <w:r>
        <w:rPr/>
        <w:t>have grown by 0.4% in 1998 Q1 - the lowest quarterly rate of growth since 1995 Q2</w:t>
      </w:r>
      <w:r>
        <w:rPr>
          <w:i/>
        </w:rPr>
        <w:t>, </w:t>
      </w:r>
      <w:r>
        <w:rPr/>
        <w:t>and slightly weaker than that embodied in the February </w:t>
      </w:r>
      <w:r>
        <w:rPr>
          <w:i/>
        </w:rPr>
        <w:t>Inflation </w:t>
      </w:r>
      <w:r>
        <w:rPr>
          <w:i/>
        </w:rPr>
        <w:t>Report </w:t>
      </w:r>
      <w:r>
        <w:rPr/>
        <w:t>forecast.  Although a detailed breakdown had not yet been released, the news appeared to have been concentrated in the service sector growth rate, which had fallen </w:t>
      </w:r>
      <w:r>
        <w:rPr>
          <w:spacing w:val="2"/>
        </w:rPr>
        <w:t>to </w:t>
      </w:r>
      <w:r>
        <w:rPr/>
        <w:t>0.8% from the 1.2% recorded</w:t>
      </w:r>
      <w:r>
        <w:rPr>
          <w:spacing w:val="-6"/>
        </w:rPr>
        <w:t> </w:t>
      </w:r>
      <w:r>
        <w:rPr/>
        <w:t>in</w:t>
      </w:r>
      <w:r>
        <w:rPr>
          <w:spacing w:val="-7"/>
        </w:rPr>
        <w:t> </w:t>
      </w:r>
      <w:r>
        <w:rPr/>
        <w:t>the</w:t>
      </w:r>
      <w:r>
        <w:rPr>
          <w:spacing w:val="-7"/>
        </w:rPr>
        <w:t> </w:t>
      </w:r>
      <w:r>
        <w:rPr/>
        <w:t>final</w:t>
      </w:r>
      <w:r>
        <w:rPr>
          <w:spacing w:val="-7"/>
        </w:rPr>
        <w:t> </w:t>
      </w:r>
      <w:r>
        <w:rPr/>
        <w:t>quarter</w:t>
      </w:r>
      <w:r>
        <w:rPr>
          <w:spacing w:val="-7"/>
        </w:rPr>
        <w:t> </w:t>
      </w:r>
      <w:r>
        <w:rPr/>
        <w:t>of</w:t>
      </w:r>
      <w:r>
        <w:rPr>
          <w:spacing w:val="-3"/>
        </w:rPr>
        <w:t> </w:t>
      </w:r>
      <w:r>
        <w:rPr/>
        <w:t>1997.</w:t>
      </w:r>
      <w:r>
        <w:rPr>
          <w:spacing w:val="46"/>
        </w:rPr>
        <w:t> </w:t>
      </w:r>
      <w:r>
        <w:rPr/>
        <w:t>There</w:t>
      </w:r>
      <w:r>
        <w:rPr>
          <w:spacing w:val="-5"/>
        </w:rPr>
        <w:t> </w:t>
      </w:r>
      <w:r>
        <w:rPr/>
        <w:t>had</w:t>
      </w:r>
      <w:r>
        <w:rPr>
          <w:spacing w:val="-7"/>
        </w:rPr>
        <w:t> </w:t>
      </w:r>
      <w:r>
        <w:rPr/>
        <w:t>not</w:t>
      </w:r>
      <w:r>
        <w:rPr>
          <w:spacing w:val="-3"/>
        </w:rPr>
        <w:t> </w:t>
      </w:r>
      <w:r>
        <w:rPr/>
        <w:t>been</w:t>
      </w:r>
      <w:r>
        <w:rPr>
          <w:spacing w:val="-7"/>
        </w:rPr>
        <w:t> </w:t>
      </w:r>
      <w:r>
        <w:rPr/>
        <w:t>any</w:t>
      </w:r>
      <w:r>
        <w:rPr>
          <w:spacing w:val="-7"/>
        </w:rPr>
        <w:t> </w:t>
      </w:r>
      <w:r>
        <w:rPr/>
        <w:t>indication</w:t>
      </w:r>
      <w:r>
        <w:rPr>
          <w:spacing w:val="-7"/>
        </w:rPr>
        <w:t> </w:t>
      </w:r>
      <w:r>
        <w:rPr/>
        <w:t>from</w:t>
      </w:r>
      <w:r>
        <w:rPr>
          <w:spacing w:val="-7"/>
        </w:rPr>
        <w:t> </w:t>
      </w:r>
      <w:r>
        <w:rPr/>
        <w:t>a</w:t>
      </w:r>
      <w:r>
        <w:rPr>
          <w:spacing w:val="-8"/>
        </w:rPr>
        <w:t> </w:t>
      </w:r>
      <w:r>
        <w:rPr/>
        <w:t>variety</w:t>
      </w:r>
      <w:r>
        <w:rPr>
          <w:spacing w:val="-7"/>
        </w:rPr>
        <w:t> </w:t>
      </w:r>
      <w:r>
        <w:rPr/>
        <w:t>of</w:t>
      </w:r>
      <w:r>
        <w:rPr>
          <w:spacing w:val="-2"/>
        </w:rPr>
        <w:t> </w:t>
      </w:r>
      <w:r>
        <w:rPr/>
        <w:t>surveys</w:t>
      </w:r>
      <w:r>
        <w:rPr>
          <w:spacing w:val="-7"/>
        </w:rPr>
        <w:t> </w:t>
      </w:r>
      <w:r>
        <w:rPr/>
        <w:t>of</w:t>
      </w:r>
      <w:r>
        <w:rPr>
          <w:spacing w:val="-3"/>
        </w:rPr>
        <w:t> </w:t>
      </w:r>
      <w:r>
        <w:rPr/>
        <w:t>a significant slowdown in the pace of service sector activity. There had been an acceleration in activity in</w:t>
      </w:r>
      <w:r>
        <w:rPr>
          <w:spacing w:val="-6"/>
        </w:rPr>
        <w:t> </w:t>
      </w:r>
      <w:r>
        <w:rPr/>
        <w:t>1998</w:t>
      </w:r>
      <w:r>
        <w:rPr>
          <w:spacing w:val="-6"/>
        </w:rPr>
        <w:t> </w:t>
      </w:r>
      <w:r>
        <w:rPr/>
        <w:t>Q1</w:t>
      </w:r>
      <w:r>
        <w:rPr>
          <w:spacing w:val="-6"/>
        </w:rPr>
        <w:t> </w:t>
      </w:r>
      <w:r>
        <w:rPr/>
        <w:t>compared</w:t>
      </w:r>
      <w:r>
        <w:rPr>
          <w:spacing w:val="-6"/>
        </w:rPr>
        <w:t> </w:t>
      </w:r>
      <w:r>
        <w:rPr/>
        <w:t>with</w:t>
      </w:r>
      <w:r>
        <w:rPr>
          <w:spacing w:val="-7"/>
        </w:rPr>
        <w:t> </w:t>
      </w:r>
      <w:r>
        <w:rPr/>
        <w:t>1997</w:t>
      </w:r>
      <w:r>
        <w:rPr>
          <w:spacing w:val="2"/>
        </w:rPr>
        <w:t> </w:t>
      </w:r>
      <w:r>
        <w:rPr/>
        <w:t>Q4,</w:t>
      </w:r>
      <w:r>
        <w:rPr>
          <w:spacing w:val="-6"/>
        </w:rPr>
        <w:t> </w:t>
      </w:r>
      <w:r>
        <w:rPr/>
        <w:t>according</w:t>
      </w:r>
      <w:r>
        <w:rPr>
          <w:spacing w:val="-6"/>
        </w:rPr>
        <w:t> </w:t>
      </w:r>
      <w:r>
        <w:rPr>
          <w:spacing w:val="2"/>
        </w:rPr>
        <w:t>to</w:t>
      </w:r>
      <w:r>
        <w:rPr>
          <w:spacing w:val="-1"/>
        </w:rPr>
        <w:t> </w:t>
      </w:r>
      <w:r>
        <w:rPr/>
        <w:t>the</w:t>
      </w:r>
      <w:r>
        <w:rPr>
          <w:spacing w:val="-6"/>
        </w:rPr>
        <w:t> </w:t>
      </w:r>
      <w:r>
        <w:rPr/>
        <w:t>(C</w:t>
      </w:r>
      <w:r>
        <w:rPr>
          <w:sz w:val="16"/>
        </w:rPr>
        <w:t>IPS</w:t>
      </w:r>
      <w:r>
        <w:rPr/>
        <w:t>)</w:t>
      </w:r>
      <w:r>
        <w:rPr>
          <w:spacing w:val="-5"/>
        </w:rPr>
        <w:t> </w:t>
      </w:r>
      <w:r>
        <w:rPr/>
        <w:t>service</w:t>
      </w:r>
      <w:r>
        <w:rPr>
          <w:spacing w:val="-6"/>
        </w:rPr>
        <w:t> </w:t>
      </w:r>
      <w:r>
        <w:rPr/>
        <w:t>sector</w:t>
      </w:r>
      <w:r>
        <w:rPr>
          <w:spacing w:val="-1"/>
        </w:rPr>
        <w:t> </w:t>
      </w:r>
      <w:r>
        <w:rPr/>
        <w:t>survey,</w:t>
      </w:r>
      <w:r>
        <w:rPr>
          <w:spacing w:val="-6"/>
        </w:rPr>
        <w:t> </w:t>
      </w:r>
      <w:r>
        <w:rPr/>
        <w:t>the</w:t>
      </w:r>
      <w:r>
        <w:rPr>
          <w:spacing w:val="-6"/>
        </w:rPr>
        <w:t> </w:t>
      </w:r>
      <w:r>
        <w:rPr/>
        <w:t>(CBI)</w:t>
      </w:r>
      <w:r>
        <w:rPr>
          <w:spacing w:val="-4"/>
        </w:rPr>
        <w:t> </w:t>
      </w:r>
      <w:r>
        <w:rPr/>
        <w:t>Financial Services survey, and the Chartered Institute of Marketing survey. However, there had been a slight moderation in non-manufacturing turnover, according </w:t>
      </w:r>
      <w:r>
        <w:rPr>
          <w:spacing w:val="2"/>
        </w:rPr>
        <w:t>to </w:t>
      </w:r>
      <w:r>
        <w:rPr/>
        <w:t>the 3i survey. And the (BCC) survey had shown a marked weakening in service sector export </w:t>
      </w:r>
      <w:r>
        <w:rPr>
          <w:spacing w:val="3"/>
        </w:rPr>
        <w:t>orders. </w:t>
      </w:r>
      <w:r>
        <w:rPr/>
        <w:t>The BCC survey had also reported a slight rise in service sector capacity utilisation in 1998 Q1, though it remained lower than a year earlier.</w:t>
      </w:r>
    </w:p>
    <w:p>
      <w:pPr>
        <w:spacing w:after="0" w:line="321" w:lineRule="auto"/>
        <w:sectPr>
          <w:pgSz w:w="11900" w:h="16840"/>
          <w:pgMar w:header="867" w:footer="0" w:top="1320" w:bottom="280" w:left="1020" w:right="880"/>
        </w:sectPr>
      </w:pPr>
    </w:p>
    <w:p>
      <w:pPr>
        <w:pStyle w:val="BodyText"/>
        <w:spacing w:line="321" w:lineRule="auto" w:before="80"/>
        <w:ind w:left="117" w:right="245"/>
      </w:pPr>
      <w:r>
        <w:rPr/>
        <w:t>A19 Service sector growth had contributed 0.5 percentage points to GDP growth in 1998 Q1. That implied a net contraction in other sectors of the economy. The Office for National Statistics had indicated that manufacturing output growth had been flat in 1998 Q1, but further falls in energy output had led to another quarterly decline in overall industrial production. The April CBI Quarterly Industrial Trends Survey had shown a fall in the balance of manufacturers reporting a rise in output during the previous four months, principally due to a further weakening in export orders. The April C</w:t>
      </w:r>
      <w:r>
        <w:rPr>
          <w:sz w:val="16"/>
        </w:rPr>
        <w:t>IPS </w:t>
      </w:r>
      <w:r>
        <w:rPr/>
        <w:t>survey had shown a similar split between domestic and external demand, with export orders falling further while domestic production, particularly of consumer goods, had remained buoyant.</w:t>
      </w:r>
    </w:p>
    <w:p>
      <w:pPr>
        <w:pStyle w:val="BodyText"/>
        <w:spacing w:line="274" w:lineRule="exact"/>
        <w:ind w:left="117"/>
      </w:pPr>
      <w:r>
        <w:rPr/>
        <w:t>Construction output was expected to have made a positive contribution to GDP growth in 1998 Q1.</w:t>
      </w:r>
    </w:p>
    <w:p>
      <w:pPr>
        <w:pStyle w:val="BodyText"/>
        <w:rPr>
          <w:sz w:val="26"/>
        </w:rPr>
      </w:pPr>
    </w:p>
    <w:p>
      <w:pPr>
        <w:pStyle w:val="BodyText"/>
        <w:spacing w:line="321" w:lineRule="auto" w:before="164"/>
        <w:ind w:left="117" w:right="199"/>
      </w:pPr>
      <w:r>
        <w:rPr/>
        <w:t>A20 The total UK trade deficit in goods had widened sharply in February to £2.2 billion, compared with £1.1 billion in January. The widening of the trade deficit had largely reflected lower export growth to countries outside the European Union (EU), probably partly due to lower demand from East Asia. But at least half of the total deterioration in the trade deficit had been due to oil and erratics. The services surplus had also fallen in the first two months of 1998, in line with survey evidence of weakening service sector export growth. There had been a small bounceback in goods export volume growth in the three months to February, and despite strong monthly growth in February, import volume growth was almost flat compared with the previous three months.</w:t>
      </w:r>
    </w:p>
    <w:p>
      <w:pPr>
        <w:pStyle w:val="BodyText"/>
        <w:spacing w:line="321" w:lineRule="auto"/>
        <w:ind w:left="117" w:right="216"/>
      </w:pPr>
      <w:r>
        <w:rPr/>
        <w:t>Nonetheless,</w:t>
      </w:r>
      <w:r>
        <w:rPr>
          <w:spacing w:val="-8"/>
        </w:rPr>
        <w:t> </w:t>
      </w:r>
      <w:r>
        <w:rPr/>
        <w:t>net</w:t>
      </w:r>
      <w:r>
        <w:rPr>
          <w:spacing w:val="-3"/>
        </w:rPr>
        <w:t> </w:t>
      </w:r>
      <w:r>
        <w:rPr/>
        <w:t>trade</w:t>
      </w:r>
      <w:r>
        <w:rPr>
          <w:spacing w:val="-7"/>
        </w:rPr>
        <w:t> </w:t>
      </w:r>
      <w:r>
        <w:rPr/>
        <w:t>in</w:t>
      </w:r>
      <w:r>
        <w:rPr>
          <w:spacing w:val="-7"/>
        </w:rPr>
        <w:t> </w:t>
      </w:r>
      <w:r>
        <w:rPr/>
        <w:t>goods</w:t>
      </w:r>
      <w:r>
        <w:rPr>
          <w:spacing w:val="-8"/>
        </w:rPr>
        <w:t> </w:t>
      </w:r>
      <w:r>
        <w:rPr/>
        <w:t>and</w:t>
      </w:r>
      <w:r>
        <w:rPr>
          <w:spacing w:val="-7"/>
        </w:rPr>
        <w:t> </w:t>
      </w:r>
      <w:r>
        <w:rPr/>
        <w:t>services</w:t>
      </w:r>
      <w:r>
        <w:rPr>
          <w:spacing w:val="-7"/>
        </w:rPr>
        <w:t> </w:t>
      </w:r>
      <w:r>
        <w:rPr/>
        <w:t>might</w:t>
      </w:r>
      <w:r>
        <w:rPr>
          <w:spacing w:val="-3"/>
        </w:rPr>
        <w:t> </w:t>
      </w:r>
      <w:r>
        <w:rPr/>
        <w:t>have</w:t>
      </w:r>
      <w:r>
        <w:rPr>
          <w:spacing w:val="-7"/>
        </w:rPr>
        <w:t> </w:t>
      </w:r>
      <w:r>
        <w:rPr/>
        <w:t>contributed</w:t>
      </w:r>
      <w:r>
        <w:rPr>
          <w:spacing w:val="-8"/>
        </w:rPr>
        <w:t> </w:t>
      </w:r>
      <w:r>
        <w:rPr/>
        <w:t>around</w:t>
      </w:r>
      <w:r>
        <w:rPr>
          <w:spacing w:val="-7"/>
        </w:rPr>
        <w:t> </w:t>
      </w:r>
      <w:r>
        <w:rPr/>
        <w:t>-0.5</w:t>
      </w:r>
      <w:r>
        <w:rPr>
          <w:spacing w:val="26"/>
        </w:rPr>
        <w:t> </w:t>
      </w:r>
      <w:r>
        <w:rPr/>
        <w:t>percentage</w:t>
      </w:r>
      <w:r>
        <w:rPr>
          <w:spacing w:val="-7"/>
        </w:rPr>
        <w:t> </w:t>
      </w:r>
      <w:r>
        <w:rPr/>
        <w:t>points</w:t>
      </w:r>
      <w:r>
        <w:rPr>
          <w:spacing w:val="-7"/>
        </w:rPr>
        <w:t> </w:t>
      </w:r>
      <w:r>
        <w:rPr/>
        <w:t>to real GDP growth in 1998 Q1. The slowdown in import volume growth from non-EU countries was probably affected by erratic swings in the December and January data. However, the weakness of growth in import volumes from the EU (-2.0% in the three months </w:t>
      </w:r>
      <w:r>
        <w:rPr>
          <w:spacing w:val="2"/>
        </w:rPr>
        <w:t>to </w:t>
      </w:r>
      <w:r>
        <w:rPr/>
        <w:t>February compared with the previous three months) was more surprising. There was still no clear evidence of a deterioration in the</w:t>
      </w:r>
      <w:r>
        <w:rPr>
          <w:spacing w:val="-9"/>
        </w:rPr>
        <w:t> </w:t>
      </w:r>
      <w:r>
        <w:rPr/>
        <w:t>UK</w:t>
      </w:r>
      <w:r>
        <w:rPr>
          <w:spacing w:val="-9"/>
        </w:rPr>
        <w:t> </w:t>
      </w:r>
      <w:r>
        <w:rPr/>
        <w:t>trade</w:t>
      </w:r>
      <w:r>
        <w:rPr>
          <w:spacing w:val="-8"/>
        </w:rPr>
        <w:t> </w:t>
      </w:r>
      <w:r>
        <w:rPr/>
        <w:t>balance</w:t>
      </w:r>
      <w:r>
        <w:rPr>
          <w:spacing w:val="-9"/>
        </w:rPr>
        <w:t> </w:t>
      </w:r>
      <w:r>
        <w:rPr/>
        <w:t>with</w:t>
      </w:r>
      <w:r>
        <w:rPr>
          <w:spacing w:val="-8"/>
        </w:rPr>
        <w:t> </w:t>
      </w:r>
      <w:r>
        <w:rPr/>
        <w:t>the</w:t>
      </w:r>
      <w:r>
        <w:rPr>
          <w:spacing w:val="-9"/>
        </w:rPr>
        <w:t> </w:t>
      </w:r>
      <w:r>
        <w:rPr/>
        <w:t>EU,</w:t>
      </w:r>
      <w:r>
        <w:rPr>
          <w:spacing w:val="-7"/>
        </w:rPr>
        <w:t> </w:t>
      </w:r>
      <w:r>
        <w:rPr/>
        <w:t>despite</w:t>
      </w:r>
      <w:r>
        <w:rPr>
          <w:spacing w:val="-8"/>
        </w:rPr>
        <w:t> </w:t>
      </w:r>
      <w:r>
        <w:rPr>
          <w:spacing w:val="-3"/>
        </w:rPr>
        <w:t>sterling’s</w:t>
      </w:r>
      <w:r>
        <w:rPr>
          <w:spacing w:val="-9"/>
        </w:rPr>
        <w:t> </w:t>
      </w:r>
      <w:r>
        <w:rPr/>
        <w:t>greater</w:t>
      </w:r>
      <w:r>
        <w:rPr>
          <w:spacing w:val="-9"/>
        </w:rPr>
        <w:t> </w:t>
      </w:r>
      <w:r>
        <w:rPr/>
        <w:t>trade-weighted</w:t>
      </w:r>
      <w:r>
        <w:rPr>
          <w:spacing w:val="-8"/>
        </w:rPr>
        <w:t> </w:t>
      </w:r>
      <w:r>
        <w:rPr/>
        <w:t>appreciation</w:t>
      </w:r>
      <w:r>
        <w:rPr>
          <w:spacing w:val="-9"/>
        </w:rPr>
        <w:t> </w:t>
      </w:r>
      <w:r>
        <w:rPr/>
        <w:t>against</w:t>
      </w:r>
      <w:r>
        <w:rPr>
          <w:spacing w:val="-4"/>
        </w:rPr>
        <w:t> </w:t>
      </w:r>
      <w:r>
        <w:rPr/>
        <w:t>those currencies and the relatively high UK domestic demand growth. The UK balance of trade in goods with the EU had been stable since 1992. Quarterly UK trade volume growth with the EU had been quite volatile, but the underlying trend in growth had been fairly stable. In contrast, growth in the value of UK trade with the EU had been declining since the beginning of 1995. International data broadly supported the picture of flat trade trends evident in the UK data. For example, the share of EU countries’ exports </w:t>
      </w:r>
      <w:r>
        <w:rPr>
          <w:spacing w:val="3"/>
        </w:rPr>
        <w:t>to, </w:t>
      </w:r>
      <w:r>
        <w:rPr/>
        <w:t>and imports from the United Kingdom, had remained fairly constant since 1994. And US data showed that the trade balance with the EU excluding the UK had also remained stable.</w:t>
      </w:r>
    </w:p>
    <w:p>
      <w:pPr>
        <w:pStyle w:val="BodyText"/>
        <w:spacing w:before="8"/>
        <w:rPr>
          <w:sz w:val="31"/>
        </w:rPr>
      </w:pPr>
    </w:p>
    <w:p>
      <w:pPr>
        <w:pStyle w:val="BodyText"/>
        <w:spacing w:line="321" w:lineRule="auto"/>
        <w:ind w:left="117" w:right="192"/>
      </w:pPr>
      <w:r>
        <w:rPr/>
        <w:t>A21</w:t>
      </w:r>
      <w:r>
        <w:rPr>
          <w:spacing w:val="11"/>
        </w:rPr>
        <w:t> </w:t>
      </w:r>
      <w:r>
        <w:rPr/>
        <w:t>Explanations for the stability of UK trade patterns with the EU depended on expectations about the persistence of the relative strengths of sterling and UK domestic demand. In addition, the robustness of EU trade might have been reflecting strategic decisions taken by UK-based firms committed </w:t>
      </w:r>
      <w:r>
        <w:rPr>
          <w:spacing w:val="2"/>
        </w:rPr>
        <w:t>to </w:t>
      </w:r>
      <w:r>
        <w:rPr/>
        <w:t>the European market. A further possibility was that there had been a shift in European preferences</w:t>
      </w:r>
      <w:r>
        <w:rPr>
          <w:spacing w:val="-15"/>
        </w:rPr>
        <w:t> </w:t>
      </w:r>
      <w:r>
        <w:rPr/>
        <w:t>towards</w:t>
      </w:r>
      <w:r>
        <w:rPr>
          <w:spacing w:val="-15"/>
        </w:rPr>
        <w:t> </w:t>
      </w:r>
      <w:r>
        <w:rPr/>
        <w:t>UK</w:t>
      </w:r>
      <w:r>
        <w:rPr>
          <w:spacing w:val="-15"/>
        </w:rPr>
        <w:t> </w:t>
      </w:r>
      <w:r>
        <w:rPr/>
        <w:t>goods,</w:t>
      </w:r>
      <w:r>
        <w:rPr>
          <w:spacing w:val="-15"/>
        </w:rPr>
        <w:t> </w:t>
      </w:r>
      <w:r>
        <w:rPr/>
        <w:t>perhaps</w:t>
      </w:r>
      <w:r>
        <w:rPr>
          <w:spacing w:val="-15"/>
        </w:rPr>
        <w:t> </w:t>
      </w:r>
      <w:r>
        <w:rPr/>
        <w:t>reflecting</w:t>
      </w:r>
      <w:r>
        <w:rPr>
          <w:spacing w:val="-14"/>
        </w:rPr>
        <w:t> </w:t>
      </w:r>
      <w:r>
        <w:rPr/>
        <w:t>an</w:t>
      </w:r>
      <w:r>
        <w:rPr>
          <w:spacing w:val="-15"/>
        </w:rPr>
        <w:t> </w:t>
      </w:r>
      <w:r>
        <w:rPr/>
        <w:t>improvement</w:t>
      </w:r>
      <w:r>
        <w:rPr>
          <w:spacing w:val="-11"/>
        </w:rPr>
        <w:t> </w:t>
      </w:r>
      <w:r>
        <w:rPr/>
        <w:t>in</w:t>
      </w:r>
      <w:r>
        <w:rPr>
          <w:spacing w:val="-15"/>
        </w:rPr>
        <w:t> </w:t>
      </w:r>
      <w:r>
        <w:rPr/>
        <w:t>their</w:t>
      </w:r>
      <w:r>
        <w:rPr>
          <w:spacing w:val="-15"/>
        </w:rPr>
        <w:t> </w:t>
      </w:r>
      <w:r>
        <w:rPr/>
        <w:t>non-price</w:t>
      </w:r>
      <w:r>
        <w:rPr>
          <w:spacing w:val="-15"/>
        </w:rPr>
        <w:t> </w:t>
      </w:r>
      <w:r>
        <w:rPr/>
        <w:t>competitiveness.</w:t>
      </w:r>
    </w:p>
    <w:p>
      <w:pPr>
        <w:spacing w:after="0" w:line="321" w:lineRule="auto"/>
        <w:sectPr>
          <w:pgSz w:w="11900" w:h="16840"/>
          <w:pgMar w:header="867" w:footer="0" w:top="1320" w:bottom="280" w:left="1020" w:right="880"/>
        </w:sectPr>
      </w:pPr>
    </w:p>
    <w:p>
      <w:pPr>
        <w:pStyle w:val="BodyText"/>
        <w:spacing w:line="321" w:lineRule="auto" w:before="80"/>
        <w:ind w:left="117" w:right="283"/>
      </w:pPr>
      <w:r>
        <w:rPr/>
        <w:t>However,</w:t>
      </w:r>
      <w:r>
        <w:rPr>
          <w:spacing w:val="-17"/>
        </w:rPr>
        <w:t> </w:t>
      </w:r>
      <w:r>
        <w:rPr/>
        <w:t>the</w:t>
      </w:r>
      <w:r>
        <w:rPr>
          <w:spacing w:val="-16"/>
        </w:rPr>
        <w:t> </w:t>
      </w:r>
      <w:r>
        <w:rPr/>
        <w:t>difficulty</w:t>
      </w:r>
      <w:r>
        <w:rPr>
          <w:spacing w:val="-16"/>
        </w:rPr>
        <w:t> </w:t>
      </w:r>
      <w:r>
        <w:rPr/>
        <w:t>of</w:t>
      </w:r>
      <w:r>
        <w:rPr>
          <w:spacing w:val="-13"/>
        </w:rPr>
        <w:t> </w:t>
      </w:r>
      <w:r>
        <w:rPr/>
        <w:t>establishing</w:t>
      </w:r>
      <w:r>
        <w:rPr>
          <w:spacing w:val="-16"/>
        </w:rPr>
        <w:t> </w:t>
      </w:r>
      <w:r>
        <w:rPr/>
        <w:t>bilateral</w:t>
      </w:r>
      <w:r>
        <w:rPr>
          <w:spacing w:val="-16"/>
        </w:rPr>
        <w:t> </w:t>
      </w:r>
      <w:r>
        <w:rPr/>
        <w:t>trade</w:t>
      </w:r>
      <w:r>
        <w:rPr>
          <w:spacing w:val="-17"/>
        </w:rPr>
        <w:t> </w:t>
      </w:r>
      <w:r>
        <w:rPr/>
        <w:t>balances</w:t>
      </w:r>
      <w:r>
        <w:rPr>
          <w:spacing w:val="-16"/>
        </w:rPr>
        <w:t> </w:t>
      </w:r>
      <w:r>
        <w:rPr/>
        <w:t>was</w:t>
      </w:r>
      <w:r>
        <w:rPr>
          <w:spacing w:val="-16"/>
        </w:rPr>
        <w:t> </w:t>
      </w:r>
      <w:r>
        <w:rPr/>
        <w:t>highlighted</w:t>
      </w:r>
      <w:r>
        <w:rPr>
          <w:spacing w:val="-16"/>
        </w:rPr>
        <w:t> </w:t>
      </w:r>
      <w:r>
        <w:rPr/>
        <w:t>by</w:t>
      </w:r>
      <w:r>
        <w:rPr>
          <w:spacing w:val="-17"/>
        </w:rPr>
        <w:t> </w:t>
      </w:r>
      <w:r>
        <w:rPr/>
        <w:t>the</w:t>
      </w:r>
      <w:r>
        <w:rPr>
          <w:spacing w:val="-16"/>
        </w:rPr>
        <w:t> </w:t>
      </w:r>
      <w:r>
        <w:rPr/>
        <w:t>size</w:t>
      </w:r>
      <w:r>
        <w:rPr>
          <w:spacing w:val="-16"/>
        </w:rPr>
        <w:t> </w:t>
      </w:r>
      <w:r>
        <w:rPr/>
        <w:t>and</w:t>
      </w:r>
      <w:r>
        <w:rPr>
          <w:spacing w:val="-16"/>
        </w:rPr>
        <w:t> </w:t>
      </w:r>
      <w:r>
        <w:rPr/>
        <w:t>change in the discrepancy in IMF estimates of the whole-world trade</w:t>
      </w:r>
      <w:r>
        <w:rPr>
          <w:spacing w:val="3"/>
        </w:rPr>
        <w:t> </w:t>
      </w:r>
      <w:r>
        <w:rPr/>
        <w:t>deficit.</w:t>
      </w:r>
    </w:p>
    <w:p>
      <w:pPr>
        <w:pStyle w:val="BodyText"/>
        <w:spacing w:before="1"/>
        <w:rPr>
          <w:sz w:val="32"/>
        </w:rPr>
      </w:pPr>
    </w:p>
    <w:p>
      <w:pPr>
        <w:pStyle w:val="BodyText"/>
        <w:spacing w:line="321" w:lineRule="auto"/>
        <w:ind w:left="117" w:right="131"/>
      </w:pPr>
      <w:r>
        <w:rPr/>
        <w:t>A22 The Bank’s Agents had undertaken a survey of contacts involved in external trade. It had found little evidence to support the view that there had been a marked difference in the behaviour of trade flows to and from the EU and the rest of the world, during the past year. But, there was some evidence that UK-based firms were more likely to reduce prices in order to maintain market share in European markets than in more peripheral markets in the rest of the world. A number of contacts had reported that rising domestic demand growth in major continental economies was also a factor in sustaining demand for UK goods.</w:t>
      </w:r>
    </w:p>
    <w:p>
      <w:pPr>
        <w:pStyle w:val="BodyText"/>
        <w:rPr>
          <w:sz w:val="32"/>
        </w:rPr>
      </w:pPr>
    </w:p>
    <w:p>
      <w:pPr>
        <w:pStyle w:val="BodyText"/>
        <w:spacing w:line="321" w:lineRule="auto"/>
        <w:ind w:left="117" w:right="188"/>
      </w:pPr>
      <w:r>
        <w:rPr/>
        <w:t>A23 UK domestic demand and, in particular consumption, growth was likely </w:t>
      </w:r>
      <w:r>
        <w:rPr>
          <w:spacing w:val="2"/>
        </w:rPr>
        <w:t>to </w:t>
      </w:r>
      <w:r>
        <w:rPr/>
        <w:t>have remained robust in 1998 Q1. Retail sales volumes had risen by 0.9%. Private car registrations and sales of commercial vehicles had both been very strong in the first quarter, boosting consumption and investment</w:t>
      </w:r>
      <w:r>
        <w:rPr>
          <w:spacing w:val="-10"/>
        </w:rPr>
        <w:t> </w:t>
      </w:r>
      <w:r>
        <w:rPr/>
        <w:t>levels</w:t>
      </w:r>
      <w:r>
        <w:rPr>
          <w:spacing w:val="-12"/>
        </w:rPr>
        <w:t> </w:t>
      </w:r>
      <w:r>
        <w:rPr/>
        <w:t>respectively.</w:t>
      </w:r>
      <w:r>
        <w:rPr>
          <w:spacing w:val="36"/>
        </w:rPr>
        <w:t> </w:t>
      </w:r>
      <w:r>
        <w:rPr/>
        <w:t>The</w:t>
      </w:r>
      <w:r>
        <w:rPr>
          <w:spacing w:val="-12"/>
        </w:rPr>
        <w:t> </w:t>
      </w:r>
      <w:r>
        <w:rPr/>
        <w:t>GFK</w:t>
      </w:r>
      <w:r>
        <w:rPr>
          <w:spacing w:val="-13"/>
        </w:rPr>
        <w:t> </w:t>
      </w:r>
      <w:r>
        <w:rPr/>
        <w:t>and</w:t>
      </w:r>
      <w:r>
        <w:rPr>
          <w:spacing w:val="-12"/>
        </w:rPr>
        <w:t> </w:t>
      </w:r>
      <w:r>
        <w:rPr/>
        <w:t>Mori</w:t>
      </w:r>
      <w:r>
        <w:rPr>
          <w:spacing w:val="-13"/>
        </w:rPr>
        <w:t> </w:t>
      </w:r>
      <w:r>
        <w:rPr/>
        <w:t>survey</w:t>
      </w:r>
      <w:r>
        <w:rPr>
          <w:spacing w:val="-13"/>
        </w:rPr>
        <w:t> </w:t>
      </w:r>
      <w:r>
        <w:rPr/>
        <w:t>measures</w:t>
      </w:r>
      <w:r>
        <w:rPr>
          <w:spacing w:val="-13"/>
        </w:rPr>
        <w:t> </w:t>
      </w:r>
      <w:r>
        <w:rPr/>
        <w:t>of</w:t>
      </w:r>
      <w:r>
        <w:rPr>
          <w:spacing w:val="-9"/>
        </w:rPr>
        <w:t> </w:t>
      </w:r>
      <w:r>
        <w:rPr/>
        <w:t>consumer</w:t>
      </w:r>
      <w:r>
        <w:rPr>
          <w:spacing w:val="-13"/>
        </w:rPr>
        <w:t> </w:t>
      </w:r>
      <w:r>
        <w:rPr/>
        <w:t>confidence</w:t>
      </w:r>
      <w:r>
        <w:rPr>
          <w:spacing w:val="-13"/>
        </w:rPr>
        <w:t> </w:t>
      </w:r>
      <w:r>
        <w:rPr/>
        <w:t>had</w:t>
      </w:r>
      <w:r>
        <w:rPr>
          <w:spacing w:val="-12"/>
        </w:rPr>
        <w:t> </w:t>
      </w:r>
      <w:r>
        <w:rPr/>
        <w:t>both risen in</w:t>
      </w:r>
      <w:r>
        <w:rPr>
          <w:spacing w:val="5"/>
        </w:rPr>
        <w:t> </w:t>
      </w:r>
      <w:r>
        <w:rPr/>
        <w:t>April.</w:t>
      </w:r>
    </w:p>
    <w:p>
      <w:pPr>
        <w:pStyle w:val="BodyText"/>
        <w:rPr>
          <w:sz w:val="32"/>
        </w:rPr>
      </w:pPr>
    </w:p>
    <w:p>
      <w:pPr>
        <w:pStyle w:val="BodyText"/>
        <w:spacing w:line="321" w:lineRule="auto"/>
        <w:ind w:left="117" w:right="152"/>
      </w:pPr>
      <w:r>
        <w:rPr/>
        <w:t>A24 Demand for housing had also remained strong, alongside falling annual house price inflation. The gap between the Nationwide and Halifax indices had narrowed slightly in March; and both showed moderating annual inflation. A regional split had shown that the divergence between the two measures was still concentrated in the north of England and Scotland. The RICS survey had been flat in March, and the downward trend had continued. Particulars delivered rose in March, but activity remained weak compared with the previous three months. There had been a strong rise in gross lending secured on housing, but a fall in net lending, indicating a rise in re-mortgaging activity.</w:t>
      </w:r>
    </w:p>
    <w:p>
      <w:pPr>
        <w:pStyle w:val="BodyText"/>
        <w:spacing w:line="321" w:lineRule="auto"/>
        <w:ind w:left="117" w:right="306"/>
      </w:pPr>
      <w:r>
        <w:rPr/>
        <w:t>However,</w:t>
      </w:r>
      <w:r>
        <w:rPr>
          <w:spacing w:val="-12"/>
        </w:rPr>
        <w:t> </w:t>
      </w:r>
      <w:r>
        <w:rPr/>
        <w:t>loan</w:t>
      </w:r>
      <w:r>
        <w:rPr>
          <w:spacing w:val="-11"/>
        </w:rPr>
        <w:t> </w:t>
      </w:r>
      <w:r>
        <w:rPr/>
        <w:t>approvals</w:t>
      </w:r>
      <w:r>
        <w:rPr>
          <w:spacing w:val="-11"/>
        </w:rPr>
        <w:t> </w:t>
      </w:r>
      <w:r>
        <w:rPr/>
        <w:t>for</w:t>
      </w:r>
      <w:r>
        <w:rPr>
          <w:spacing w:val="-11"/>
        </w:rPr>
        <w:t> </w:t>
      </w:r>
      <w:r>
        <w:rPr/>
        <w:t>house</w:t>
      </w:r>
      <w:r>
        <w:rPr>
          <w:spacing w:val="-12"/>
        </w:rPr>
        <w:t> </w:t>
      </w:r>
      <w:r>
        <w:rPr/>
        <w:t>purchases</w:t>
      </w:r>
      <w:r>
        <w:rPr>
          <w:spacing w:val="-11"/>
        </w:rPr>
        <w:t> </w:t>
      </w:r>
      <w:r>
        <w:rPr/>
        <w:t>had</w:t>
      </w:r>
      <w:r>
        <w:rPr>
          <w:spacing w:val="-11"/>
        </w:rPr>
        <w:t> </w:t>
      </w:r>
      <w:r>
        <w:rPr/>
        <w:t>also</w:t>
      </w:r>
      <w:r>
        <w:rPr>
          <w:spacing w:val="-11"/>
        </w:rPr>
        <w:t> </w:t>
      </w:r>
      <w:r>
        <w:rPr/>
        <w:t>risen</w:t>
      </w:r>
      <w:r>
        <w:rPr>
          <w:spacing w:val="-10"/>
        </w:rPr>
        <w:t> </w:t>
      </w:r>
      <w:r>
        <w:rPr/>
        <w:t>sharply</w:t>
      </w:r>
      <w:r>
        <w:rPr>
          <w:spacing w:val="-11"/>
        </w:rPr>
        <w:t> </w:t>
      </w:r>
      <w:r>
        <w:rPr/>
        <w:t>in</w:t>
      </w:r>
      <w:r>
        <w:rPr>
          <w:spacing w:val="-11"/>
        </w:rPr>
        <w:t> </w:t>
      </w:r>
      <w:r>
        <w:rPr/>
        <w:t>March,</w:t>
      </w:r>
      <w:r>
        <w:rPr>
          <w:spacing w:val="-12"/>
        </w:rPr>
        <w:t> </w:t>
      </w:r>
      <w:r>
        <w:rPr/>
        <w:t>leaving</w:t>
      </w:r>
      <w:r>
        <w:rPr>
          <w:spacing w:val="-11"/>
        </w:rPr>
        <w:t> </w:t>
      </w:r>
      <w:r>
        <w:rPr/>
        <w:t>the</w:t>
      </w:r>
      <w:r>
        <w:rPr>
          <w:spacing w:val="-11"/>
        </w:rPr>
        <w:t> </w:t>
      </w:r>
      <w:r>
        <w:rPr/>
        <w:t>index</w:t>
      </w:r>
      <w:r>
        <w:rPr>
          <w:spacing w:val="-11"/>
        </w:rPr>
        <w:t> </w:t>
      </w:r>
      <w:r>
        <w:rPr/>
        <w:t>31% higher than a year</w:t>
      </w:r>
      <w:r>
        <w:rPr>
          <w:spacing w:val="6"/>
        </w:rPr>
        <w:t> </w:t>
      </w:r>
      <w:r>
        <w:rPr/>
        <w:t>ago.</w:t>
      </w:r>
    </w:p>
    <w:p>
      <w:pPr>
        <w:pStyle w:val="BodyText"/>
        <w:rPr>
          <w:sz w:val="32"/>
        </w:rPr>
      </w:pPr>
    </w:p>
    <w:p>
      <w:pPr>
        <w:pStyle w:val="BodyText"/>
        <w:spacing w:line="321" w:lineRule="auto"/>
        <w:ind w:left="117"/>
      </w:pPr>
      <w:r>
        <w:rPr/>
        <w:t>A25 The cumulative PSBR for 1997/1998 was £0.9 billion, £1.7 billion lower than the March Budget forecast, and £7.6 billion lower than the November Green Budget forecast. The undershoot had reflected both lower central government spending and higher-than-expected tax receipts.</w:t>
      </w:r>
    </w:p>
    <w:p>
      <w:pPr>
        <w:pStyle w:val="BodyText"/>
        <w:spacing w:before="1"/>
        <w:rPr>
          <w:sz w:val="32"/>
        </w:rPr>
      </w:pPr>
    </w:p>
    <w:p>
      <w:pPr>
        <w:pStyle w:val="BodyText"/>
        <w:spacing w:line="321" w:lineRule="auto"/>
        <w:ind w:left="117"/>
      </w:pPr>
      <w:r>
        <w:rPr/>
        <w:t>A26 Survey evidence on investment intentions had been mixed. The BCC survey had shown that manufacturing investment intentions had held up. But the balance of manufacturers expecting to increase investment was the most negative since October 1992 according to the CBI. Service sector investment intentions had remained buoyant, according to the BCC survey.</w:t>
      </w:r>
    </w:p>
    <w:p>
      <w:pPr>
        <w:pStyle w:val="BodyText"/>
        <w:spacing w:before="1"/>
        <w:rPr>
          <w:sz w:val="32"/>
        </w:rPr>
      </w:pPr>
    </w:p>
    <w:p>
      <w:pPr>
        <w:pStyle w:val="BodyText"/>
        <w:spacing w:line="321" w:lineRule="auto"/>
        <w:ind w:left="117" w:right="225"/>
      </w:pPr>
      <w:r>
        <w:rPr/>
        <w:t>A27 The latest OECD and IMF forecasts had shown that growth in France, Italy and the United States was expected to be stronger than had previously been the case, but Japanese growth prospects</w:t>
      </w:r>
    </w:p>
    <w:p>
      <w:pPr>
        <w:spacing w:after="0" w:line="321" w:lineRule="auto"/>
        <w:sectPr>
          <w:pgSz w:w="11900" w:h="16840"/>
          <w:pgMar w:header="867" w:footer="0" w:top="1320" w:bottom="280" w:left="1020" w:right="880"/>
        </w:sectPr>
      </w:pPr>
    </w:p>
    <w:p>
      <w:pPr>
        <w:pStyle w:val="BodyText"/>
        <w:spacing w:line="321" w:lineRule="auto" w:before="80"/>
        <w:ind w:left="117" w:right="306"/>
      </w:pPr>
      <w:r>
        <w:rPr/>
        <w:t>had been revised down again. However, these forecasts had been made before the announcement of the Japanese Supplementary Budget on 24 April. The financial package was equivalent </w:t>
      </w:r>
      <w:r>
        <w:rPr>
          <w:spacing w:val="2"/>
        </w:rPr>
        <w:t>to </w:t>
      </w:r>
      <w:r>
        <w:rPr/>
        <w:t>3.3% of nominal GDP. The extent </w:t>
      </w:r>
      <w:r>
        <w:rPr>
          <w:spacing w:val="2"/>
        </w:rPr>
        <w:t>to </w:t>
      </w:r>
      <w:r>
        <w:rPr/>
        <w:t>which the measures announced by the Japanese government would boost demand would depend on consumers’ responses </w:t>
      </w:r>
      <w:r>
        <w:rPr>
          <w:spacing w:val="2"/>
        </w:rPr>
        <w:t>to </w:t>
      </w:r>
      <w:r>
        <w:rPr/>
        <w:t>the tax cuts announced, and the knock-on boost </w:t>
      </w:r>
      <w:r>
        <w:rPr>
          <w:spacing w:val="2"/>
        </w:rPr>
        <w:t>to </w:t>
      </w:r>
      <w:r>
        <w:rPr/>
        <w:t>private sector activity of the public works programmes. The latest data had shown that industrial production continued </w:t>
      </w:r>
      <w:r>
        <w:rPr>
          <w:spacing w:val="2"/>
        </w:rPr>
        <w:t>to </w:t>
      </w:r>
      <w:r>
        <w:rPr/>
        <w:t>rise strongly in the EU3 (France, Germany, Italy). In the case of Germany,</w:t>
      </w:r>
      <w:r>
        <w:rPr>
          <w:spacing w:val="-12"/>
        </w:rPr>
        <w:t> </w:t>
      </w:r>
      <w:r>
        <w:rPr/>
        <w:t>rising</w:t>
      </w:r>
      <w:r>
        <w:rPr>
          <w:spacing w:val="-9"/>
        </w:rPr>
        <w:t> </w:t>
      </w:r>
      <w:r>
        <w:rPr/>
        <w:t>manufacturing</w:t>
      </w:r>
      <w:r>
        <w:rPr>
          <w:spacing w:val="-11"/>
        </w:rPr>
        <w:t> </w:t>
      </w:r>
      <w:r>
        <w:rPr>
          <w:spacing w:val="3"/>
        </w:rPr>
        <w:t>output</w:t>
      </w:r>
      <w:r>
        <w:rPr>
          <w:spacing w:val="-7"/>
        </w:rPr>
        <w:t> </w:t>
      </w:r>
      <w:r>
        <w:rPr/>
        <w:t>growth</w:t>
      </w:r>
      <w:r>
        <w:rPr>
          <w:spacing w:val="-11"/>
        </w:rPr>
        <w:t> </w:t>
      </w:r>
      <w:r>
        <w:rPr/>
        <w:t>was</w:t>
      </w:r>
      <w:r>
        <w:rPr>
          <w:spacing w:val="-11"/>
        </w:rPr>
        <w:t> </w:t>
      </w:r>
      <w:r>
        <w:rPr/>
        <w:t>yet</w:t>
      </w:r>
      <w:r>
        <w:rPr>
          <w:spacing w:val="-7"/>
        </w:rPr>
        <w:t> </w:t>
      </w:r>
      <w:r>
        <w:rPr>
          <w:spacing w:val="2"/>
        </w:rPr>
        <w:t>to</w:t>
      </w:r>
      <w:r>
        <w:rPr>
          <w:spacing w:val="-7"/>
        </w:rPr>
        <w:t> </w:t>
      </w:r>
      <w:r>
        <w:rPr/>
        <w:t>feed</w:t>
      </w:r>
      <w:r>
        <w:rPr>
          <w:spacing w:val="-12"/>
        </w:rPr>
        <w:t> </w:t>
      </w:r>
      <w:r>
        <w:rPr/>
        <w:t>through</w:t>
      </w:r>
      <w:r>
        <w:rPr>
          <w:spacing w:val="-11"/>
        </w:rPr>
        <w:t> </w:t>
      </w:r>
      <w:r>
        <w:rPr/>
        <w:t>into</w:t>
      </w:r>
      <w:r>
        <w:rPr>
          <w:spacing w:val="-7"/>
        </w:rPr>
        <w:t> </w:t>
      </w:r>
      <w:r>
        <w:rPr/>
        <w:t>higher</w:t>
      </w:r>
      <w:r>
        <w:rPr>
          <w:spacing w:val="-11"/>
        </w:rPr>
        <w:t> </w:t>
      </w:r>
      <w:r>
        <w:rPr/>
        <w:t>domestic</w:t>
      </w:r>
      <w:r>
        <w:rPr>
          <w:spacing w:val="-11"/>
        </w:rPr>
        <w:t> </w:t>
      </w:r>
      <w:r>
        <w:rPr/>
        <w:t>demand. This was despite a rise in consumer confidence </w:t>
      </w:r>
      <w:r>
        <w:rPr>
          <w:spacing w:val="2"/>
        </w:rPr>
        <w:t>to </w:t>
      </w:r>
      <w:r>
        <w:rPr/>
        <w:t>its highest level in ten years. The first-quarter advance estimate for US GDP growth had shown growth of 1.0% on the previous quarter, with domestic demand contributing around 1.6 percentage points </w:t>
      </w:r>
      <w:r>
        <w:rPr>
          <w:spacing w:val="2"/>
        </w:rPr>
        <w:t>to </w:t>
      </w:r>
      <w:r>
        <w:rPr/>
        <w:t>growth, and net trade detracting around 0.6 percentage</w:t>
      </w:r>
      <w:r>
        <w:rPr>
          <w:spacing w:val="14"/>
        </w:rPr>
        <w:t> </w:t>
      </w:r>
      <w:r>
        <w:rPr/>
        <w:t>points.</w:t>
      </w:r>
    </w:p>
    <w:p>
      <w:pPr>
        <w:pStyle w:val="BodyText"/>
        <w:spacing w:before="10"/>
        <w:rPr>
          <w:sz w:val="31"/>
        </w:rPr>
      </w:pPr>
    </w:p>
    <w:p>
      <w:pPr>
        <w:pStyle w:val="ListParagraph"/>
        <w:numPr>
          <w:ilvl w:val="0"/>
          <w:numId w:val="2"/>
        </w:numPr>
        <w:tabs>
          <w:tab w:pos="837" w:val="left" w:leader="none"/>
          <w:tab w:pos="838" w:val="left" w:leader="none"/>
        </w:tabs>
        <w:spacing w:line="240" w:lineRule="auto" w:before="0" w:after="0"/>
        <w:ind w:left="837" w:right="0" w:hanging="721"/>
        <w:jc w:val="left"/>
        <w:rPr>
          <w:sz w:val="24"/>
        </w:rPr>
      </w:pPr>
      <w:r>
        <w:rPr>
          <w:sz w:val="24"/>
          <w:u w:val="single"/>
        </w:rPr>
        <w:t>Labour</w:t>
      </w:r>
      <w:r>
        <w:rPr>
          <w:spacing w:val="1"/>
          <w:sz w:val="24"/>
          <w:u w:val="single"/>
        </w:rPr>
        <w:t> </w:t>
      </w:r>
      <w:r>
        <w:rPr>
          <w:sz w:val="24"/>
          <w:u w:val="single"/>
        </w:rPr>
        <w:t>market</w:t>
      </w:r>
    </w:p>
    <w:p>
      <w:pPr>
        <w:pStyle w:val="BodyText"/>
        <w:rPr>
          <w:sz w:val="20"/>
        </w:rPr>
      </w:pPr>
    </w:p>
    <w:p>
      <w:pPr>
        <w:pStyle w:val="BodyText"/>
        <w:spacing w:line="321" w:lineRule="auto" w:before="234"/>
        <w:ind w:left="117" w:right="155"/>
      </w:pPr>
      <w:r>
        <w:rPr/>
        <w:t>A28 Indicators of labour demand suggested that the pace of growth had slowed, although the evidence remained uneven. Labour Force Survey (LFS) employment rose by 41,000 (0.2%) in the three months </w:t>
      </w:r>
      <w:r>
        <w:rPr>
          <w:spacing w:val="2"/>
        </w:rPr>
        <w:t>to </w:t>
      </w:r>
      <w:r>
        <w:rPr/>
        <w:t>February 1998. This was slower than growth in the three months </w:t>
      </w:r>
      <w:r>
        <w:rPr>
          <w:spacing w:val="2"/>
        </w:rPr>
        <w:t>to </w:t>
      </w:r>
      <w:r>
        <w:rPr/>
        <w:t>November 1997 (107,000) and than the average growth per quarter in the twelve months </w:t>
      </w:r>
      <w:r>
        <w:rPr>
          <w:spacing w:val="2"/>
        </w:rPr>
        <w:t>to </w:t>
      </w:r>
      <w:r>
        <w:rPr/>
        <w:t>February (88,000). All of the net new jobs were full-time. The Workforce in Employment series had changed </w:t>
      </w:r>
      <w:r>
        <w:rPr>
          <w:spacing w:val="2"/>
        </w:rPr>
        <w:t>to </w:t>
      </w:r>
      <w:r>
        <w:rPr/>
        <w:t>Workforce Jobs, which adds in an estimate of self-employed second jobs. The new measure of employment implied that the number of jobs was higher by around 250,000 as a result, with a commensurate downward</w:t>
      </w:r>
      <w:r>
        <w:rPr>
          <w:spacing w:val="-13"/>
        </w:rPr>
        <w:t> </w:t>
      </w:r>
      <w:r>
        <w:rPr/>
        <w:t>revision</w:t>
      </w:r>
      <w:r>
        <w:rPr>
          <w:spacing w:val="-10"/>
        </w:rPr>
        <w:t> </w:t>
      </w:r>
      <w:r>
        <w:rPr/>
        <w:t>in</w:t>
      </w:r>
      <w:r>
        <w:rPr>
          <w:spacing w:val="-12"/>
        </w:rPr>
        <w:t> </w:t>
      </w:r>
      <w:r>
        <w:rPr/>
        <w:t>the</w:t>
      </w:r>
      <w:r>
        <w:rPr>
          <w:spacing w:val="-12"/>
        </w:rPr>
        <w:t> </w:t>
      </w:r>
      <w:r>
        <w:rPr/>
        <w:t>level</w:t>
      </w:r>
      <w:r>
        <w:rPr>
          <w:spacing w:val="-13"/>
        </w:rPr>
        <w:t> </w:t>
      </w:r>
      <w:r>
        <w:rPr/>
        <w:t>of</w:t>
      </w:r>
      <w:r>
        <w:rPr>
          <w:spacing w:val="-8"/>
        </w:rPr>
        <w:t> </w:t>
      </w:r>
      <w:r>
        <w:rPr/>
        <w:t>measured</w:t>
      </w:r>
      <w:r>
        <w:rPr>
          <w:spacing w:val="-12"/>
        </w:rPr>
        <w:t> </w:t>
      </w:r>
      <w:r>
        <w:rPr/>
        <w:t>productivity</w:t>
      </w:r>
      <w:r>
        <w:rPr>
          <w:spacing w:val="-12"/>
        </w:rPr>
        <w:t> </w:t>
      </w:r>
      <w:r>
        <w:rPr/>
        <w:t>per</w:t>
      </w:r>
      <w:r>
        <w:rPr>
          <w:spacing w:val="-12"/>
        </w:rPr>
        <w:t> </w:t>
      </w:r>
      <w:r>
        <w:rPr/>
        <w:t>job,</w:t>
      </w:r>
      <w:r>
        <w:rPr>
          <w:spacing w:val="-12"/>
        </w:rPr>
        <w:t> </w:t>
      </w:r>
      <w:r>
        <w:rPr/>
        <w:t>reflecting</w:t>
      </w:r>
      <w:r>
        <w:rPr>
          <w:spacing w:val="-11"/>
        </w:rPr>
        <w:t> </w:t>
      </w:r>
      <w:r>
        <w:rPr/>
        <w:t>a</w:t>
      </w:r>
      <w:r>
        <w:rPr>
          <w:spacing w:val="-12"/>
        </w:rPr>
        <w:t> </w:t>
      </w:r>
      <w:r>
        <w:rPr/>
        <w:t>fall</w:t>
      </w:r>
      <w:r>
        <w:rPr>
          <w:spacing w:val="-12"/>
        </w:rPr>
        <w:t> </w:t>
      </w:r>
      <w:r>
        <w:rPr/>
        <w:t>in</w:t>
      </w:r>
      <w:r>
        <w:rPr>
          <w:spacing w:val="-12"/>
        </w:rPr>
        <w:t> </w:t>
      </w:r>
      <w:r>
        <w:rPr/>
        <w:t>the</w:t>
      </w:r>
      <w:r>
        <w:rPr>
          <w:spacing w:val="-13"/>
        </w:rPr>
        <w:t> </w:t>
      </w:r>
      <w:r>
        <w:rPr/>
        <w:t>number</w:t>
      </w:r>
      <w:r>
        <w:rPr>
          <w:spacing w:val="-12"/>
        </w:rPr>
        <w:t> </w:t>
      </w:r>
      <w:r>
        <w:rPr/>
        <w:t>of</w:t>
      </w:r>
      <w:r>
        <w:rPr>
          <w:spacing w:val="-8"/>
        </w:rPr>
        <w:t> </w:t>
      </w:r>
      <w:r>
        <w:rPr/>
        <w:t>self- employed second jobs in 1997 Q4. The growth in Workforce Jobs was revised down from 150,000</w:t>
      </w:r>
      <w:r>
        <w:rPr>
          <w:spacing w:val="-31"/>
        </w:rPr>
        <w:t> </w:t>
      </w:r>
      <w:r>
        <w:rPr/>
        <w:t>to 121,000. Workforce Jobs were growing faster than employment measured by the LFS, although the surveys </w:t>
      </w:r>
      <w:r>
        <w:rPr>
          <w:spacing w:val="3"/>
        </w:rPr>
        <w:t>only </w:t>
      </w:r>
      <w:r>
        <w:rPr/>
        <w:t>had </w:t>
      </w:r>
      <w:r>
        <w:rPr>
          <w:spacing w:val="2"/>
        </w:rPr>
        <w:t>one </w:t>
      </w:r>
      <w:r>
        <w:rPr/>
        <w:t>month of </w:t>
      </w:r>
      <w:r>
        <w:rPr>
          <w:spacing w:val="3"/>
        </w:rPr>
        <w:t>overlap, </w:t>
      </w:r>
      <w:r>
        <w:rPr/>
        <w:t>which made comparison</w:t>
      </w:r>
      <w:r>
        <w:rPr>
          <w:spacing w:val="-3"/>
        </w:rPr>
        <w:t> </w:t>
      </w:r>
      <w:r>
        <w:rPr/>
        <w:t>difficult.</w:t>
      </w:r>
    </w:p>
    <w:p>
      <w:pPr>
        <w:pStyle w:val="BodyText"/>
        <w:spacing w:before="10"/>
        <w:rPr>
          <w:sz w:val="31"/>
        </w:rPr>
      </w:pPr>
    </w:p>
    <w:p>
      <w:pPr>
        <w:pStyle w:val="BodyText"/>
        <w:spacing w:line="321" w:lineRule="auto"/>
        <w:ind w:left="117" w:right="197"/>
      </w:pPr>
      <w:r>
        <w:rPr/>
        <w:t>A29 LFS total hours worked had (surprisingly) fallen by 0.7% in the three months to February 1998. That may have partly reflected lower overtime and hours worked in the energy sector, due to the unusually mild winter. And hours worked fell unexpectedly during the same months in the previous year, but were followed by strong growth in the subsequent three months. This could indicate that seasonal adjustment of hours worked is particularly difficult during the winter months.</w:t>
      </w:r>
    </w:p>
    <w:p>
      <w:pPr>
        <w:pStyle w:val="BodyText"/>
        <w:spacing w:before="1"/>
        <w:rPr>
          <w:sz w:val="32"/>
        </w:rPr>
      </w:pPr>
    </w:p>
    <w:p>
      <w:pPr>
        <w:pStyle w:val="BodyText"/>
        <w:spacing w:line="321" w:lineRule="auto"/>
        <w:ind w:left="117" w:right="192"/>
      </w:pPr>
      <w:r>
        <w:rPr/>
        <w:t>A30 The </w:t>
      </w:r>
      <w:r>
        <w:rPr>
          <w:spacing w:val="-3"/>
        </w:rPr>
        <w:t>C</w:t>
      </w:r>
      <w:r>
        <w:rPr>
          <w:spacing w:val="-3"/>
          <w:sz w:val="16"/>
        </w:rPr>
        <w:t>IPS </w:t>
      </w:r>
      <w:r>
        <w:rPr/>
        <w:t>report on services suggested that service sector employment rose strongly again in April. Although the rate of increase slowed slightly, </w:t>
      </w:r>
      <w:r>
        <w:rPr>
          <w:spacing w:val="4"/>
        </w:rPr>
        <w:t>C</w:t>
      </w:r>
      <w:r>
        <w:rPr>
          <w:spacing w:val="4"/>
          <w:sz w:val="16"/>
        </w:rPr>
        <w:t>IPS </w:t>
      </w:r>
      <w:r>
        <w:rPr/>
        <w:t>reported that employment growth was constrained</w:t>
      </w:r>
      <w:r>
        <w:rPr>
          <w:spacing w:val="-21"/>
        </w:rPr>
        <w:t> </w:t>
      </w:r>
      <w:r>
        <w:rPr/>
        <w:t>by</w:t>
      </w:r>
      <w:r>
        <w:rPr>
          <w:spacing w:val="-20"/>
        </w:rPr>
        <w:t> </w:t>
      </w:r>
      <w:r>
        <w:rPr/>
        <w:t>continued</w:t>
      </w:r>
      <w:r>
        <w:rPr>
          <w:spacing w:val="-20"/>
        </w:rPr>
        <w:t> </w:t>
      </w:r>
      <w:r>
        <w:rPr/>
        <w:t>skill</w:t>
      </w:r>
      <w:r>
        <w:rPr>
          <w:spacing w:val="-20"/>
        </w:rPr>
        <w:t> </w:t>
      </w:r>
      <w:r>
        <w:rPr/>
        <w:t>shortages</w:t>
      </w:r>
      <w:r>
        <w:rPr>
          <w:spacing w:val="-20"/>
        </w:rPr>
        <w:t> </w:t>
      </w:r>
      <w:r>
        <w:rPr/>
        <w:t>and</w:t>
      </w:r>
      <w:r>
        <w:rPr>
          <w:spacing w:val="-20"/>
        </w:rPr>
        <w:t> </w:t>
      </w:r>
      <w:r>
        <w:rPr/>
        <w:t>difficulties</w:t>
      </w:r>
      <w:r>
        <w:rPr>
          <w:spacing w:val="-20"/>
        </w:rPr>
        <w:t> </w:t>
      </w:r>
      <w:r>
        <w:rPr/>
        <w:t>in</w:t>
      </w:r>
      <w:r>
        <w:rPr>
          <w:spacing w:val="-20"/>
        </w:rPr>
        <w:t> </w:t>
      </w:r>
      <w:r>
        <w:rPr/>
        <w:t>replacing</w:t>
      </w:r>
      <w:r>
        <w:rPr>
          <w:spacing w:val="-19"/>
        </w:rPr>
        <w:t> </w:t>
      </w:r>
      <w:r>
        <w:rPr/>
        <w:t>staff.</w:t>
      </w:r>
      <w:r>
        <w:rPr>
          <w:spacing w:val="20"/>
        </w:rPr>
        <w:t> </w:t>
      </w:r>
      <w:r>
        <w:rPr/>
        <w:t>Manufacturing</w:t>
      </w:r>
      <w:r>
        <w:rPr>
          <w:spacing w:val="-20"/>
        </w:rPr>
        <w:t> </w:t>
      </w:r>
      <w:r>
        <w:rPr/>
        <w:t>employment fell for the second consecutive month in April, reflecting rationalisation and weaker demand in that </w:t>
      </w:r>
      <w:r>
        <w:rPr>
          <w:spacing w:val="2"/>
        </w:rPr>
        <w:t>sector. </w:t>
      </w:r>
      <w:r>
        <w:rPr/>
        <w:t>Recruitment intentions in the service sector remained buoyant, according </w:t>
      </w:r>
      <w:r>
        <w:rPr>
          <w:spacing w:val="2"/>
        </w:rPr>
        <w:t>to </w:t>
      </w:r>
      <w:r>
        <w:rPr/>
        <w:t>the BCC survey that looked ahead </w:t>
      </w:r>
      <w:r>
        <w:rPr>
          <w:spacing w:val="2"/>
        </w:rPr>
        <w:t>to </w:t>
      </w:r>
      <w:r>
        <w:rPr/>
        <w:t>the second quarter of 1998. That supported previous evidence from</w:t>
      </w:r>
      <w:r>
        <w:rPr>
          <w:spacing w:val="-6"/>
        </w:rPr>
        <w:t> </w:t>
      </w:r>
      <w:r>
        <w:rPr/>
        <w:t>the</w:t>
      </w:r>
    </w:p>
    <w:p>
      <w:pPr>
        <w:spacing w:after="0" w:line="321" w:lineRule="auto"/>
        <w:sectPr>
          <w:pgSz w:w="11900" w:h="16840"/>
          <w:pgMar w:header="867" w:footer="0" w:top="1320" w:bottom="280" w:left="1020" w:right="880"/>
        </w:sectPr>
      </w:pPr>
    </w:p>
    <w:p>
      <w:pPr>
        <w:pStyle w:val="BodyText"/>
        <w:spacing w:line="321" w:lineRule="auto" w:before="80"/>
        <w:ind w:left="117" w:right="212"/>
      </w:pPr>
      <w:r>
        <w:rPr/>
        <w:t>Manpower survey. But clear signs of weakening were apparent in manufacturing, from both the CBI and BCC surveys.</w:t>
      </w:r>
    </w:p>
    <w:p>
      <w:pPr>
        <w:pStyle w:val="BodyText"/>
        <w:spacing w:before="1"/>
        <w:rPr>
          <w:sz w:val="32"/>
        </w:rPr>
      </w:pPr>
    </w:p>
    <w:p>
      <w:pPr>
        <w:pStyle w:val="BodyText"/>
        <w:spacing w:line="321" w:lineRule="auto"/>
        <w:ind w:left="117" w:right="285"/>
      </w:pPr>
      <w:r>
        <w:rPr/>
        <w:t>A31 LFS unemployment fell by 52,000 in the three months to February, to 6.4%. That was smaller than the 129,000 fall in the three months to November and less than the average quarterly fall in the twelve months to February (80,000). So the pace of decline in LFS unemployment had fallen. The entire fall was due to fewer people unemployed for more than twelve months, which may be consistent with tightness in the labour market. Inactivity of people aged over 16 rose by 50,000 during the latest three months. Claimant unemployment fell by 6,400 in March, still at 4.9%. That was the smallest monthly fall for two years. And claimant unemployment fell by only 27,000 in 1998 Q1, compared with 76,000 in 1997 Q4.</w:t>
      </w:r>
    </w:p>
    <w:p>
      <w:pPr>
        <w:pStyle w:val="BodyText"/>
        <w:spacing w:before="11"/>
        <w:rPr>
          <w:sz w:val="31"/>
        </w:rPr>
      </w:pPr>
    </w:p>
    <w:p>
      <w:pPr>
        <w:pStyle w:val="BodyText"/>
        <w:spacing w:line="321" w:lineRule="auto"/>
        <w:ind w:left="117" w:right="199"/>
      </w:pPr>
      <w:r>
        <w:rPr/>
        <w:t>A32 Vacancies rose by 3,000 in March. The trend in recent months suggested that vacancies had stopped increasing, but this had been distorted by adjustments to allow for the over-count of vacancies. The best estimate of the underlying trend showed vacancies continuing to rise.</w:t>
      </w:r>
    </w:p>
    <w:p>
      <w:pPr>
        <w:pStyle w:val="BodyText"/>
        <w:spacing w:line="321" w:lineRule="auto"/>
        <w:ind w:left="117" w:right="525"/>
      </w:pPr>
      <w:r>
        <w:rPr/>
        <w:t>Notifications of new vacancies increased by 1,600 to 224,000. This was a similar rate to the level observed in 1997 H2, in contrast with the slowdown in the increase in unemployment during this period.</w:t>
      </w:r>
    </w:p>
    <w:p>
      <w:pPr>
        <w:pStyle w:val="BodyText"/>
        <w:rPr>
          <w:sz w:val="32"/>
        </w:rPr>
      </w:pPr>
    </w:p>
    <w:p>
      <w:pPr>
        <w:pStyle w:val="BodyText"/>
        <w:spacing w:line="321" w:lineRule="auto" w:before="1"/>
        <w:ind w:left="117" w:right="259"/>
      </w:pPr>
      <w:r>
        <w:rPr/>
        <w:t>A33 Some analysis was presented on the usefulness of the ratio of vacancies </w:t>
      </w:r>
      <w:r>
        <w:rPr>
          <w:spacing w:val="2"/>
        </w:rPr>
        <w:t>to </w:t>
      </w:r>
      <w:r>
        <w:rPr/>
        <w:t>unemployment as a measure</w:t>
      </w:r>
      <w:r>
        <w:rPr>
          <w:spacing w:val="-8"/>
        </w:rPr>
        <w:t> </w:t>
      </w:r>
      <w:r>
        <w:rPr/>
        <w:t>of</w:t>
      </w:r>
      <w:r>
        <w:rPr>
          <w:spacing w:val="-2"/>
        </w:rPr>
        <w:t> </w:t>
      </w:r>
      <w:r>
        <w:rPr/>
        <w:t>labour</w:t>
      </w:r>
      <w:r>
        <w:rPr>
          <w:spacing w:val="-7"/>
        </w:rPr>
        <w:t> </w:t>
      </w:r>
      <w:r>
        <w:rPr/>
        <w:t>market</w:t>
      </w:r>
      <w:r>
        <w:rPr>
          <w:spacing w:val="-3"/>
        </w:rPr>
        <w:t> </w:t>
      </w:r>
      <w:r>
        <w:rPr/>
        <w:t>tightness.</w:t>
      </w:r>
      <w:r>
        <w:rPr>
          <w:spacing w:val="46"/>
        </w:rPr>
        <w:t> </w:t>
      </w:r>
      <w:r>
        <w:rPr/>
        <w:t>This</w:t>
      </w:r>
      <w:r>
        <w:rPr>
          <w:spacing w:val="-6"/>
        </w:rPr>
        <w:t> </w:t>
      </w:r>
      <w:r>
        <w:rPr/>
        <w:t>ratio</w:t>
      </w:r>
      <w:r>
        <w:rPr>
          <w:spacing w:val="-5"/>
        </w:rPr>
        <w:t> </w:t>
      </w:r>
      <w:r>
        <w:rPr/>
        <w:t>was</w:t>
      </w:r>
      <w:r>
        <w:rPr>
          <w:spacing w:val="-7"/>
        </w:rPr>
        <w:t> </w:t>
      </w:r>
      <w:r>
        <w:rPr/>
        <w:t>higher</w:t>
      </w:r>
      <w:r>
        <w:rPr>
          <w:spacing w:val="-7"/>
        </w:rPr>
        <w:t> </w:t>
      </w:r>
      <w:r>
        <w:rPr/>
        <w:t>using</w:t>
      </w:r>
      <w:r>
        <w:rPr>
          <w:spacing w:val="-8"/>
        </w:rPr>
        <w:t> </w:t>
      </w:r>
      <w:r>
        <w:rPr/>
        <w:t>the</w:t>
      </w:r>
      <w:r>
        <w:rPr>
          <w:spacing w:val="-7"/>
        </w:rPr>
        <w:t> </w:t>
      </w:r>
      <w:r>
        <w:rPr/>
        <w:t>latest</w:t>
      </w:r>
      <w:r>
        <w:rPr>
          <w:spacing w:val="-2"/>
        </w:rPr>
        <w:t> </w:t>
      </w:r>
      <w:r>
        <w:rPr/>
        <w:t>data</w:t>
      </w:r>
      <w:r>
        <w:rPr>
          <w:spacing w:val="-7"/>
        </w:rPr>
        <w:t> </w:t>
      </w:r>
      <w:r>
        <w:rPr/>
        <w:t>than</w:t>
      </w:r>
      <w:r>
        <w:rPr>
          <w:spacing w:val="-8"/>
        </w:rPr>
        <w:t> </w:t>
      </w:r>
      <w:r>
        <w:rPr/>
        <w:t>during</w:t>
      </w:r>
      <w:r>
        <w:rPr>
          <w:spacing w:val="-7"/>
        </w:rPr>
        <w:t> </w:t>
      </w:r>
      <w:r>
        <w:rPr/>
        <w:t>the</w:t>
      </w:r>
      <w:r>
        <w:rPr>
          <w:spacing w:val="-7"/>
        </w:rPr>
        <w:t> </w:t>
      </w:r>
      <w:r>
        <w:rPr/>
        <w:t>1980s boom,</w:t>
      </w:r>
      <w:r>
        <w:rPr>
          <w:spacing w:val="-10"/>
        </w:rPr>
        <w:t> </w:t>
      </w:r>
      <w:r>
        <w:rPr/>
        <w:t>using</w:t>
      </w:r>
      <w:r>
        <w:rPr>
          <w:spacing w:val="-10"/>
        </w:rPr>
        <w:t> </w:t>
      </w:r>
      <w:r>
        <w:rPr/>
        <w:t>both</w:t>
      </w:r>
      <w:r>
        <w:rPr>
          <w:spacing w:val="-10"/>
        </w:rPr>
        <w:t> </w:t>
      </w:r>
      <w:r>
        <w:rPr/>
        <w:t>the</w:t>
      </w:r>
      <w:r>
        <w:rPr>
          <w:spacing w:val="-10"/>
        </w:rPr>
        <w:t> </w:t>
      </w:r>
      <w:r>
        <w:rPr/>
        <w:t>claimant</w:t>
      </w:r>
      <w:r>
        <w:rPr>
          <w:spacing w:val="-5"/>
        </w:rPr>
        <w:t> </w:t>
      </w:r>
      <w:r>
        <w:rPr/>
        <w:t>count</w:t>
      </w:r>
      <w:r>
        <w:rPr>
          <w:spacing w:val="-6"/>
        </w:rPr>
        <w:t> </w:t>
      </w:r>
      <w:r>
        <w:rPr/>
        <w:t>and</w:t>
      </w:r>
      <w:r>
        <w:rPr>
          <w:spacing w:val="-10"/>
        </w:rPr>
        <w:t> </w:t>
      </w:r>
      <w:r>
        <w:rPr/>
        <w:t>LFS</w:t>
      </w:r>
      <w:r>
        <w:rPr>
          <w:spacing w:val="-10"/>
        </w:rPr>
        <w:t> </w:t>
      </w:r>
      <w:r>
        <w:rPr/>
        <w:t>measures</w:t>
      </w:r>
      <w:r>
        <w:rPr>
          <w:spacing w:val="-10"/>
        </w:rPr>
        <w:t> </w:t>
      </w:r>
      <w:r>
        <w:rPr/>
        <w:t>of</w:t>
      </w:r>
      <w:r>
        <w:rPr>
          <w:spacing w:val="-5"/>
        </w:rPr>
        <w:t> </w:t>
      </w:r>
      <w:r>
        <w:rPr/>
        <w:t>unemployment.</w:t>
      </w:r>
      <w:r>
        <w:rPr>
          <w:spacing w:val="45"/>
        </w:rPr>
        <w:t> </w:t>
      </w:r>
      <w:r>
        <w:rPr/>
        <w:t>But</w:t>
      </w:r>
      <w:r>
        <w:rPr>
          <w:spacing w:val="-6"/>
        </w:rPr>
        <w:t> </w:t>
      </w:r>
      <w:r>
        <w:rPr/>
        <w:t>the</w:t>
      </w:r>
      <w:r>
        <w:rPr>
          <w:spacing w:val="-10"/>
        </w:rPr>
        <w:t> </w:t>
      </w:r>
      <w:r>
        <w:rPr/>
        <w:t>ratio</w:t>
      </w:r>
      <w:r>
        <w:rPr>
          <w:spacing w:val="-8"/>
        </w:rPr>
        <w:t> </w:t>
      </w:r>
      <w:r>
        <w:rPr/>
        <w:t>of</w:t>
      </w:r>
      <w:r>
        <w:rPr>
          <w:spacing w:val="-6"/>
        </w:rPr>
        <w:t> </w:t>
      </w:r>
      <w:r>
        <w:rPr/>
        <w:t>vacancies </w:t>
      </w:r>
      <w:r>
        <w:rPr>
          <w:spacing w:val="2"/>
        </w:rPr>
        <w:t>to</w:t>
      </w:r>
      <w:r>
        <w:rPr>
          <w:spacing w:val="-14"/>
        </w:rPr>
        <w:t> </w:t>
      </w:r>
      <w:r>
        <w:rPr/>
        <w:t>unemployment</w:t>
      </w:r>
      <w:r>
        <w:rPr>
          <w:spacing w:val="-13"/>
        </w:rPr>
        <w:t> </w:t>
      </w:r>
      <w:r>
        <w:rPr/>
        <w:t>may</w:t>
      </w:r>
      <w:r>
        <w:rPr>
          <w:spacing w:val="-17"/>
        </w:rPr>
        <w:t> </w:t>
      </w:r>
      <w:r>
        <w:rPr/>
        <w:t>rise</w:t>
      </w:r>
      <w:r>
        <w:rPr>
          <w:spacing w:val="-16"/>
        </w:rPr>
        <w:t> </w:t>
      </w:r>
      <w:r>
        <w:rPr/>
        <w:t>without</w:t>
      </w:r>
      <w:r>
        <w:rPr>
          <w:spacing w:val="-13"/>
        </w:rPr>
        <w:t> </w:t>
      </w:r>
      <w:r>
        <w:rPr/>
        <w:t>signifying</w:t>
      </w:r>
      <w:r>
        <w:rPr>
          <w:spacing w:val="-17"/>
        </w:rPr>
        <w:t> </w:t>
      </w:r>
      <w:r>
        <w:rPr/>
        <w:t>a</w:t>
      </w:r>
      <w:r>
        <w:rPr>
          <w:spacing w:val="-17"/>
        </w:rPr>
        <w:t> </w:t>
      </w:r>
      <w:r>
        <w:rPr/>
        <w:t>tightening</w:t>
      </w:r>
      <w:r>
        <w:rPr>
          <w:spacing w:val="-17"/>
        </w:rPr>
        <w:t> </w:t>
      </w:r>
      <w:r>
        <w:rPr/>
        <w:t>in</w:t>
      </w:r>
      <w:r>
        <w:rPr>
          <w:spacing w:val="-17"/>
        </w:rPr>
        <w:t> </w:t>
      </w:r>
      <w:r>
        <w:rPr/>
        <w:t>the</w:t>
      </w:r>
      <w:r>
        <w:rPr>
          <w:spacing w:val="-17"/>
        </w:rPr>
        <w:t> </w:t>
      </w:r>
      <w:r>
        <w:rPr/>
        <w:t>labour</w:t>
      </w:r>
      <w:r>
        <w:rPr>
          <w:spacing w:val="-17"/>
        </w:rPr>
        <w:t> </w:t>
      </w:r>
      <w:r>
        <w:rPr/>
        <w:t>market,</w:t>
      </w:r>
      <w:r>
        <w:rPr>
          <w:spacing w:val="-13"/>
        </w:rPr>
        <w:t> </w:t>
      </w:r>
      <w:r>
        <w:rPr/>
        <w:t>if</w:t>
      </w:r>
      <w:r>
        <w:rPr>
          <w:spacing w:val="-17"/>
        </w:rPr>
        <w:t> </w:t>
      </w:r>
      <w:r>
        <w:rPr/>
        <w:t>matching</w:t>
      </w:r>
      <w:r>
        <w:rPr>
          <w:spacing w:val="-17"/>
        </w:rPr>
        <w:t> </w:t>
      </w:r>
      <w:r>
        <w:rPr/>
        <w:t>vacancies and the unemployed becomes easier. Empirical evidence suggested that structural improvements in the labour market had increased the ratio, reducing the value of the indicator as a measure of labour market tightness. But this measure is based on the standard model which assumes that all of the unemployed can match with all of the vacant jobs. In practice, this may not be the case if the newly unemployed can search for the available vacancies quite quickly and fill vacancies that have been viewed and rejected by the existing unemployed workers. Newly created vacancies may be filled by any unemployed workers. New measures of tightness based on these ideas implied that the labour market</w:t>
      </w:r>
      <w:r>
        <w:rPr>
          <w:spacing w:val="-4"/>
        </w:rPr>
        <w:t> </w:t>
      </w:r>
      <w:r>
        <w:rPr/>
        <w:t>was</w:t>
      </w:r>
      <w:r>
        <w:rPr>
          <w:spacing w:val="-9"/>
        </w:rPr>
        <w:t> </w:t>
      </w:r>
      <w:r>
        <w:rPr/>
        <w:t>not</w:t>
      </w:r>
      <w:r>
        <w:rPr>
          <w:spacing w:val="-4"/>
        </w:rPr>
        <w:t> </w:t>
      </w:r>
      <w:r>
        <w:rPr/>
        <w:t>as</w:t>
      </w:r>
      <w:r>
        <w:rPr>
          <w:spacing w:val="-8"/>
        </w:rPr>
        <w:t> </w:t>
      </w:r>
      <w:r>
        <w:rPr/>
        <w:t>tight</w:t>
      </w:r>
      <w:r>
        <w:rPr>
          <w:spacing w:val="-4"/>
        </w:rPr>
        <w:t> </w:t>
      </w:r>
      <w:r>
        <w:rPr/>
        <w:t>as</w:t>
      </w:r>
      <w:r>
        <w:rPr>
          <w:spacing w:val="-8"/>
        </w:rPr>
        <w:t> </w:t>
      </w:r>
      <w:r>
        <w:rPr/>
        <w:t>the</w:t>
      </w:r>
      <w:r>
        <w:rPr>
          <w:spacing w:val="-8"/>
        </w:rPr>
        <w:t> </w:t>
      </w:r>
      <w:r>
        <w:rPr/>
        <w:t>simple</w:t>
      </w:r>
      <w:r>
        <w:rPr>
          <w:spacing w:val="-8"/>
        </w:rPr>
        <w:t> </w:t>
      </w:r>
      <w:r>
        <w:rPr/>
        <w:t>vacancies</w:t>
      </w:r>
      <w:r>
        <w:rPr>
          <w:spacing w:val="-8"/>
        </w:rPr>
        <w:t> </w:t>
      </w:r>
      <w:r>
        <w:rPr>
          <w:spacing w:val="2"/>
        </w:rPr>
        <w:t>to</w:t>
      </w:r>
      <w:r>
        <w:rPr>
          <w:spacing w:val="-4"/>
        </w:rPr>
        <w:t> </w:t>
      </w:r>
      <w:r>
        <w:rPr/>
        <w:t>unemployment</w:t>
      </w:r>
      <w:r>
        <w:rPr>
          <w:spacing w:val="-4"/>
        </w:rPr>
        <w:t> </w:t>
      </w:r>
      <w:r>
        <w:rPr/>
        <w:t>ratio</w:t>
      </w:r>
      <w:r>
        <w:rPr>
          <w:spacing w:val="-7"/>
        </w:rPr>
        <w:t> </w:t>
      </w:r>
      <w:r>
        <w:rPr/>
        <w:t>suggested,</w:t>
      </w:r>
      <w:r>
        <w:rPr>
          <w:spacing w:val="-8"/>
        </w:rPr>
        <w:t> </w:t>
      </w:r>
      <w:r>
        <w:rPr/>
        <w:t>but</w:t>
      </w:r>
      <w:r>
        <w:rPr>
          <w:spacing w:val="-4"/>
        </w:rPr>
        <w:t> </w:t>
      </w:r>
      <w:r>
        <w:rPr/>
        <w:t>they</w:t>
      </w:r>
      <w:r>
        <w:rPr>
          <w:spacing w:val="-8"/>
        </w:rPr>
        <w:t> </w:t>
      </w:r>
      <w:r>
        <w:rPr/>
        <w:t>appeared </w:t>
      </w:r>
      <w:r>
        <w:rPr>
          <w:spacing w:val="2"/>
        </w:rPr>
        <w:t>to </w:t>
      </w:r>
      <w:r>
        <w:rPr/>
        <w:t>be less affected by structural improvements in the labour market. On balance, the indicators suggested that the labour market was as tight as during the 1980s</w:t>
      </w:r>
      <w:r>
        <w:rPr>
          <w:spacing w:val="18"/>
        </w:rPr>
        <w:t> </w:t>
      </w:r>
      <w:r>
        <w:rPr/>
        <w:t>boom.</w:t>
      </w:r>
    </w:p>
    <w:p>
      <w:pPr>
        <w:pStyle w:val="BodyText"/>
        <w:spacing w:before="10"/>
        <w:rPr>
          <w:sz w:val="31"/>
        </w:rPr>
      </w:pPr>
    </w:p>
    <w:p>
      <w:pPr>
        <w:pStyle w:val="BodyText"/>
        <w:spacing w:line="321" w:lineRule="auto"/>
        <w:ind w:left="117" w:right="327"/>
      </w:pPr>
      <w:r>
        <w:rPr/>
        <w:t>A34 Other indicators suggest a different picture. Skill shortages in the manufacturing sector were lower than during the 1980s boom, according to the CBI. The balance edged up from +14 to +15 in March. But the balance of firms constrained by a shortage of unskilled labour fell from +5 to +2, though recruitment difficulties were as high as the late 1980s level, according to the BCC survey.</w:t>
      </w:r>
    </w:p>
    <w:p>
      <w:pPr>
        <w:spacing w:after="0" w:line="321" w:lineRule="auto"/>
        <w:sectPr>
          <w:pgSz w:w="11900" w:h="16840"/>
          <w:pgMar w:header="867" w:footer="0" w:top="1320" w:bottom="280" w:left="1020" w:right="880"/>
        </w:sectPr>
      </w:pPr>
    </w:p>
    <w:p>
      <w:pPr>
        <w:pStyle w:val="BodyText"/>
        <w:spacing w:line="321" w:lineRule="auto" w:before="80"/>
        <w:ind w:left="117" w:right="521"/>
      </w:pPr>
      <w:r>
        <w:rPr/>
        <w:t>Reported</w:t>
      </w:r>
      <w:r>
        <w:rPr>
          <w:spacing w:val="-13"/>
        </w:rPr>
        <w:t> </w:t>
      </w:r>
      <w:r>
        <w:rPr/>
        <w:t>difficulties</w:t>
      </w:r>
      <w:r>
        <w:rPr>
          <w:spacing w:val="-13"/>
        </w:rPr>
        <w:t> </w:t>
      </w:r>
      <w:r>
        <w:rPr/>
        <w:t>may</w:t>
      </w:r>
      <w:r>
        <w:rPr>
          <w:spacing w:val="-12"/>
        </w:rPr>
        <w:t> </w:t>
      </w:r>
      <w:r>
        <w:rPr/>
        <w:t>be</w:t>
      </w:r>
      <w:r>
        <w:rPr>
          <w:spacing w:val="-13"/>
        </w:rPr>
        <w:t> </w:t>
      </w:r>
      <w:r>
        <w:rPr/>
        <w:t>peaking</w:t>
      </w:r>
      <w:r>
        <w:rPr>
          <w:spacing w:val="-13"/>
        </w:rPr>
        <w:t> </w:t>
      </w:r>
      <w:r>
        <w:rPr/>
        <w:t>in</w:t>
      </w:r>
      <w:r>
        <w:rPr>
          <w:spacing w:val="-12"/>
        </w:rPr>
        <w:t> </w:t>
      </w:r>
      <w:r>
        <w:rPr/>
        <w:t>the</w:t>
      </w:r>
      <w:r>
        <w:rPr>
          <w:spacing w:val="-13"/>
        </w:rPr>
        <w:t> </w:t>
      </w:r>
      <w:r>
        <w:rPr/>
        <w:t>manufacturing</w:t>
      </w:r>
      <w:r>
        <w:rPr>
          <w:spacing w:val="-13"/>
        </w:rPr>
        <w:t> </w:t>
      </w:r>
      <w:r>
        <w:rPr>
          <w:spacing w:val="2"/>
        </w:rPr>
        <w:t>sector,</w:t>
      </w:r>
      <w:r>
        <w:rPr>
          <w:spacing w:val="-9"/>
        </w:rPr>
        <w:t> </w:t>
      </w:r>
      <w:r>
        <w:rPr/>
        <w:t>but</w:t>
      </w:r>
      <w:r>
        <w:rPr>
          <w:spacing w:val="-9"/>
        </w:rPr>
        <w:t> </w:t>
      </w:r>
      <w:r>
        <w:rPr/>
        <w:t>strong</w:t>
      </w:r>
      <w:r>
        <w:rPr>
          <w:spacing w:val="-12"/>
        </w:rPr>
        <w:t> </w:t>
      </w:r>
      <w:r>
        <w:rPr/>
        <w:t>demand</w:t>
      </w:r>
      <w:r>
        <w:rPr>
          <w:spacing w:val="-13"/>
        </w:rPr>
        <w:t> </w:t>
      </w:r>
      <w:r>
        <w:rPr/>
        <w:t>in</w:t>
      </w:r>
      <w:r>
        <w:rPr>
          <w:spacing w:val="-12"/>
        </w:rPr>
        <w:t> </w:t>
      </w:r>
      <w:r>
        <w:rPr/>
        <w:t>the</w:t>
      </w:r>
      <w:r>
        <w:rPr>
          <w:spacing w:val="-13"/>
        </w:rPr>
        <w:t> </w:t>
      </w:r>
      <w:r>
        <w:rPr/>
        <w:t>service sector had led </w:t>
      </w:r>
      <w:r>
        <w:rPr>
          <w:spacing w:val="2"/>
        </w:rPr>
        <w:t>to </w:t>
      </w:r>
      <w:r>
        <w:rPr/>
        <w:t>a further rise in the rate in the past three</w:t>
      </w:r>
      <w:r>
        <w:rPr>
          <w:spacing w:val="24"/>
        </w:rPr>
        <w:t> </w:t>
      </w:r>
      <w:r>
        <w:rPr/>
        <w:t>months.</w:t>
      </w:r>
    </w:p>
    <w:p>
      <w:pPr>
        <w:pStyle w:val="BodyText"/>
        <w:spacing w:before="1"/>
        <w:rPr>
          <w:sz w:val="32"/>
        </w:rPr>
      </w:pPr>
    </w:p>
    <w:p>
      <w:pPr>
        <w:pStyle w:val="BodyText"/>
        <w:spacing w:line="321" w:lineRule="auto"/>
        <w:ind w:left="117" w:right="189"/>
      </w:pPr>
      <w:r>
        <w:rPr/>
        <w:t>A35 Headline underlying earnings growth remained at 4.5% in January, although growth in the service sector rose to 4.8% from 4.6% in December. Growth in the manufacturing sector remained at 4.6%, while production sector growth continued at 4.2% because of the weak contribution from utilities and mining. The more volatile monthly twelve-month growth rate for the whole economy increased from 4.3 to 4.8% in February. Headline private sector earnings growth, published for the first time this month, rose to the highest level since August 1992 (5.2%). Earnings growth remained high in the financial intermediation sector, though this was probably distorted by high bonuses. This contrasted with subdued growth in the public sector, unchanged at 2.4%. The seasonally unadjusted twelve-month growth rate in education, health and social work was only 1.3% in February.</w:t>
      </w:r>
    </w:p>
    <w:p>
      <w:pPr>
        <w:pStyle w:val="BodyText"/>
        <w:spacing w:line="321" w:lineRule="auto"/>
        <w:ind w:left="117" w:right="199"/>
      </w:pPr>
      <w:r>
        <w:rPr/>
        <w:t>Productivity growth per workforce job in the year to 1997 Q4 was revised up to 1.5%, from 1.3%. This caused a downward revision in unit wage costs, which were up by 3.6% in 1997 Q4.</w:t>
      </w:r>
    </w:p>
    <w:p>
      <w:pPr>
        <w:pStyle w:val="BodyText"/>
        <w:spacing w:before="10"/>
        <w:rPr>
          <w:sz w:val="31"/>
        </w:rPr>
      </w:pPr>
    </w:p>
    <w:p>
      <w:pPr>
        <w:pStyle w:val="BodyText"/>
        <w:spacing w:line="321" w:lineRule="auto" w:before="1"/>
        <w:ind w:left="117" w:right="895"/>
        <w:jc w:val="both"/>
      </w:pPr>
      <w:r>
        <w:rPr/>
        <w:t>A36</w:t>
      </w:r>
      <w:r>
        <w:rPr>
          <w:spacing w:val="10"/>
        </w:rPr>
        <w:t> </w:t>
      </w:r>
      <w:r>
        <w:rPr/>
        <w:t>There</w:t>
      </w:r>
      <w:r>
        <w:rPr>
          <w:spacing w:val="-7"/>
        </w:rPr>
        <w:t> </w:t>
      </w:r>
      <w:r>
        <w:rPr/>
        <w:t>was</w:t>
      </w:r>
      <w:r>
        <w:rPr>
          <w:spacing w:val="-9"/>
        </w:rPr>
        <w:t> </w:t>
      </w:r>
      <w:r>
        <w:rPr/>
        <w:t>relatively</w:t>
      </w:r>
      <w:r>
        <w:rPr>
          <w:spacing w:val="-7"/>
        </w:rPr>
        <w:t> </w:t>
      </w:r>
      <w:r>
        <w:rPr/>
        <w:t>little</w:t>
      </w:r>
      <w:r>
        <w:rPr>
          <w:spacing w:val="-9"/>
        </w:rPr>
        <w:t> </w:t>
      </w:r>
      <w:r>
        <w:rPr/>
        <w:t>change</w:t>
      </w:r>
      <w:r>
        <w:rPr>
          <w:spacing w:val="-9"/>
        </w:rPr>
        <w:t> </w:t>
      </w:r>
      <w:r>
        <w:rPr/>
        <w:t>in</w:t>
      </w:r>
      <w:r>
        <w:rPr>
          <w:spacing w:val="-9"/>
        </w:rPr>
        <w:t> </w:t>
      </w:r>
      <w:r>
        <w:rPr/>
        <w:t>the</w:t>
      </w:r>
      <w:r>
        <w:rPr>
          <w:spacing w:val="-9"/>
        </w:rPr>
        <w:t> </w:t>
      </w:r>
      <w:r>
        <w:rPr>
          <w:spacing w:val="-6"/>
        </w:rPr>
        <w:t>Bank’s</w:t>
      </w:r>
      <w:r>
        <w:rPr>
          <w:spacing w:val="-9"/>
        </w:rPr>
        <w:t> </w:t>
      </w:r>
      <w:r>
        <w:rPr/>
        <w:t>measures</w:t>
      </w:r>
      <w:r>
        <w:rPr>
          <w:spacing w:val="-9"/>
        </w:rPr>
        <w:t> </w:t>
      </w:r>
      <w:r>
        <w:rPr/>
        <w:t>of</w:t>
      </w:r>
      <w:r>
        <w:rPr>
          <w:spacing w:val="-4"/>
        </w:rPr>
        <w:t> </w:t>
      </w:r>
      <w:r>
        <w:rPr/>
        <w:t>wage</w:t>
      </w:r>
      <w:r>
        <w:rPr>
          <w:spacing w:val="-9"/>
        </w:rPr>
        <w:t> </w:t>
      </w:r>
      <w:r>
        <w:rPr/>
        <w:t>settlements,</w:t>
      </w:r>
      <w:r>
        <w:rPr>
          <w:spacing w:val="-9"/>
        </w:rPr>
        <w:t> </w:t>
      </w:r>
      <w:r>
        <w:rPr/>
        <w:t>which</w:t>
      </w:r>
      <w:r>
        <w:rPr>
          <w:spacing w:val="-9"/>
        </w:rPr>
        <w:t> </w:t>
      </w:r>
      <w:r>
        <w:rPr/>
        <w:t>had stabilised at around ½-¾ percentage point higher than a year ago. The</w:t>
      </w:r>
      <w:r>
        <w:rPr>
          <w:spacing w:val="-13"/>
        </w:rPr>
        <w:t> </w:t>
      </w:r>
      <w:r>
        <w:rPr>
          <w:spacing w:val="2"/>
        </w:rPr>
        <w:t>three-month</w:t>
      </w:r>
    </w:p>
    <w:p>
      <w:pPr>
        <w:pStyle w:val="BodyText"/>
        <w:spacing w:line="321" w:lineRule="auto"/>
        <w:ind w:left="117" w:right="326"/>
        <w:jc w:val="both"/>
      </w:pPr>
      <w:r>
        <w:rPr/>
        <w:t>employment-weighted</w:t>
      </w:r>
      <w:r>
        <w:rPr>
          <w:spacing w:val="-8"/>
        </w:rPr>
        <w:t> </w:t>
      </w:r>
      <w:r>
        <w:rPr/>
        <w:t>median</w:t>
      </w:r>
      <w:r>
        <w:rPr>
          <w:spacing w:val="-9"/>
        </w:rPr>
        <w:t> </w:t>
      </w:r>
      <w:r>
        <w:rPr/>
        <w:t>remained</w:t>
      </w:r>
      <w:r>
        <w:rPr>
          <w:spacing w:val="-7"/>
        </w:rPr>
        <w:t> </w:t>
      </w:r>
      <w:r>
        <w:rPr/>
        <w:t>unchanged</w:t>
      </w:r>
      <w:r>
        <w:rPr>
          <w:spacing w:val="-9"/>
        </w:rPr>
        <w:t> </w:t>
      </w:r>
      <w:r>
        <w:rPr/>
        <w:t>at</w:t>
      </w:r>
      <w:r>
        <w:rPr>
          <w:spacing w:val="-4"/>
        </w:rPr>
        <w:t> </w:t>
      </w:r>
      <w:r>
        <w:rPr/>
        <w:t>3.6%</w:t>
      </w:r>
      <w:r>
        <w:rPr>
          <w:spacing w:val="-9"/>
        </w:rPr>
        <w:t> </w:t>
      </w:r>
      <w:r>
        <w:rPr/>
        <w:t>in</w:t>
      </w:r>
      <w:r>
        <w:rPr>
          <w:spacing w:val="-9"/>
        </w:rPr>
        <w:t> </w:t>
      </w:r>
      <w:r>
        <w:rPr/>
        <w:t>March,</w:t>
      </w:r>
      <w:r>
        <w:rPr>
          <w:spacing w:val="-9"/>
        </w:rPr>
        <w:t> </w:t>
      </w:r>
      <w:r>
        <w:rPr/>
        <w:t>and</w:t>
      </w:r>
      <w:r>
        <w:rPr>
          <w:spacing w:val="-9"/>
        </w:rPr>
        <w:t> </w:t>
      </w:r>
      <w:r>
        <w:rPr/>
        <w:t>the</w:t>
      </w:r>
      <w:r>
        <w:rPr>
          <w:spacing w:val="-9"/>
        </w:rPr>
        <w:t> </w:t>
      </w:r>
      <w:r>
        <w:rPr/>
        <w:t>mean</w:t>
      </w:r>
      <w:r>
        <w:rPr>
          <w:spacing w:val="-9"/>
        </w:rPr>
        <w:t> </w:t>
      </w:r>
      <w:r>
        <w:rPr/>
        <w:t>was</w:t>
      </w:r>
      <w:r>
        <w:rPr>
          <w:spacing w:val="-9"/>
        </w:rPr>
        <w:t> </w:t>
      </w:r>
      <w:r>
        <w:rPr/>
        <w:t>4%.</w:t>
      </w:r>
      <w:r>
        <w:rPr>
          <w:spacing w:val="43"/>
        </w:rPr>
        <w:t> </w:t>
      </w:r>
      <w:r>
        <w:rPr/>
        <w:t>There were</w:t>
      </w:r>
      <w:r>
        <w:rPr>
          <w:spacing w:val="-13"/>
        </w:rPr>
        <w:t> </w:t>
      </w:r>
      <w:r>
        <w:rPr/>
        <w:t>tentative</w:t>
      </w:r>
      <w:r>
        <w:rPr>
          <w:spacing w:val="-13"/>
        </w:rPr>
        <w:t> </w:t>
      </w:r>
      <w:r>
        <w:rPr/>
        <w:t>signs</w:t>
      </w:r>
      <w:r>
        <w:rPr>
          <w:spacing w:val="-13"/>
        </w:rPr>
        <w:t> </w:t>
      </w:r>
      <w:r>
        <w:rPr/>
        <w:t>that</w:t>
      </w:r>
      <w:r>
        <w:rPr>
          <w:spacing w:val="-9"/>
        </w:rPr>
        <w:t> </w:t>
      </w:r>
      <w:r>
        <w:rPr/>
        <w:t>some</w:t>
      </w:r>
      <w:r>
        <w:rPr>
          <w:spacing w:val="-13"/>
        </w:rPr>
        <w:t> </w:t>
      </w:r>
      <w:r>
        <w:rPr/>
        <w:t>manufacturing</w:t>
      </w:r>
      <w:r>
        <w:rPr>
          <w:spacing w:val="-13"/>
        </w:rPr>
        <w:t> </w:t>
      </w:r>
      <w:r>
        <w:rPr/>
        <w:t>firms</w:t>
      </w:r>
      <w:r>
        <w:rPr>
          <w:spacing w:val="-12"/>
        </w:rPr>
        <w:t> </w:t>
      </w:r>
      <w:r>
        <w:rPr/>
        <w:t>were</w:t>
      </w:r>
      <w:r>
        <w:rPr>
          <w:spacing w:val="-13"/>
        </w:rPr>
        <w:t> </w:t>
      </w:r>
      <w:r>
        <w:rPr/>
        <w:t>achieving</w:t>
      </w:r>
      <w:r>
        <w:rPr>
          <w:spacing w:val="-13"/>
        </w:rPr>
        <w:t> </w:t>
      </w:r>
      <w:r>
        <w:rPr/>
        <w:t>lower</w:t>
      </w:r>
      <w:r>
        <w:rPr>
          <w:spacing w:val="-13"/>
        </w:rPr>
        <w:t> </w:t>
      </w:r>
      <w:r>
        <w:rPr/>
        <w:t>settlements,</w:t>
      </w:r>
      <w:r>
        <w:rPr>
          <w:spacing w:val="-13"/>
        </w:rPr>
        <w:t> </w:t>
      </w:r>
      <w:r>
        <w:rPr/>
        <w:t>but</w:t>
      </w:r>
      <w:r>
        <w:rPr>
          <w:spacing w:val="-9"/>
        </w:rPr>
        <w:t> </w:t>
      </w:r>
      <w:r>
        <w:rPr/>
        <w:t>these</w:t>
      </w:r>
      <w:r>
        <w:rPr>
          <w:spacing w:val="-12"/>
        </w:rPr>
        <w:t> </w:t>
      </w:r>
      <w:r>
        <w:rPr/>
        <w:t>were insufficient </w:t>
      </w:r>
      <w:r>
        <w:rPr>
          <w:spacing w:val="2"/>
        </w:rPr>
        <w:t>to </w:t>
      </w:r>
      <w:r>
        <w:rPr/>
        <w:t>affect the aggregate</w:t>
      </w:r>
      <w:r>
        <w:rPr>
          <w:spacing w:val="17"/>
        </w:rPr>
        <w:t> </w:t>
      </w:r>
      <w:r>
        <w:rPr/>
        <w:t>measures.</w:t>
      </w:r>
    </w:p>
    <w:p>
      <w:pPr>
        <w:pStyle w:val="BodyText"/>
        <w:rPr>
          <w:sz w:val="32"/>
        </w:rPr>
      </w:pPr>
    </w:p>
    <w:p>
      <w:pPr>
        <w:pStyle w:val="ListParagraph"/>
        <w:numPr>
          <w:ilvl w:val="0"/>
          <w:numId w:val="2"/>
        </w:numPr>
        <w:tabs>
          <w:tab w:pos="838" w:val="left" w:leader="none"/>
        </w:tabs>
        <w:spacing w:line="240" w:lineRule="auto" w:before="0" w:after="0"/>
        <w:ind w:left="837" w:right="0" w:hanging="721"/>
        <w:jc w:val="both"/>
        <w:rPr>
          <w:sz w:val="24"/>
        </w:rPr>
      </w:pPr>
      <w:r>
        <w:rPr>
          <w:sz w:val="24"/>
          <w:u w:val="single"/>
        </w:rPr>
        <w:t>Prices</w:t>
      </w:r>
    </w:p>
    <w:p>
      <w:pPr>
        <w:pStyle w:val="BodyText"/>
        <w:rPr>
          <w:sz w:val="20"/>
        </w:rPr>
      </w:pPr>
    </w:p>
    <w:p>
      <w:pPr>
        <w:pStyle w:val="BodyText"/>
        <w:spacing w:line="321" w:lineRule="auto" w:before="233"/>
        <w:ind w:left="117"/>
      </w:pPr>
      <w:r>
        <w:rPr/>
        <w:t>A37</w:t>
      </w:r>
      <w:r>
        <w:rPr>
          <w:spacing w:val="1"/>
        </w:rPr>
        <w:t> </w:t>
      </w:r>
      <w:r>
        <w:rPr/>
        <w:t>Commodity</w:t>
      </w:r>
      <w:r>
        <w:rPr>
          <w:spacing w:val="-12"/>
        </w:rPr>
        <w:t> </w:t>
      </w:r>
      <w:r>
        <w:rPr/>
        <w:t>and</w:t>
      </w:r>
      <w:r>
        <w:rPr>
          <w:spacing w:val="-13"/>
        </w:rPr>
        <w:t> </w:t>
      </w:r>
      <w:r>
        <w:rPr/>
        <w:t>manufacturers’</w:t>
      </w:r>
      <w:r>
        <w:rPr>
          <w:spacing w:val="-35"/>
        </w:rPr>
        <w:t> </w:t>
      </w:r>
      <w:r>
        <w:rPr/>
        <w:t>input</w:t>
      </w:r>
      <w:r>
        <w:rPr>
          <w:spacing w:val="-8"/>
        </w:rPr>
        <w:t> </w:t>
      </w:r>
      <w:r>
        <w:rPr/>
        <w:t>prices</w:t>
      </w:r>
      <w:r>
        <w:rPr>
          <w:spacing w:val="-13"/>
        </w:rPr>
        <w:t> </w:t>
      </w:r>
      <w:r>
        <w:rPr/>
        <w:t>continued</w:t>
      </w:r>
      <w:r>
        <w:rPr>
          <w:spacing w:val="-12"/>
        </w:rPr>
        <w:t> </w:t>
      </w:r>
      <w:r>
        <w:rPr>
          <w:spacing w:val="2"/>
        </w:rPr>
        <w:t>to</w:t>
      </w:r>
      <w:r>
        <w:rPr>
          <w:spacing w:val="-9"/>
        </w:rPr>
        <w:t> </w:t>
      </w:r>
      <w:r>
        <w:rPr/>
        <w:t>fall</w:t>
      </w:r>
      <w:r>
        <w:rPr>
          <w:spacing w:val="-12"/>
        </w:rPr>
        <w:t> </w:t>
      </w:r>
      <w:r>
        <w:rPr/>
        <w:t>in</w:t>
      </w:r>
      <w:r>
        <w:rPr>
          <w:spacing w:val="-12"/>
        </w:rPr>
        <w:t> </w:t>
      </w:r>
      <w:r>
        <w:rPr/>
        <w:t>March.</w:t>
      </w:r>
      <w:r>
        <w:rPr>
          <w:spacing w:val="-13"/>
        </w:rPr>
        <w:t> </w:t>
      </w:r>
      <w:r>
        <w:rPr/>
        <w:t>The</w:t>
      </w:r>
      <w:r>
        <w:rPr>
          <w:spacing w:val="-10"/>
        </w:rPr>
        <w:t> </w:t>
      </w:r>
      <w:r>
        <w:rPr>
          <w:spacing w:val="-6"/>
        </w:rPr>
        <w:t>Bank’s</w:t>
      </w:r>
      <w:r>
        <w:rPr>
          <w:spacing w:val="-13"/>
        </w:rPr>
        <w:t> </w:t>
      </w:r>
      <w:r>
        <w:rPr/>
        <w:t>commodity price</w:t>
      </w:r>
      <w:r>
        <w:rPr>
          <w:spacing w:val="-7"/>
        </w:rPr>
        <w:t> </w:t>
      </w:r>
      <w:r>
        <w:rPr/>
        <w:t>index</w:t>
      </w:r>
      <w:r>
        <w:rPr>
          <w:spacing w:val="-7"/>
        </w:rPr>
        <w:t> </w:t>
      </w:r>
      <w:r>
        <w:rPr/>
        <w:t>fell</w:t>
      </w:r>
      <w:r>
        <w:rPr>
          <w:spacing w:val="-7"/>
        </w:rPr>
        <w:t> </w:t>
      </w:r>
      <w:r>
        <w:rPr/>
        <w:t>by</w:t>
      </w:r>
      <w:r>
        <w:rPr>
          <w:spacing w:val="-7"/>
        </w:rPr>
        <w:t> </w:t>
      </w:r>
      <w:r>
        <w:rPr/>
        <w:t>1.3%</w:t>
      </w:r>
      <w:r>
        <w:rPr>
          <w:spacing w:val="-6"/>
        </w:rPr>
        <w:t> </w:t>
      </w:r>
      <w:r>
        <w:rPr/>
        <w:t>during</w:t>
      </w:r>
      <w:r>
        <w:rPr>
          <w:spacing w:val="-7"/>
        </w:rPr>
        <w:t> </w:t>
      </w:r>
      <w:r>
        <w:rPr/>
        <w:t>the</w:t>
      </w:r>
      <w:r>
        <w:rPr>
          <w:spacing w:val="-7"/>
        </w:rPr>
        <w:t> </w:t>
      </w:r>
      <w:r>
        <w:rPr/>
        <w:t>month.</w:t>
      </w:r>
      <w:r>
        <w:rPr>
          <w:spacing w:val="47"/>
        </w:rPr>
        <w:t> </w:t>
      </w:r>
      <w:r>
        <w:rPr/>
        <w:t>This</w:t>
      </w:r>
      <w:r>
        <w:rPr>
          <w:spacing w:val="-5"/>
        </w:rPr>
        <w:t> </w:t>
      </w:r>
      <w:r>
        <w:rPr/>
        <w:t>mainly</w:t>
      </w:r>
      <w:r>
        <w:rPr>
          <w:spacing w:val="-7"/>
        </w:rPr>
        <w:t> </w:t>
      </w:r>
      <w:r>
        <w:rPr/>
        <w:t>reflected</w:t>
      </w:r>
      <w:r>
        <w:rPr>
          <w:spacing w:val="-5"/>
        </w:rPr>
        <w:t> </w:t>
      </w:r>
      <w:r>
        <w:rPr/>
        <w:t>the</w:t>
      </w:r>
      <w:r>
        <w:rPr>
          <w:spacing w:val="-7"/>
        </w:rPr>
        <w:t> </w:t>
      </w:r>
      <w:r>
        <w:rPr/>
        <w:t>sharp</w:t>
      </w:r>
      <w:r>
        <w:rPr>
          <w:spacing w:val="-7"/>
        </w:rPr>
        <w:t> </w:t>
      </w:r>
      <w:r>
        <w:rPr/>
        <w:t>fall</w:t>
      </w:r>
      <w:r>
        <w:rPr>
          <w:spacing w:val="-7"/>
        </w:rPr>
        <w:t> </w:t>
      </w:r>
      <w:r>
        <w:rPr/>
        <w:t>in</w:t>
      </w:r>
      <w:r>
        <w:rPr>
          <w:spacing w:val="-6"/>
        </w:rPr>
        <w:t> </w:t>
      </w:r>
      <w:r>
        <w:rPr/>
        <w:t>the</w:t>
      </w:r>
      <w:r>
        <w:rPr>
          <w:spacing w:val="-7"/>
        </w:rPr>
        <w:t> </w:t>
      </w:r>
      <w:r>
        <w:rPr>
          <w:spacing w:val="2"/>
        </w:rPr>
        <w:t>oil</w:t>
      </w:r>
      <w:r>
        <w:rPr>
          <w:spacing w:val="-3"/>
        </w:rPr>
        <w:t> </w:t>
      </w:r>
      <w:r>
        <w:rPr/>
        <w:t>price.</w:t>
      </w:r>
    </w:p>
    <w:p>
      <w:pPr>
        <w:pStyle w:val="BodyText"/>
        <w:spacing w:line="321" w:lineRule="auto"/>
        <w:ind w:left="117" w:right="204"/>
      </w:pPr>
      <w:r>
        <w:rPr/>
        <w:t>Commodity prices excluding </w:t>
      </w:r>
      <w:r>
        <w:rPr>
          <w:spacing w:val="2"/>
        </w:rPr>
        <w:t>oil </w:t>
      </w:r>
      <w:r>
        <w:rPr/>
        <w:t>fell by 0.1% during the month. Metal prices were flat, having fallen in</w:t>
      </w:r>
      <w:r>
        <w:rPr>
          <w:spacing w:val="-11"/>
        </w:rPr>
        <w:t> </w:t>
      </w:r>
      <w:r>
        <w:rPr/>
        <w:t>each</w:t>
      </w:r>
      <w:r>
        <w:rPr>
          <w:spacing w:val="-11"/>
        </w:rPr>
        <w:t> </w:t>
      </w:r>
      <w:r>
        <w:rPr/>
        <w:t>month</w:t>
      </w:r>
      <w:r>
        <w:rPr>
          <w:spacing w:val="-11"/>
        </w:rPr>
        <w:t> </w:t>
      </w:r>
      <w:r>
        <w:rPr/>
        <w:t>since</w:t>
      </w:r>
      <w:r>
        <w:rPr>
          <w:spacing w:val="-11"/>
        </w:rPr>
        <w:t> </w:t>
      </w:r>
      <w:r>
        <w:rPr/>
        <w:t>September</w:t>
      </w:r>
      <w:r>
        <w:rPr>
          <w:spacing w:val="-10"/>
        </w:rPr>
        <w:t> </w:t>
      </w:r>
      <w:r>
        <w:rPr/>
        <w:t>last</w:t>
      </w:r>
      <w:r>
        <w:rPr>
          <w:spacing w:val="-7"/>
        </w:rPr>
        <w:t> </w:t>
      </w:r>
      <w:r>
        <w:rPr/>
        <w:t>year.</w:t>
      </w:r>
      <w:r>
        <w:rPr>
          <w:spacing w:val="38"/>
        </w:rPr>
        <w:t> </w:t>
      </w:r>
      <w:r>
        <w:rPr/>
        <w:t>The</w:t>
      </w:r>
      <w:r>
        <w:rPr>
          <w:spacing w:val="-9"/>
        </w:rPr>
        <w:t> </w:t>
      </w:r>
      <w:r>
        <w:rPr/>
        <w:t>annual</w:t>
      </w:r>
      <w:r>
        <w:rPr>
          <w:spacing w:val="-11"/>
        </w:rPr>
        <w:t> </w:t>
      </w:r>
      <w:r>
        <w:rPr/>
        <w:t>rate</w:t>
      </w:r>
      <w:r>
        <w:rPr>
          <w:spacing w:val="-10"/>
        </w:rPr>
        <w:t> </w:t>
      </w:r>
      <w:r>
        <w:rPr/>
        <w:t>of</w:t>
      </w:r>
      <w:r>
        <w:rPr>
          <w:spacing w:val="-7"/>
        </w:rPr>
        <w:t> </w:t>
      </w:r>
      <w:r>
        <w:rPr/>
        <w:t>deflation</w:t>
      </w:r>
      <w:r>
        <w:rPr>
          <w:spacing w:val="-11"/>
        </w:rPr>
        <w:t> </w:t>
      </w:r>
      <w:r>
        <w:rPr/>
        <w:t>in</w:t>
      </w:r>
      <w:r>
        <w:rPr>
          <w:spacing w:val="-11"/>
        </w:rPr>
        <w:t> </w:t>
      </w:r>
      <w:r>
        <w:rPr/>
        <w:t>commodity</w:t>
      </w:r>
      <w:r>
        <w:rPr>
          <w:spacing w:val="-10"/>
        </w:rPr>
        <w:t> </w:t>
      </w:r>
      <w:r>
        <w:rPr/>
        <w:t>prices</w:t>
      </w:r>
      <w:r>
        <w:rPr>
          <w:spacing w:val="-11"/>
        </w:rPr>
        <w:t> </w:t>
      </w:r>
      <w:r>
        <w:rPr/>
        <w:t>in</w:t>
      </w:r>
      <w:r>
        <w:rPr>
          <w:spacing w:val="-11"/>
        </w:rPr>
        <w:t> </w:t>
      </w:r>
      <w:r>
        <w:rPr/>
        <w:t>the</w:t>
      </w:r>
      <w:r>
        <w:rPr>
          <w:spacing w:val="-11"/>
        </w:rPr>
        <w:t> </w:t>
      </w:r>
      <w:r>
        <w:rPr/>
        <w:t>first quarter of 1998 - at 13.7% - was the largest ever recorded by the </w:t>
      </w:r>
      <w:r>
        <w:rPr>
          <w:spacing w:val="-6"/>
        </w:rPr>
        <w:t>Bank’s </w:t>
      </w:r>
      <w:r>
        <w:rPr/>
        <w:t>series (which began in 1986). The fall in the </w:t>
      </w:r>
      <w:r>
        <w:rPr>
          <w:spacing w:val="2"/>
        </w:rPr>
        <w:t>oil </w:t>
      </w:r>
      <w:r>
        <w:rPr/>
        <w:t>price had also contributed </w:t>
      </w:r>
      <w:r>
        <w:rPr>
          <w:spacing w:val="2"/>
        </w:rPr>
        <w:t>to </w:t>
      </w:r>
      <w:r>
        <w:rPr/>
        <w:t>a 1% fall in manufacturers’ input prices in March, keeping the annual rate of deflation at around 10%. The price of some imported material prices</w:t>
      </w:r>
      <w:r>
        <w:rPr>
          <w:spacing w:val="-14"/>
        </w:rPr>
        <w:t> </w:t>
      </w:r>
      <w:r>
        <w:rPr/>
        <w:t>had</w:t>
      </w:r>
      <w:r>
        <w:rPr>
          <w:spacing w:val="-13"/>
        </w:rPr>
        <w:t> </w:t>
      </w:r>
      <w:r>
        <w:rPr/>
        <w:t>also</w:t>
      </w:r>
      <w:r>
        <w:rPr>
          <w:spacing w:val="-14"/>
        </w:rPr>
        <w:t> </w:t>
      </w:r>
      <w:r>
        <w:rPr/>
        <w:t>fallen</w:t>
      </w:r>
      <w:r>
        <w:rPr>
          <w:spacing w:val="-13"/>
        </w:rPr>
        <w:t> </w:t>
      </w:r>
      <w:r>
        <w:rPr/>
        <w:t>(textiles,</w:t>
      </w:r>
      <w:r>
        <w:rPr>
          <w:spacing w:val="-12"/>
        </w:rPr>
        <w:t> </w:t>
      </w:r>
      <w:r>
        <w:rPr/>
        <w:t>rubber,</w:t>
      </w:r>
      <w:r>
        <w:rPr>
          <w:spacing w:val="-12"/>
        </w:rPr>
        <w:t> </w:t>
      </w:r>
      <w:r>
        <w:rPr/>
        <w:t>pulp),</w:t>
      </w:r>
      <w:r>
        <w:rPr>
          <w:spacing w:val="-13"/>
        </w:rPr>
        <w:t> </w:t>
      </w:r>
      <w:r>
        <w:rPr/>
        <w:t>reflecting</w:t>
      </w:r>
      <w:r>
        <w:rPr>
          <w:spacing w:val="-12"/>
        </w:rPr>
        <w:t> </w:t>
      </w:r>
      <w:r>
        <w:rPr/>
        <w:t>both</w:t>
      </w:r>
      <w:r>
        <w:rPr>
          <w:spacing w:val="-14"/>
        </w:rPr>
        <w:t> </w:t>
      </w:r>
      <w:r>
        <w:rPr>
          <w:spacing w:val="-3"/>
        </w:rPr>
        <w:t>sterling’s</w:t>
      </w:r>
      <w:r>
        <w:rPr>
          <w:spacing w:val="-13"/>
        </w:rPr>
        <w:t> </w:t>
      </w:r>
      <w:r>
        <w:rPr/>
        <w:t>appreciation</w:t>
      </w:r>
      <w:r>
        <w:rPr>
          <w:spacing w:val="-14"/>
        </w:rPr>
        <w:t> </w:t>
      </w:r>
      <w:r>
        <w:rPr/>
        <w:t>and</w:t>
      </w:r>
      <w:r>
        <w:rPr>
          <w:spacing w:val="-13"/>
        </w:rPr>
        <w:t> </w:t>
      </w:r>
      <w:r>
        <w:rPr/>
        <w:t>the</w:t>
      </w:r>
      <w:r>
        <w:rPr>
          <w:spacing w:val="-14"/>
        </w:rPr>
        <w:t> </w:t>
      </w:r>
      <w:r>
        <w:rPr/>
        <w:t>situation</w:t>
      </w:r>
      <w:r>
        <w:rPr>
          <w:spacing w:val="-13"/>
        </w:rPr>
        <w:t> </w:t>
      </w:r>
      <w:r>
        <w:rPr/>
        <w:t>in East Asia. The C</w:t>
      </w:r>
      <w:r>
        <w:rPr>
          <w:sz w:val="16"/>
        </w:rPr>
        <w:t>IPS </w:t>
      </w:r>
      <w:r>
        <w:rPr/>
        <w:t>report on manufacturing suggested a further fall in input prices in</w:t>
      </w:r>
      <w:r>
        <w:rPr>
          <w:spacing w:val="-29"/>
        </w:rPr>
        <w:t> </w:t>
      </w:r>
      <w:r>
        <w:rPr/>
        <w:t>April.</w:t>
      </w:r>
    </w:p>
    <w:p>
      <w:pPr>
        <w:pStyle w:val="BodyText"/>
        <w:rPr>
          <w:sz w:val="32"/>
        </w:rPr>
      </w:pPr>
    </w:p>
    <w:p>
      <w:pPr>
        <w:pStyle w:val="BodyText"/>
        <w:spacing w:line="321" w:lineRule="auto"/>
        <w:ind w:left="117" w:right="330"/>
      </w:pPr>
      <w:r>
        <w:rPr/>
        <w:t>A38 The </w:t>
      </w:r>
      <w:r>
        <w:rPr>
          <w:spacing w:val="2"/>
        </w:rPr>
        <w:t>oil </w:t>
      </w:r>
      <w:r>
        <w:rPr/>
        <w:t>price had risen slightly in April, following agreements by OPEC and non-OPEC producers </w:t>
      </w:r>
      <w:r>
        <w:rPr>
          <w:spacing w:val="2"/>
        </w:rPr>
        <w:t>to </w:t>
      </w:r>
      <w:r>
        <w:rPr/>
        <w:t>cut </w:t>
      </w:r>
      <w:r>
        <w:rPr>
          <w:spacing w:val="3"/>
        </w:rPr>
        <w:t>output </w:t>
      </w:r>
      <w:r>
        <w:rPr/>
        <w:t>levels. But there appeared </w:t>
      </w:r>
      <w:r>
        <w:rPr>
          <w:spacing w:val="2"/>
        </w:rPr>
        <w:t>to </w:t>
      </w:r>
      <w:r>
        <w:rPr/>
        <w:t>be little upward pressure on the spot price, as supply</w:t>
      </w:r>
      <w:r>
        <w:rPr>
          <w:spacing w:val="-10"/>
        </w:rPr>
        <w:t> </w:t>
      </w:r>
      <w:r>
        <w:rPr/>
        <w:t>remained</w:t>
      </w:r>
      <w:r>
        <w:rPr>
          <w:spacing w:val="-8"/>
        </w:rPr>
        <w:t> </w:t>
      </w:r>
      <w:r>
        <w:rPr/>
        <w:t>high</w:t>
      </w:r>
      <w:r>
        <w:rPr>
          <w:spacing w:val="-10"/>
        </w:rPr>
        <w:t> </w:t>
      </w:r>
      <w:r>
        <w:rPr/>
        <w:t>relative</w:t>
      </w:r>
      <w:r>
        <w:rPr>
          <w:spacing w:val="-8"/>
        </w:rPr>
        <w:t> </w:t>
      </w:r>
      <w:r>
        <w:rPr>
          <w:spacing w:val="2"/>
        </w:rPr>
        <w:t>to</w:t>
      </w:r>
      <w:r>
        <w:rPr>
          <w:spacing w:val="-6"/>
        </w:rPr>
        <w:t> </w:t>
      </w:r>
      <w:r>
        <w:rPr/>
        <w:t>demand.</w:t>
      </w:r>
      <w:r>
        <w:rPr>
          <w:spacing w:val="40"/>
        </w:rPr>
        <w:t> </w:t>
      </w:r>
      <w:r>
        <w:rPr/>
        <w:t>The</w:t>
      </w:r>
      <w:r>
        <w:rPr>
          <w:spacing w:val="-8"/>
        </w:rPr>
        <w:t> </w:t>
      </w:r>
      <w:r>
        <w:rPr/>
        <w:t>price</w:t>
      </w:r>
      <w:r>
        <w:rPr>
          <w:spacing w:val="-10"/>
        </w:rPr>
        <w:t> </w:t>
      </w:r>
      <w:r>
        <w:rPr/>
        <w:t>level</w:t>
      </w:r>
      <w:r>
        <w:rPr>
          <w:spacing w:val="-10"/>
        </w:rPr>
        <w:t> </w:t>
      </w:r>
      <w:r>
        <w:rPr/>
        <w:t>was</w:t>
      </w:r>
      <w:r>
        <w:rPr>
          <w:spacing w:val="-9"/>
        </w:rPr>
        <w:t> </w:t>
      </w:r>
      <w:r>
        <w:rPr/>
        <w:t>around</w:t>
      </w:r>
      <w:r>
        <w:rPr>
          <w:spacing w:val="-10"/>
        </w:rPr>
        <w:t> </w:t>
      </w:r>
      <w:r>
        <w:rPr/>
        <w:t>$6</w:t>
      </w:r>
      <w:r>
        <w:rPr>
          <w:spacing w:val="-10"/>
        </w:rPr>
        <w:t> </w:t>
      </w:r>
      <w:r>
        <w:rPr/>
        <w:t>per</w:t>
      </w:r>
      <w:r>
        <w:rPr>
          <w:spacing w:val="-10"/>
        </w:rPr>
        <w:t> </w:t>
      </w:r>
      <w:r>
        <w:rPr/>
        <w:t>barrel</w:t>
      </w:r>
      <w:r>
        <w:rPr>
          <w:spacing w:val="-9"/>
        </w:rPr>
        <w:t> </w:t>
      </w:r>
      <w:r>
        <w:rPr/>
        <w:t>below</w:t>
      </w:r>
      <w:r>
        <w:rPr>
          <w:spacing w:val="-10"/>
        </w:rPr>
        <w:t> </w:t>
      </w:r>
      <w:r>
        <w:rPr/>
        <w:t>its</w:t>
      </w:r>
      <w:r>
        <w:rPr>
          <w:spacing w:val="-10"/>
        </w:rPr>
        <w:t> </w:t>
      </w:r>
      <w:r>
        <w:rPr/>
        <w:t>level</w:t>
      </w:r>
      <w:r>
        <w:rPr>
          <w:spacing w:val="-10"/>
        </w:rPr>
        <w:t> </w:t>
      </w:r>
      <w:r>
        <w:rPr/>
        <w:t>in mid</w:t>
      </w:r>
      <w:r>
        <w:rPr>
          <w:spacing w:val="-10"/>
        </w:rPr>
        <w:t> </w:t>
      </w:r>
      <w:r>
        <w:rPr/>
        <w:t>October</w:t>
      </w:r>
      <w:r>
        <w:rPr>
          <w:spacing w:val="-9"/>
        </w:rPr>
        <w:t> </w:t>
      </w:r>
      <w:r>
        <w:rPr/>
        <w:t>1997.</w:t>
      </w:r>
      <w:r>
        <w:rPr>
          <w:spacing w:val="-9"/>
        </w:rPr>
        <w:t> </w:t>
      </w:r>
      <w:r>
        <w:rPr/>
        <w:t>The</w:t>
      </w:r>
      <w:r>
        <w:rPr>
          <w:spacing w:val="-7"/>
        </w:rPr>
        <w:t> </w:t>
      </w:r>
      <w:r>
        <w:rPr/>
        <w:t>significance</w:t>
      </w:r>
      <w:r>
        <w:rPr>
          <w:spacing w:val="-9"/>
        </w:rPr>
        <w:t> </w:t>
      </w:r>
      <w:r>
        <w:rPr/>
        <w:t>of</w:t>
      </w:r>
      <w:r>
        <w:rPr>
          <w:spacing w:val="-5"/>
        </w:rPr>
        <w:t> </w:t>
      </w:r>
      <w:r>
        <w:rPr/>
        <w:t>this</w:t>
      </w:r>
      <w:r>
        <w:rPr>
          <w:spacing w:val="-9"/>
        </w:rPr>
        <w:t> </w:t>
      </w:r>
      <w:r>
        <w:rPr/>
        <w:t>fall</w:t>
      </w:r>
      <w:r>
        <w:rPr>
          <w:spacing w:val="-10"/>
        </w:rPr>
        <w:t> </w:t>
      </w:r>
      <w:r>
        <w:rPr/>
        <w:t>for</w:t>
      </w:r>
      <w:r>
        <w:rPr>
          <w:spacing w:val="-9"/>
        </w:rPr>
        <w:t> </w:t>
      </w:r>
      <w:r>
        <w:rPr/>
        <w:t>the</w:t>
      </w:r>
      <w:r>
        <w:rPr>
          <w:spacing w:val="-9"/>
        </w:rPr>
        <w:t> </w:t>
      </w:r>
      <w:r>
        <w:rPr/>
        <w:t>economy</w:t>
      </w:r>
      <w:r>
        <w:rPr>
          <w:spacing w:val="-9"/>
        </w:rPr>
        <w:t> </w:t>
      </w:r>
      <w:r>
        <w:rPr/>
        <w:t>as</w:t>
      </w:r>
      <w:r>
        <w:rPr>
          <w:spacing w:val="-9"/>
        </w:rPr>
        <w:t> </w:t>
      </w:r>
      <w:r>
        <w:rPr/>
        <w:t>a</w:t>
      </w:r>
      <w:r>
        <w:rPr>
          <w:spacing w:val="-9"/>
        </w:rPr>
        <w:t> </w:t>
      </w:r>
      <w:r>
        <w:rPr/>
        <w:t>whole</w:t>
      </w:r>
      <w:r>
        <w:rPr>
          <w:spacing w:val="-9"/>
        </w:rPr>
        <w:t> </w:t>
      </w:r>
      <w:r>
        <w:rPr/>
        <w:t>was</w:t>
      </w:r>
      <w:r>
        <w:rPr>
          <w:spacing w:val="-9"/>
        </w:rPr>
        <w:t> </w:t>
      </w:r>
      <w:r>
        <w:rPr/>
        <w:t>thought</w:t>
      </w:r>
      <w:r>
        <w:rPr>
          <w:spacing w:val="-5"/>
        </w:rPr>
        <w:t> </w:t>
      </w:r>
      <w:r>
        <w:rPr/>
        <w:t>likely</w:t>
      </w:r>
      <w:r>
        <w:rPr>
          <w:spacing w:val="-9"/>
        </w:rPr>
        <w:t> </w:t>
      </w:r>
      <w:r>
        <w:rPr>
          <w:spacing w:val="2"/>
        </w:rPr>
        <w:t>to</w:t>
      </w:r>
      <w:r>
        <w:rPr>
          <w:spacing w:val="-5"/>
        </w:rPr>
        <w:t> </w:t>
      </w:r>
      <w:r>
        <w:rPr/>
        <w:t>be relatively small compared with previous </w:t>
      </w:r>
      <w:r>
        <w:rPr>
          <w:spacing w:val="2"/>
        </w:rPr>
        <w:t>oil </w:t>
      </w:r>
      <w:r>
        <w:rPr/>
        <w:t>shocks. This reflected a number of factors. First,</w:t>
      </w:r>
      <w:r>
        <w:rPr>
          <w:spacing w:val="-6"/>
        </w:rPr>
        <w:t> </w:t>
      </w:r>
      <w:r>
        <w:rPr/>
        <w:t>there</w:t>
      </w:r>
    </w:p>
    <w:p>
      <w:pPr>
        <w:spacing w:after="0" w:line="321" w:lineRule="auto"/>
        <w:sectPr>
          <w:pgSz w:w="11900" w:h="16840"/>
          <w:pgMar w:header="867" w:footer="0" w:top="1320" w:bottom="280" w:left="1020" w:right="880"/>
        </w:sectPr>
      </w:pPr>
    </w:p>
    <w:p>
      <w:pPr>
        <w:pStyle w:val="BodyText"/>
        <w:spacing w:line="321" w:lineRule="auto" w:before="80"/>
        <w:ind w:left="117" w:right="65"/>
      </w:pPr>
      <w:r>
        <w:rPr/>
        <w:t>had been a sustained fall in the oil intensity of total production since the 1970s. Second, the real oil price (deflated by consumer price inflation) was historically low, and the recent fall in the real price had been relatively small. And third, although the United Kingdom is a net exporter of oil, net exports had declined considerably from their peak in the mid 1980s. Some direct effects of the lower oil price on retail petrol prices had been evident since the autumn of 1997. But the total direct impact on retail price inflation is likely to be small.</w:t>
      </w:r>
    </w:p>
    <w:p>
      <w:pPr>
        <w:pStyle w:val="BodyText"/>
        <w:rPr>
          <w:sz w:val="32"/>
        </w:rPr>
      </w:pPr>
    </w:p>
    <w:p>
      <w:pPr>
        <w:pStyle w:val="BodyText"/>
        <w:spacing w:line="321" w:lineRule="auto"/>
        <w:ind w:left="117" w:right="163"/>
      </w:pPr>
      <w:r>
        <w:rPr/>
        <w:t>A39 Manufacturing </w:t>
      </w:r>
      <w:r>
        <w:rPr>
          <w:spacing w:val="3"/>
        </w:rPr>
        <w:t>output </w:t>
      </w:r>
      <w:r>
        <w:rPr/>
        <w:t>price inflation had remained subdued in March. Excluding changes in excise duties, </w:t>
      </w:r>
      <w:r>
        <w:rPr>
          <w:spacing w:val="3"/>
        </w:rPr>
        <w:t>output </w:t>
      </w:r>
      <w:r>
        <w:rPr/>
        <w:t>prices were unchanged on the month, rising by 0.2% during the year </w:t>
      </w:r>
      <w:r>
        <w:rPr>
          <w:spacing w:val="2"/>
        </w:rPr>
        <w:t>to </w:t>
      </w:r>
      <w:r>
        <w:rPr/>
        <w:t>March. Higher petrol duties announced in the Budget increased total </w:t>
      </w:r>
      <w:r>
        <w:rPr>
          <w:spacing w:val="3"/>
        </w:rPr>
        <w:t>output </w:t>
      </w:r>
      <w:r>
        <w:rPr/>
        <w:t>prices </w:t>
      </w:r>
      <w:r>
        <w:rPr>
          <w:spacing w:val="2"/>
        </w:rPr>
        <w:t>to </w:t>
      </w:r>
      <w:r>
        <w:rPr/>
        <w:t>1% above their level a year earlier. The CBI Industrial Trends Survey had recorded its lowest-ever balance for reported prices</w:t>
      </w:r>
      <w:r>
        <w:rPr>
          <w:spacing w:val="-13"/>
        </w:rPr>
        <w:t> </w:t>
      </w:r>
      <w:r>
        <w:rPr/>
        <w:t>in</w:t>
      </w:r>
      <w:r>
        <w:rPr>
          <w:spacing w:val="-13"/>
        </w:rPr>
        <w:t> </w:t>
      </w:r>
      <w:r>
        <w:rPr/>
        <w:t>the</w:t>
      </w:r>
      <w:r>
        <w:rPr>
          <w:spacing w:val="-13"/>
        </w:rPr>
        <w:t> </w:t>
      </w:r>
      <w:r>
        <w:rPr/>
        <w:t>April</w:t>
      </w:r>
      <w:r>
        <w:rPr>
          <w:spacing w:val="-13"/>
        </w:rPr>
        <w:t> </w:t>
      </w:r>
      <w:r>
        <w:rPr/>
        <w:t>survey;</w:t>
      </w:r>
      <w:r>
        <w:rPr>
          <w:spacing w:val="-13"/>
        </w:rPr>
        <w:t> </w:t>
      </w:r>
      <w:r>
        <w:rPr/>
        <w:t>and</w:t>
      </w:r>
      <w:r>
        <w:rPr>
          <w:spacing w:val="-12"/>
        </w:rPr>
        <w:t> </w:t>
      </w:r>
      <w:r>
        <w:rPr/>
        <w:t>the</w:t>
      </w:r>
      <w:r>
        <w:rPr>
          <w:spacing w:val="-13"/>
        </w:rPr>
        <w:t> </w:t>
      </w:r>
      <w:r>
        <w:rPr/>
        <w:t>balance</w:t>
      </w:r>
      <w:r>
        <w:rPr>
          <w:spacing w:val="-13"/>
        </w:rPr>
        <w:t> </w:t>
      </w:r>
      <w:r>
        <w:rPr/>
        <w:t>for</w:t>
      </w:r>
      <w:r>
        <w:rPr>
          <w:spacing w:val="-13"/>
        </w:rPr>
        <w:t> </w:t>
      </w:r>
      <w:r>
        <w:rPr/>
        <w:t>price</w:t>
      </w:r>
      <w:r>
        <w:rPr>
          <w:spacing w:val="-13"/>
        </w:rPr>
        <w:t> </w:t>
      </w:r>
      <w:r>
        <w:rPr/>
        <w:t>expectations</w:t>
      </w:r>
      <w:r>
        <w:rPr>
          <w:spacing w:val="-13"/>
        </w:rPr>
        <w:t> </w:t>
      </w:r>
      <w:r>
        <w:rPr/>
        <w:t>had</w:t>
      </w:r>
      <w:r>
        <w:rPr>
          <w:spacing w:val="-12"/>
        </w:rPr>
        <w:t> </w:t>
      </w:r>
      <w:r>
        <w:rPr/>
        <w:t>remained</w:t>
      </w:r>
      <w:r>
        <w:rPr>
          <w:spacing w:val="-12"/>
        </w:rPr>
        <w:t> </w:t>
      </w:r>
      <w:r>
        <w:rPr/>
        <w:t>negative</w:t>
      </w:r>
      <w:r>
        <w:rPr>
          <w:spacing w:val="-12"/>
        </w:rPr>
        <w:t> </w:t>
      </w:r>
      <w:r>
        <w:rPr/>
        <w:t>(-5,</w:t>
      </w:r>
      <w:r>
        <w:rPr>
          <w:spacing w:val="-12"/>
        </w:rPr>
        <w:t> </w:t>
      </w:r>
      <w:r>
        <w:rPr/>
        <w:t>seasonally adjusted). Indications from the latest C</w:t>
      </w:r>
      <w:r>
        <w:rPr>
          <w:sz w:val="16"/>
        </w:rPr>
        <w:t>IPS </w:t>
      </w:r>
      <w:r>
        <w:rPr/>
        <w:t>report on services suggested that cost pressures facing service sector firms had continued </w:t>
      </w:r>
      <w:r>
        <w:rPr>
          <w:spacing w:val="2"/>
        </w:rPr>
        <w:t>to </w:t>
      </w:r>
      <w:r>
        <w:rPr/>
        <w:t>rise in April, mainly </w:t>
      </w:r>
      <w:r>
        <w:rPr>
          <w:spacing w:val="3"/>
        </w:rPr>
        <w:t>owing </w:t>
      </w:r>
      <w:r>
        <w:rPr>
          <w:spacing w:val="2"/>
        </w:rPr>
        <w:t>to </w:t>
      </w:r>
      <w:r>
        <w:rPr/>
        <w:t>rising wage and salary costs: the seasonally</w:t>
      </w:r>
      <w:r>
        <w:rPr>
          <w:spacing w:val="-10"/>
        </w:rPr>
        <w:t> </w:t>
      </w:r>
      <w:r>
        <w:rPr/>
        <w:t>adjusted</w:t>
      </w:r>
      <w:r>
        <w:rPr>
          <w:spacing w:val="-10"/>
        </w:rPr>
        <w:t> </w:t>
      </w:r>
      <w:r>
        <w:rPr/>
        <w:t>balance</w:t>
      </w:r>
      <w:r>
        <w:rPr>
          <w:spacing w:val="-10"/>
        </w:rPr>
        <w:t> </w:t>
      </w:r>
      <w:r>
        <w:rPr/>
        <w:t>was</w:t>
      </w:r>
      <w:r>
        <w:rPr>
          <w:spacing w:val="-10"/>
        </w:rPr>
        <w:t> </w:t>
      </w:r>
      <w:r>
        <w:rPr/>
        <w:t>58.9</w:t>
      </w:r>
      <w:r>
        <w:rPr>
          <w:spacing w:val="-10"/>
        </w:rPr>
        <w:t> </w:t>
      </w:r>
      <w:r>
        <w:rPr/>
        <w:t>in</w:t>
      </w:r>
      <w:r>
        <w:rPr>
          <w:spacing w:val="-10"/>
        </w:rPr>
        <w:t> </w:t>
      </w:r>
      <w:r>
        <w:rPr/>
        <w:t>April,</w:t>
      </w:r>
      <w:r>
        <w:rPr>
          <w:spacing w:val="-9"/>
        </w:rPr>
        <w:t> </w:t>
      </w:r>
      <w:r>
        <w:rPr/>
        <w:t>compared</w:t>
      </w:r>
      <w:r>
        <w:rPr>
          <w:spacing w:val="-10"/>
        </w:rPr>
        <w:t> </w:t>
      </w:r>
      <w:r>
        <w:rPr/>
        <w:t>with</w:t>
      </w:r>
      <w:r>
        <w:rPr>
          <w:spacing w:val="-10"/>
        </w:rPr>
        <w:t> </w:t>
      </w:r>
      <w:r>
        <w:rPr/>
        <w:t>58.2</w:t>
      </w:r>
      <w:r>
        <w:rPr>
          <w:spacing w:val="-10"/>
        </w:rPr>
        <w:t> </w:t>
      </w:r>
      <w:r>
        <w:rPr/>
        <w:t>in</w:t>
      </w:r>
      <w:r>
        <w:rPr>
          <w:spacing w:val="-10"/>
        </w:rPr>
        <w:t> </w:t>
      </w:r>
      <w:r>
        <w:rPr/>
        <w:t>March.</w:t>
      </w:r>
      <w:r>
        <w:rPr>
          <w:spacing w:val="41"/>
        </w:rPr>
        <w:t> </w:t>
      </w:r>
      <w:r>
        <w:rPr/>
        <w:t>Average</w:t>
      </w:r>
      <w:r>
        <w:rPr>
          <w:spacing w:val="-10"/>
        </w:rPr>
        <w:t> </w:t>
      </w:r>
      <w:r>
        <w:rPr/>
        <w:t>prices</w:t>
      </w:r>
      <w:r>
        <w:rPr>
          <w:spacing w:val="-10"/>
        </w:rPr>
        <w:t> </w:t>
      </w:r>
      <w:r>
        <w:rPr/>
        <w:t>charged by respondents had also risen again, though the balance had fallen from 52.5 </w:t>
      </w:r>
      <w:r>
        <w:rPr>
          <w:spacing w:val="2"/>
        </w:rPr>
        <w:t>to </w:t>
      </w:r>
      <w:r>
        <w:rPr/>
        <w:t>51.7 (seasonally adjusted). So fewer firms had reported higher prices than higher</w:t>
      </w:r>
      <w:r>
        <w:rPr>
          <w:spacing w:val="3"/>
        </w:rPr>
        <w:t> </w:t>
      </w:r>
      <w:r>
        <w:rPr/>
        <w:t>costs.</w:t>
      </w:r>
    </w:p>
    <w:p>
      <w:pPr>
        <w:pStyle w:val="BodyText"/>
        <w:spacing w:before="11"/>
        <w:rPr>
          <w:sz w:val="31"/>
        </w:rPr>
      </w:pPr>
    </w:p>
    <w:p>
      <w:pPr>
        <w:pStyle w:val="BodyText"/>
        <w:spacing w:line="321" w:lineRule="auto"/>
        <w:ind w:left="117" w:right="85"/>
      </w:pPr>
      <w:r>
        <w:rPr/>
        <w:t>A40 Non-oil export prices were unchanged in February, while import prices had fallen by 0.3% (seasonally adjusted), leaving annual rates of change at -3.4% and -3.7% respectively. The terms of trade for goods (non-oil) had changed little since the beginning of 1997, and the </w:t>
      </w:r>
      <w:r>
        <w:rPr>
          <w:spacing w:val="3"/>
        </w:rPr>
        <w:t>overall </w:t>
      </w:r>
      <w:r>
        <w:rPr/>
        <w:t>change since the start of </w:t>
      </w:r>
      <w:r>
        <w:rPr>
          <w:spacing w:val="-3"/>
        </w:rPr>
        <w:t>sterling’s </w:t>
      </w:r>
      <w:r>
        <w:rPr/>
        <w:t>appreciation was small by historical standards. Bank estimates of manufacturers’ margins on export sales had continued </w:t>
      </w:r>
      <w:r>
        <w:rPr>
          <w:spacing w:val="2"/>
        </w:rPr>
        <w:t>to </w:t>
      </w:r>
      <w:r>
        <w:rPr/>
        <w:t>be lower in 1998 Q1 than a year earlier, reflecting the fall in export prices. And margins on domestic sales were also lower, as rising unit labour costs had more than </w:t>
      </w:r>
      <w:r>
        <w:rPr>
          <w:spacing w:val="3"/>
        </w:rPr>
        <w:t>offset </w:t>
      </w:r>
      <w:r>
        <w:rPr/>
        <w:t>falling material costs.</w:t>
      </w:r>
    </w:p>
    <w:p>
      <w:pPr>
        <w:pStyle w:val="BodyText"/>
        <w:rPr>
          <w:sz w:val="32"/>
        </w:rPr>
      </w:pPr>
    </w:p>
    <w:p>
      <w:pPr>
        <w:pStyle w:val="BodyText"/>
        <w:spacing w:line="321" w:lineRule="auto"/>
        <w:ind w:left="117" w:right="125"/>
      </w:pPr>
      <w:r>
        <w:rPr/>
        <w:t>A41 Annual RPIX inflation was unchanged in March at 2.6%. Services price inflation had risen by 0.1pp to 2.9%; goods price inflation was unchanged at 2.0%. Annual RPIX inflation averaged 2.6% in 1998 Q1, as projected in the February </w:t>
      </w:r>
      <w:r>
        <w:rPr>
          <w:i/>
        </w:rPr>
        <w:t>Inflation Report</w:t>
      </w:r>
      <w:r>
        <w:rPr/>
        <w:t>, compared with 2.8% in 1997 Q4. Services price inflation had fallen by 0.1pp to 2.9% in 1998 Q1, in part owing to lower foreign holiday prices. And goods price inflation had fallen by 0.3pp to 1.9%. The record price discounting in January had not been fully unwound in February and March, consistent with a further impact on retail prices from sterling’s appreciation, alongside slower sales growth than in 1997. There was also some evidence of an impact from the East Asian situation: leisure goods prices, particularly for audio-visual goods, had fallen sharply during the first quarter. On the basis of national measures of inflation, UK RPIX inflation remained above inflation in the main EU3 economies (France, Germany, Italy). But on an EU-harmonised basis, UK inflation at 1.6% in March was around the EU average rate (data up to February).</w:t>
      </w:r>
    </w:p>
    <w:p>
      <w:pPr>
        <w:spacing w:after="0" w:line="321" w:lineRule="auto"/>
        <w:sectPr>
          <w:pgSz w:w="11900" w:h="16840"/>
          <w:pgMar w:header="867" w:footer="0" w:top="1320" w:bottom="280" w:left="1020" w:right="880"/>
        </w:sectPr>
      </w:pPr>
    </w:p>
    <w:p>
      <w:pPr>
        <w:pStyle w:val="BodyText"/>
        <w:rPr>
          <w:sz w:val="20"/>
        </w:rPr>
      </w:pPr>
    </w:p>
    <w:p>
      <w:pPr>
        <w:pStyle w:val="BodyText"/>
        <w:spacing w:line="321" w:lineRule="auto" w:before="219"/>
        <w:ind w:left="117" w:right="422"/>
      </w:pPr>
      <w:r>
        <w:rPr/>
        <w:t>A42 Annual RPIX inflation was likely </w:t>
      </w:r>
      <w:r>
        <w:rPr>
          <w:spacing w:val="2"/>
        </w:rPr>
        <w:t>to </w:t>
      </w:r>
      <w:r>
        <w:rPr/>
        <w:t>rise sharply in April, </w:t>
      </w:r>
      <w:r>
        <w:rPr>
          <w:spacing w:val="2"/>
        </w:rPr>
        <w:t>to </w:t>
      </w:r>
      <w:r>
        <w:rPr/>
        <w:t>around 2.9%, as the increase in petrol duties announced in the March Budget fed through. This upward effect was likely </w:t>
      </w:r>
      <w:r>
        <w:rPr>
          <w:spacing w:val="2"/>
        </w:rPr>
        <w:t>to </w:t>
      </w:r>
      <w:r>
        <w:rPr/>
        <w:t>be reversed in July, as last </w:t>
      </w:r>
      <w:r>
        <w:rPr>
          <w:spacing w:val="-6"/>
        </w:rPr>
        <w:t>year’s </w:t>
      </w:r>
      <w:r>
        <w:rPr/>
        <w:t>increase in duties drops </w:t>
      </w:r>
      <w:r>
        <w:rPr>
          <w:spacing w:val="2"/>
        </w:rPr>
        <w:t>out </w:t>
      </w:r>
      <w:r>
        <w:rPr/>
        <w:t>of the twelve month rate. Consequently, RPIY</w:t>
      </w:r>
      <w:r>
        <w:rPr>
          <w:spacing w:val="-13"/>
        </w:rPr>
        <w:t> </w:t>
      </w:r>
      <w:r>
        <w:rPr/>
        <w:t>inflation</w:t>
      </w:r>
      <w:r>
        <w:rPr>
          <w:spacing w:val="-12"/>
        </w:rPr>
        <w:t> </w:t>
      </w:r>
      <w:r>
        <w:rPr/>
        <w:t>would</w:t>
      </w:r>
      <w:r>
        <w:rPr>
          <w:spacing w:val="-13"/>
        </w:rPr>
        <w:t> </w:t>
      </w:r>
      <w:r>
        <w:rPr/>
        <w:t>probably</w:t>
      </w:r>
      <w:r>
        <w:rPr>
          <w:spacing w:val="-12"/>
        </w:rPr>
        <w:t> </w:t>
      </w:r>
      <w:r>
        <w:rPr/>
        <w:t>provide</w:t>
      </w:r>
      <w:r>
        <w:rPr>
          <w:spacing w:val="-12"/>
        </w:rPr>
        <w:t> </w:t>
      </w:r>
      <w:r>
        <w:rPr/>
        <w:t>a</w:t>
      </w:r>
      <w:r>
        <w:rPr>
          <w:spacing w:val="-13"/>
        </w:rPr>
        <w:t> </w:t>
      </w:r>
      <w:r>
        <w:rPr/>
        <w:t>better</w:t>
      </w:r>
      <w:r>
        <w:rPr>
          <w:spacing w:val="-12"/>
        </w:rPr>
        <w:t> </w:t>
      </w:r>
      <w:r>
        <w:rPr/>
        <w:t>guide</w:t>
      </w:r>
      <w:r>
        <w:rPr>
          <w:spacing w:val="-13"/>
        </w:rPr>
        <w:t> </w:t>
      </w:r>
      <w:r>
        <w:rPr>
          <w:spacing w:val="2"/>
        </w:rPr>
        <w:t>to</w:t>
      </w:r>
      <w:r>
        <w:rPr>
          <w:spacing w:val="-8"/>
        </w:rPr>
        <w:t> </w:t>
      </w:r>
      <w:r>
        <w:rPr/>
        <w:t>the</w:t>
      </w:r>
      <w:r>
        <w:rPr>
          <w:spacing w:val="-12"/>
        </w:rPr>
        <w:t> </w:t>
      </w:r>
      <w:r>
        <w:rPr/>
        <w:t>trend</w:t>
      </w:r>
      <w:r>
        <w:rPr>
          <w:spacing w:val="-13"/>
        </w:rPr>
        <w:t> </w:t>
      </w:r>
      <w:r>
        <w:rPr/>
        <w:t>in</w:t>
      </w:r>
      <w:r>
        <w:rPr>
          <w:spacing w:val="-12"/>
        </w:rPr>
        <w:t> </w:t>
      </w:r>
      <w:r>
        <w:rPr/>
        <w:t>inflation</w:t>
      </w:r>
      <w:r>
        <w:rPr>
          <w:spacing w:val="-13"/>
        </w:rPr>
        <w:t> </w:t>
      </w:r>
      <w:r>
        <w:rPr/>
        <w:t>in</w:t>
      </w:r>
      <w:r>
        <w:rPr>
          <w:spacing w:val="-12"/>
        </w:rPr>
        <w:t> </w:t>
      </w:r>
      <w:r>
        <w:rPr/>
        <w:t>the</w:t>
      </w:r>
      <w:r>
        <w:rPr>
          <w:spacing w:val="-12"/>
        </w:rPr>
        <w:t> </w:t>
      </w:r>
      <w:r>
        <w:rPr/>
        <w:t>coming</w:t>
      </w:r>
      <w:r>
        <w:rPr>
          <w:spacing w:val="-13"/>
        </w:rPr>
        <w:t> </w:t>
      </w:r>
      <w:r>
        <w:rPr/>
        <w:t>months.</w:t>
      </w:r>
    </w:p>
    <w:p>
      <w:pPr>
        <w:pStyle w:val="BodyText"/>
        <w:spacing w:before="1"/>
        <w:rPr>
          <w:sz w:val="32"/>
        </w:rPr>
      </w:pPr>
    </w:p>
    <w:p>
      <w:pPr>
        <w:pStyle w:val="ListParagraph"/>
        <w:numPr>
          <w:ilvl w:val="0"/>
          <w:numId w:val="2"/>
        </w:numPr>
        <w:tabs>
          <w:tab w:pos="837" w:val="left" w:leader="none"/>
          <w:tab w:pos="838" w:val="left" w:leader="none"/>
        </w:tabs>
        <w:spacing w:line="240" w:lineRule="auto" w:before="0" w:after="0"/>
        <w:ind w:left="837" w:right="0" w:hanging="721"/>
        <w:jc w:val="left"/>
        <w:rPr>
          <w:sz w:val="24"/>
        </w:rPr>
      </w:pPr>
      <w:r>
        <w:rPr>
          <w:sz w:val="24"/>
          <w:u w:val="single"/>
        </w:rPr>
        <w:t>Financial</w:t>
      </w:r>
      <w:r>
        <w:rPr>
          <w:spacing w:val="1"/>
          <w:sz w:val="24"/>
          <w:u w:val="single"/>
        </w:rPr>
        <w:t> </w:t>
      </w:r>
      <w:r>
        <w:rPr>
          <w:sz w:val="24"/>
          <w:u w:val="single"/>
        </w:rPr>
        <w:t>markets</w:t>
      </w:r>
    </w:p>
    <w:p>
      <w:pPr>
        <w:pStyle w:val="BodyText"/>
        <w:rPr>
          <w:sz w:val="20"/>
        </w:rPr>
      </w:pPr>
    </w:p>
    <w:p>
      <w:pPr>
        <w:spacing w:before="233"/>
        <w:ind w:left="117" w:right="0" w:firstLine="0"/>
        <w:jc w:val="left"/>
        <w:rPr>
          <w:i/>
          <w:sz w:val="24"/>
        </w:rPr>
      </w:pPr>
      <w:r>
        <w:rPr>
          <w:i/>
          <w:sz w:val="24"/>
        </w:rPr>
        <w:t>Foreign Exchange</w:t>
      </w:r>
    </w:p>
    <w:p>
      <w:pPr>
        <w:pStyle w:val="BodyText"/>
        <w:rPr>
          <w:i/>
          <w:sz w:val="26"/>
        </w:rPr>
      </w:pPr>
    </w:p>
    <w:p>
      <w:pPr>
        <w:pStyle w:val="BodyText"/>
        <w:spacing w:line="321" w:lineRule="auto" w:before="164"/>
        <w:ind w:left="117" w:right="224"/>
      </w:pPr>
      <w:r>
        <w:rPr/>
        <w:t>A43 Sterling had fallen back a little against the Deutsche Mark during April, but was largely unchanged</w:t>
      </w:r>
      <w:r>
        <w:rPr>
          <w:spacing w:val="-12"/>
        </w:rPr>
        <w:t> </w:t>
      </w:r>
      <w:r>
        <w:rPr/>
        <w:t>against</w:t>
      </w:r>
      <w:r>
        <w:rPr>
          <w:spacing w:val="-8"/>
        </w:rPr>
        <w:t> </w:t>
      </w:r>
      <w:r>
        <w:rPr/>
        <w:t>the</w:t>
      </w:r>
      <w:r>
        <w:rPr>
          <w:spacing w:val="-12"/>
        </w:rPr>
        <w:t> </w:t>
      </w:r>
      <w:r>
        <w:rPr/>
        <w:t>dollar.</w:t>
      </w:r>
      <w:r>
        <w:rPr>
          <w:spacing w:val="36"/>
        </w:rPr>
        <w:t> </w:t>
      </w:r>
      <w:r>
        <w:rPr/>
        <w:t>UK</w:t>
      </w:r>
      <w:r>
        <w:rPr>
          <w:spacing w:val="-12"/>
        </w:rPr>
        <w:t> </w:t>
      </w:r>
      <w:r>
        <w:rPr/>
        <w:t>news</w:t>
      </w:r>
      <w:r>
        <w:rPr>
          <w:spacing w:val="-12"/>
        </w:rPr>
        <w:t> </w:t>
      </w:r>
      <w:r>
        <w:rPr/>
        <w:t>had</w:t>
      </w:r>
      <w:r>
        <w:rPr>
          <w:spacing w:val="-12"/>
        </w:rPr>
        <w:t> </w:t>
      </w:r>
      <w:r>
        <w:rPr/>
        <w:t>little</w:t>
      </w:r>
      <w:r>
        <w:rPr>
          <w:spacing w:val="-12"/>
        </w:rPr>
        <w:t> </w:t>
      </w:r>
      <w:r>
        <w:rPr/>
        <w:t>immediate</w:t>
      </w:r>
      <w:r>
        <w:rPr>
          <w:spacing w:val="-12"/>
        </w:rPr>
        <w:t> </w:t>
      </w:r>
      <w:r>
        <w:rPr/>
        <w:t>effect</w:t>
      </w:r>
      <w:r>
        <w:rPr>
          <w:spacing w:val="-8"/>
        </w:rPr>
        <w:t> </w:t>
      </w:r>
      <w:r>
        <w:rPr/>
        <w:t>on</w:t>
      </w:r>
      <w:r>
        <w:rPr>
          <w:spacing w:val="-8"/>
        </w:rPr>
        <w:t> </w:t>
      </w:r>
      <w:r>
        <w:rPr/>
        <w:t>the</w:t>
      </w:r>
      <w:r>
        <w:rPr>
          <w:spacing w:val="-12"/>
        </w:rPr>
        <w:t> </w:t>
      </w:r>
      <w:r>
        <w:rPr/>
        <w:t>market,</w:t>
      </w:r>
      <w:r>
        <w:rPr>
          <w:spacing w:val="-8"/>
        </w:rPr>
        <w:t> </w:t>
      </w:r>
      <w:r>
        <w:rPr/>
        <w:t>the</w:t>
      </w:r>
      <w:r>
        <w:rPr>
          <w:spacing w:val="-12"/>
        </w:rPr>
        <w:t> </w:t>
      </w:r>
      <w:r>
        <w:rPr/>
        <w:t>most</w:t>
      </w:r>
      <w:r>
        <w:rPr>
          <w:spacing w:val="-8"/>
        </w:rPr>
        <w:t> </w:t>
      </w:r>
      <w:r>
        <w:rPr/>
        <w:t>significant being</w:t>
      </w:r>
      <w:r>
        <w:rPr>
          <w:spacing w:val="-13"/>
        </w:rPr>
        <w:t> </w:t>
      </w:r>
      <w:r>
        <w:rPr/>
        <w:t>earnings</w:t>
      </w:r>
      <w:r>
        <w:rPr>
          <w:spacing w:val="-12"/>
        </w:rPr>
        <w:t> </w:t>
      </w:r>
      <w:r>
        <w:rPr/>
        <w:t>figures</w:t>
      </w:r>
      <w:r>
        <w:rPr>
          <w:spacing w:val="-13"/>
        </w:rPr>
        <w:t> </w:t>
      </w:r>
      <w:r>
        <w:rPr/>
        <w:t>released</w:t>
      </w:r>
      <w:r>
        <w:rPr>
          <w:spacing w:val="-11"/>
        </w:rPr>
        <w:t> </w:t>
      </w:r>
      <w:r>
        <w:rPr/>
        <w:t>on</w:t>
      </w:r>
      <w:r>
        <w:rPr>
          <w:spacing w:val="-8"/>
        </w:rPr>
        <w:t> </w:t>
      </w:r>
      <w:r>
        <w:rPr/>
        <w:t>21</w:t>
      </w:r>
      <w:r>
        <w:rPr>
          <w:spacing w:val="-13"/>
        </w:rPr>
        <w:t> </w:t>
      </w:r>
      <w:r>
        <w:rPr/>
        <w:t>April,</w:t>
      </w:r>
      <w:r>
        <w:rPr>
          <w:spacing w:val="-12"/>
        </w:rPr>
        <w:t> </w:t>
      </w:r>
      <w:r>
        <w:rPr/>
        <w:t>which</w:t>
      </w:r>
      <w:r>
        <w:rPr>
          <w:spacing w:val="-12"/>
        </w:rPr>
        <w:t> </w:t>
      </w:r>
      <w:r>
        <w:rPr/>
        <w:t>coincided</w:t>
      </w:r>
      <w:r>
        <w:rPr>
          <w:spacing w:val="-13"/>
        </w:rPr>
        <w:t> </w:t>
      </w:r>
      <w:r>
        <w:rPr/>
        <w:t>with</w:t>
      </w:r>
      <w:r>
        <w:rPr>
          <w:spacing w:val="-12"/>
        </w:rPr>
        <w:t> </w:t>
      </w:r>
      <w:r>
        <w:rPr/>
        <w:t>a</w:t>
      </w:r>
      <w:r>
        <w:rPr>
          <w:spacing w:val="-13"/>
        </w:rPr>
        <w:t> </w:t>
      </w:r>
      <w:r>
        <w:rPr/>
        <w:t>fall</w:t>
      </w:r>
      <w:r>
        <w:rPr>
          <w:spacing w:val="-12"/>
        </w:rPr>
        <w:t> </w:t>
      </w:r>
      <w:r>
        <w:rPr/>
        <w:t>in</w:t>
      </w:r>
      <w:r>
        <w:rPr>
          <w:spacing w:val="-12"/>
        </w:rPr>
        <w:t> </w:t>
      </w:r>
      <w:r>
        <w:rPr/>
        <w:t>sterling.</w:t>
      </w:r>
      <w:r>
        <w:rPr>
          <w:spacing w:val="35"/>
        </w:rPr>
        <w:t> </w:t>
      </w:r>
      <w:r>
        <w:rPr/>
        <w:t>A</w:t>
      </w:r>
      <w:r>
        <w:rPr>
          <w:spacing w:val="-13"/>
        </w:rPr>
        <w:t> </w:t>
      </w:r>
      <w:r>
        <w:rPr/>
        <w:t>few</w:t>
      </w:r>
      <w:r>
        <w:rPr>
          <w:spacing w:val="-12"/>
        </w:rPr>
        <w:t> </w:t>
      </w:r>
      <w:r>
        <w:rPr/>
        <w:t>days</w:t>
      </w:r>
      <w:r>
        <w:rPr>
          <w:spacing w:val="-12"/>
        </w:rPr>
        <w:t> </w:t>
      </w:r>
      <w:r>
        <w:rPr/>
        <w:t>earlier sterling had failed </w:t>
      </w:r>
      <w:r>
        <w:rPr>
          <w:spacing w:val="2"/>
        </w:rPr>
        <w:t>to </w:t>
      </w:r>
      <w:r>
        <w:rPr/>
        <w:t>break through 1.70 against the dollar, and this triggered a sell-off on technical grounds.</w:t>
      </w:r>
    </w:p>
    <w:p>
      <w:pPr>
        <w:pStyle w:val="BodyText"/>
        <w:spacing w:before="1"/>
        <w:rPr>
          <w:sz w:val="32"/>
        </w:rPr>
      </w:pPr>
    </w:p>
    <w:p>
      <w:pPr>
        <w:pStyle w:val="BodyText"/>
        <w:spacing w:line="321" w:lineRule="auto"/>
        <w:ind w:left="117" w:right="231"/>
      </w:pPr>
      <w:r>
        <w:rPr/>
        <w:t>A44 The German ERI was flat during the month, reflecting the stability of the Deutsche Mark against fellow euro-candidate currencies, which have large weights within the German ERI. But the Deutsche Mark appreciated against both sterling and the dollar. This reflected a more positive view on German activity, supported by stronger-than-expected M3 figures on April 21, and a feeling that uncertainty about the euro might soon diminish. A negative skew in expectations about future £/DM rates suggested that the market sees potential for a significant move down in sterling against the Deutsche Mark if technical support levels are broken.</w:t>
      </w:r>
    </w:p>
    <w:p>
      <w:pPr>
        <w:pStyle w:val="BodyText"/>
        <w:rPr>
          <w:sz w:val="32"/>
        </w:rPr>
      </w:pPr>
    </w:p>
    <w:p>
      <w:pPr>
        <w:pStyle w:val="BodyText"/>
        <w:spacing w:line="321" w:lineRule="auto"/>
        <w:ind w:left="117" w:right="199"/>
      </w:pPr>
      <w:r>
        <w:rPr/>
        <w:t>A45 The yen had remained weak, despite temporary gains following intervention by the Bank of Japan just before Easter. Details of the Japanese fiscal package on 24 April had failed to strengthen the yen, and $/Yen continued to trade at around 133.</w:t>
      </w:r>
    </w:p>
    <w:p>
      <w:pPr>
        <w:pStyle w:val="BodyText"/>
        <w:spacing w:before="1"/>
        <w:rPr>
          <w:sz w:val="32"/>
        </w:rPr>
      </w:pPr>
    </w:p>
    <w:p>
      <w:pPr>
        <w:spacing w:before="0"/>
        <w:ind w:left="117" w:right="0" w:firstLine="0"/>
        <w:jc w:val="left"/>
        <w:rPr>
          <w:i/>
          <w:sz w:val="24"/>
        </w:rPr>
      </w:pPr>
      <w:r>
        <w:rPr>
          <w:i/>
          <w:sz w:val="24"/>
        </w:rPr>
        <w:t>Bond and money markets</w:t>
      </w:r>
    </w:p>
    <w:p>
      <w:pPr>
        <w:pStyle w:val="BodyText"/>
        <w:rPr>
          <w:i/>
          <w:sz w:val="26"/>
        </w:rPr>
      </w:pPr>
    </w:p>
    <w:p>
      <w:pPr>
        <w:pStyle w:val="BodyText"/>
        <w:spacing w:line="321" w:lineRule="auto" w:before="164"/>
        <w:ind w:left="117" w:right="92"/>
      </w:pPr>
      <w:r>
        <w:rPr/>
        <w:t>A46 In the United Kingdom short-term interest rate expectations had eased since the last MPC, in contrast with the United States. The UK market was stable during the month, responding more to speculation about monetary policy than to economic news, which was seen as largely in line with expectations or benign. There was now little market expectation of an immediate rise in the repo rate, and the market expected a fall later in the year. Options on three-month contracts showed that since the last MPC, the market has reduced its probability of UK rates staying the same. German three- month options reveal a significant upward skew, possibly because of uncertainty about the path of the upturn in European economic performance and about the likely rate the ECB will set (a consequence</w:t>
      </w:r>
    </w:p>
    <w:p>
      <w:pPr>
        <w:spacing w:after="0" w:line="321" w:lineRule="auto"/>
        <w:sectPr>
          <w:pgSz w:w="11900" w:h="16840"/>
          <w:pgMar w:header="867" w:footer="0" w:top="1320" w:bottom="280" w:left="1020" w:right="880"/>
        </w:sectPr>
      </w:pPr>
    </w:p>
    <w:p>
      <w:pPr>
        <w:pStyle w:val="BodyText"/>
        <w:spacing w:line="321" w:lineRule="auto" w:before="80"/>
        <w:ind w:left="117" w:right="512"/>
      </w:pPr>
      <w:r>
        <w:rPr/>
        <w:t>of the current diversity of short rates across the eleven expected members of EMU). Expectations about future US three-month rates are more symmetric.</w:t>
      </w:r>
    </w:p>
    <w:p>
      <w:pPr>
        <w:pStyle w:val="BodyText"/>
        <w:spacing w:before="1"/>
        <w:rPr>
          <w:sz w:val="32"/>
        </w:rPr>
      </w:pPr>
    </w:p>
    <w:p>
      <w:pPr>
        <w:pStyle w:val="BodyText"/>
        <w:spacing w:line="321" w:lineRule="auto"/>
        <w:ind w:left="117" w:right="193"/>
      </w:pPr>
      <w:r>
        <w:rPr/>
        <w:t>A47 There was some steepening in the UK yield curve during April. The three-year spot rate fell by 5 basis points, while the ten-year spot rate rose by 12 basis points. Ten-year spot rates had risen by more in most international markets, reducing the UK differential over other markets. The one exception was Japan, where the fall in rates may have reflected disappointment at the fiscal package, and legal changes making Japanese government bonds more attractive to life companies.</w:t>
      </w:r>
    </w:p>
    <w:p>
      <w:pPr>
        <w:pStyle w:val="BodyText"/>
        <w:rPr>
          <w:sz w:val="32"/>
        </w:rPr>
      </w:pPr>
    </w:p>
    <w:p>
      <w:pPr>
        <w:spacing w:before="0"/>
        <w:ind w:left="117" w:right="0" w:firstLine="0"/>
        <w:jc w:val="left"/>
        <w:rPr>
          <w:i/>
          <w:sz w:val="24"/>
        </w:rPr>
      </w:pPr>
      <w:r>
        <w:rPr>
          <w:i/>
          <w:sz w:val="24"/>
        </w:rPr>
        <w:t>Equity markets</w:t>
      </w:r>
    </w:p>
    <w:p>
      <w:pPr>
        <w:pStyle w:val="BodyText"/>
        <w:rPr>
          <w:i/>
          <w:sz w:val="26"/>
        </w:rPr>
      </w:pPr>
    </w:p>
    <w:p>
      <w:pPr>
        <w:pStyle w:val="BodyText"/>
        <w:spacing w:line="321" w:lineRule="auto" w:before="165"/>
        <w:ind w:left="117" w:right="93"/>
      </w:pPr>
      <w:r>
        <w:rPr/>
        <w:t>A48 In April, the Dow Jones had risen, while there had been a fall in Japanese and European indices (the F</w:t>
      </w:r>
      <w:r>
        <w:rPr>
          <w:sz w:val="16"/>
        </w:rPr>
        <w:t>T-SE </w:t>
      </w:r>
      <w:r>
        <w:rPr/>
        <w:t>100 was down by 0.7% since the last MPC announcement). Volatility in equity markets had increased in April, although it remained below the levels seen in November. Weakness in equity markets had not resulted in a ‘flight to quality’: bond yields had risen as equity markets had fallen,</w:t>
      </w:r>
    </w:p>
    <w:p>
      <w:pPr>
        <w:pStyle w:val="BodyText"/>
        <w:spacing w:line="321" w:lineRule="auto"/>
        <w:ind w:left="117"/>
      </w:pPr>
      <w:r>
        <w:rPr/>
        <w:t>and the reverse had happened as equities recovered. The negative skewness in the F</w:t>
      </w:r>
      <w:r>
        <w:rPr>
          <w:sz w:val="16"/>
        </w:rPr>
        <w:t>T-SE </w:t>
      </w:r>
      <w:r>
        <w:rPr/>
        <w:t>probability density functions had increased recently, reflecting a greater probability attached to a sharp fall.</w:t>
      </w:r>
    </w:p>
    <w:p>
      <w:pPr>
        <w:pStyle w:val="BodyText"/>
        <w:rPr>
          <w:sz w:val="32"/>
        </w:rPr>
      </w:pPr>
    </w:p>
    <w:p>
      <w:pPr>
        <w:pStyle w:val="BodyText"/>
        <w:spacing w:line="321" w:lineRule="auto"/>
        <w:ind w:left="117" w:right="100"/>
      </w:pPr>
      <w:r>
        <w:rPr/>
        <w:t>A49 In the United Kingdom, moves in the sub-index covering the shares of financial institutions could account for a disproportionate share of the moves in the All-Share index since the start of the year. Up to 14 April, the All-Share index had risen by 18%, while the Financials index had risen by 25%; since then, the All-Share had fallen by 0.8%, coinciding with a fall in the Financials index of 6.2%. One explanation for the rises in the first quarter of 1998 could be a number of overseas merger announcements affecting the financial sector. Indeed, price rises for UK bank shares, relative to the overall market, were closely linked to the merger announcements. There had been no news relating to earnings’ forecasts that could explain these rises. Instead the fluctuations in UK Financials appeared to reflect changing views about the likelihood that UK banks will be involved in future merger</w:t>
      </w:r>
    </w:p>
    <w:p>
      <w:pPr>
        <w:pStyle w:val="BodyText"/>
        <w:spacing w:line="321" w:lineRule="auto"/>
        <w:ind w:left="117" w:right="426"/>
      </w:pPr>
      <w:r>
        <w:rPr/>
        <w:t>activity.</w:t>
      </w:r>
      <w:r>
        <w:rPr>
          <w:spacing w:val="34"/>
        </w:rPr>
        <w:t> </w:t>
      </w:r>
      <w:r>
        <w:rPr/>
        <w:t>If</w:t>
      </w:r>
      <w:r>
        <w:rPr>
          <w:spacing w:val="-12"/>
        </w:rPr>
        <w:t> </w:t>
      </w:r>
      <w:r>
        <w:rPr/>
        <w:t>true,</w:t>
      </w:r>
      <w:r>
        <w:rPr>
          <w:spacing w:val="-12"/>
        </w:rPr>
        <w:t> </w:t>
      </w:r>
      <w:r>
        <w:rPr/>
        <w:t>this</w:t>
      </w:r>
      <w:r>
        <w:rPr>
          <w:spacing w:val="-13"/>
        </w:rPr>
        <w:t> </w:t>
      </w:r>
      <w:r>
        <w:rPr/>
        <w:t>explanation</w:t>
      </w:r>
      <w:r>
        <w:rPr>
          <w:spacing w:val="-13"/>
        </w:rPr>
        <w:t> </w:t>
      </w:r>
      <w:r>
        <w:rPr/>
        <w:t>suggests</w:t>
      </w:r>
      <w:r>
        <w:rPr>
          <w:spacing w:val="-13"/>
        </w:rPr>
        <w:t> </w:t>
      </w:r>
      <w:r>
        <w:rPr/>
        <w:t>the</w:t>
      </w:r>
      <w:r>
        <w:rPr>
          <w:spacing w:val="-13"/>
        </w:rPr>
        <w:t> </w:t>
      </w:r>
      <w:r>
        <w:rPr/>
        <w:t>need</w:t>
      </w:r>
      <w:r>
        <w:rPr>
          <w:spacing w:val="-13"/>
        </w:rPr>
        <w:t> </w:t>
      </w:r>
      <w:r>
        <w:rPr/>
        <w:t>for</w:t>
      </w:r>
      <w:r>
        <w:rPr>
          <w:spacing w:val="-13"/>
        </w:rPr>
        <w:t> </w:t>
      </w:r>
      <w:r>
        <w:rPr/>
        <w:t>caution</w:t>
      </w:r>
      <w:r>
        <w:rPr>
          <w:spacing w:val="-13"/>
        </w:rPr>
        <w:t> </w:t>
      </w:r>
      <w:r>
        <w:rPr/>
        <w:t>in</w:t>
      </w:r>
      <w:r>
        <w:rPr>
          <w:spacing w:val="-12"/>
        </w:rPr>
        <w:t> </w:t>
      </w:r>
      <w:r>
        <w:rPr/>
        <w:t>inferring</w:t>
      </w:r>
      <w:r>
        <w:rPr>
          <w:spacing w:val="-13"/>
        </w:rPr>
        <w:t> </w:t>
      </w:r>
      <w:r>
        <w:rPr/>
        <w:t>changes</w:t>
      </w:r>
      <w:r>
        <w:rPr>
          <w:spacing w:val="-13"/>
        </w:rPr>
        <w:t> </w:t>
      </w:r>
      <w:r>
        <w:rPr/>
        <w:t>in</w:t>
      </w:r>
      <w:r>
        <w:rPr>
          <w:spacing w:val="-13"/>
        </w:rPr>
        <w:t> </w:t>
      </w:r>
      <w:r>
        <w:rPr/>
        <w:t>market</w:t>
      </w:r>
      <w:r>
        <w:rPr>
          <w:spacing w:val="-9"/>
        </w:rPr>
        <w:t> </w:t>
      </w:r>
      <w:r>
        <w:rPr/>
        <w:t>beliefs about the general economic environment from such moves in the All-Share</w:t>
      </w:r>
      <w:r>
        <w:rPr>
          <w:spacing w:val="-23"/>
        </w:rPr>
        <w:t> </w:t>
      </w:r>
      <w:r>
        <w:rPr/>
        <w:t>Index.</w:t>
      </w:r>
    </w:p>
    <w:sectPr>
      <w:pgSz w:w="11900" w:h="16840"/>
      <w:pgMar w:header="867" w:footer="0" w:top="1320" w:bottom="280" w:left="102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0.039978pt;margin-top:42.334373pt;width:17.55pt;height:14.8pt;mso-position-horizontal-relative:page;mso-position-vertical-relative:page;z-index:-252055552" type="#_x0000_t202" filled="false" stroked="false">
          <v:textbox inset="0,0,0,0">
            <w:txbxContent>
              <w:p>
                <w:pPr>
                  <w:spacing w:before="10"/>
                  <w:ind w:left="60" w:right="0" w:firstLine="0"/>
                  <w:jc w:val="left"/>
                  <w:rPr>
                    <w:sz w:val="23"/>
                  </w:rPr>
                </w:pPr>
                <w:r>
                  <w:rPr/>
                  <w:fldChar w:fldCharType="begin"/>
                </w:r>
                <w:r>
                  <w:rPr>
                    <w:sz w:val="23"/>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837" w:hanging="720"/>
        <w:jc w:val="left"/>
      </w:pPr>
      <w:rPr>
        <w:rFonts w:hint="default" w:ascii="Times New Roman" w:hAnsi="Times New Roman" w:eastAsia="Times New Roman" w:cs="Times New Roman"/>
        <w:w w:val="92"/>
        <w:sz w:val="24"/>
        <w:szCs w:val="24"/>
      </w:rPr>
    </w:lvl>
    <w:lvl w:ilvl="1">
      <w:start w:val="0"/>
      <w:numFmt w:val="bullet"/>
      <w:lvlText w:val="•"/>
      <w:lvlJc w:val="left"/>
      <w:pPr>
        <w:ind w:left="1756" w:hanging="720"/>
      </w:pPr>
      <w:rPr>
        <w:rFonts w:hint="default"/>
      </w:rPr>
    </w:lvl>
    <w:lvl w:ilvl="2">
      <w:start w:val="0"/>
      <w:numFmt w:val="bullet"/>
      <w:lvlText w:val="•"/>
      <w:lvlJc w:val="left"/>
      <w:pPr>
        <w:ind w:left="2672" w:hanging="720"/>
      </w:pPr>
      <w:rPr>
        <w:rFonts w:hint="default"/>
      </w:rPr>
    </w:lvl>
    <w:lvl w:ilvl="3">
      <w:start w:val="0"/>
      <w:numFmt w:val="bullet"/>
      <w:lvlText w:val="•"/>
      <w:lvlJc w:val="left"/>
      <w:pPr>
        <w:ind w:left="3588" w:hanging="720"/>
      </w:pPr>
      <w:rPr>
        <w:rFonts w:hint="default"/>
      </w:rPr>
    </w:lvl>
    <w:lvl w:ilvl="4">
      <w:start w:val="0"/>
      <w:numFmt w:val="bullet"/>
      <w:lvlText w:val="•"/>
      <w:lvlJc w:val="left"/>
      <w:pPr>
        <w:ind w:left="4504" w:hanging="720"/>
      </w:pPr>
      <w:rPr>
        <w:rFonts w:hint="default"/>
      </w:rPr>
    </w:lvl>
    <w:lvl w:ilvl="5">
      <w:start w:val="0"/>
      <w:numFmt w:val="bullet"/>
      <w:lvlText w:val="•"/>
      <w:lvlJc w:val="left"/>
      <w:pPr>
        <w:ind w:left="5420" w:hanging="720"/>
      </w:pPr>
      <w:rPr>
        <w:rFonts w:hint="default"/>
      </w:rPr>
    </w:lvl>
    <w:lvl w:ilvl="6">
      <w:start w:val="0"/>
      <w:numFmt w:val="bullet"/>
      <w:lvlText w:val="•"/>
      <w:lvlJc w:val="left"/>
      <w:pPr>
        <w:ind w:left="6336" w:hanging="720"/>
      </w:pPr>
      <w:rPr>
        <w:rFonts w:hint="default"/>
      </w:rPr>
    </w:lvl>
    <w:lvl w:ilvl="7">
      <w:start w:val="0"/>
      <w:numFmt w:val="bullet"/>
      <w:lvlText w:val="•"/>
      <w:lvlJc w:val="left"/>
      <w:pPr>
        <w:ind w:left="7252" w:hanging="720"/>
      </w:pPr>
      <w:rPr>
        <w:rFonts w:hint="default"/>
      </w:rPr>
    </w:lvl>
    <w:lvl w:ilvl="8">
      <w:start w:val="0"/>
      <w:numFmt w:val="bullet"/>
      <w:lvlText w:val="•"/>
      <w:lvlJc w:val="left"/>
      <w:pPr>
        <w:ind w:left="8168" w:hanging="720"/>
      </w:pPr>
      <w:rPr>
        <w:rFonts w:hint="default"/>
      </w:rPr>
    </w:lvl>
  </w:abstractNum>
  <w:abstractNum w:abstractNumId="0">
    <w:multiLevelType w:val="hybridMultilevel"/>
    <w:lvl w:ilvl="0">
      <w:start w:val="1"/>
      <w:numFmt w:val="decimal"/>
      <w:lvlText w:val="%1"/>
      <w:lvlJc w:val="left"/>
      <w:pPr>
        <w:ind w:left="117" w:hanging="456"/>
        <w:jc w:val="left"/>
      </w:pPr>
      <w:rPr>
        <w:rFonts w:hint="default" w:ascii="Times New Roman" w:hAnsi="Times New Roman" w:eastAsia="Times New Roman" w:cs="Times New Roman"/>
        <w:w w:val="86"/>
        <w:sz w:val="24"/>
        <w:szCs w:val="24"/>
      </w:rPr>
    </w:lvl>
    <w:lvl w:ilvl="1">
      <w:start w:val="0"/>
      <w:numFmt w:val="bullet"/>
      <w:lvlText w:val="•"/>
      <w:lvlJc w:val="left"/>
      <w:pPr>
        <w:ind w:left="1108" w:hanging="456"/>
      </w:pPr>
      <w:rPr>
        <w:rFonts w:hint="default"/>
      </w:rPr>
    </w:lvl>
    <w:lvl w:ilvl="2">
      <w:start w:val="0"/>
      <w:numFmt w:val="bullet"/>
      <w:lvlText w:val="•"/>
      <w:lvlJc w:val="left"/>
      <w:pPr>
        <w:ind w:left="2096" w:hanging="456"/>
      </w:pPr>
      <w:rPr>
        <w:rFonts w:hint="default"/>
      </w:rPr>
    </w:lvl>
    <w:lvl w:ilvl="3">
      <w:start w:val="0"/>
      <w:numFmt w:val="bullet"/>
      <w:lvlText w:val="•"/>
      <w:lvlJc w:val="left"/>
      <w:pPr>
        <w:ind w:left="3084" w:hanging="456"/>
      </w:pPr>
      <w:rPr>
        <w:rFonts w:hint="default"/>
      </w:rPr>
    </w:lvl>
    <w:lvl w:ilvl="4">
      <w:start w:val="0"/>
      <w:numFmt w:val="bullet"/>
      <w:lvlText w:val="•"/>
      <w:lvlJc w:val="left"/>
      <w:pPr>
        <w:ind w:left="4072" w:hanging="456"/>
      </w:pPr>
      <w:rPr>
        <w:rFonts w:hint="default"/>
      </w:rPr>
    </w:lvl>
    <w:lvl w:ilvl="5">
      <w:start w:val="0"/>
      <w:numFmt w:val="bullet"/>
      <w:lvlText w:val="•"/>
      <w:lvlJc w:val="left"/>
      <w:pPr>
        <w:ind w:left="5060" w:hanging="456"/>
      </w:pPr>
      <w:rPr>
        <w:rFonts w:hint="default"/>
      </w:rPr>
    </w:lvl>
    <w:lvl w:ilvl="6">
      <w:start w:val="0"/>
      <w:numFmt w:val="bullet"/>
      <w:lvlText w:val="•"/>
      <w:lvlJc w:val="left"/>
      <w:pPr>
        <w:ind w:left="6048" w:hanging="456"/>
      </w:pPr>
      <w:rPr>
        <w:rFonts w:hint="default"/>
      </w:rPr>
    </w:lvl>
    <w:lvl w:ilvl="7">
      <w:start w:val="0"/>
      <w:numFmt w:val="bullet"/>
      <w:lvlText w:val="•"/>
      <w:lvlJc w:val="left"/>
      <w:pPr>
        <w:ind w:left="7036" w:hanging="456"/>
      </w:pPr>
      <w:rPr>
        <w:rFonts w:hint="default"/>
      </w:rPr>
    </w:lvl>
    <w:lvl w:ilvl="8">
      <w:start w:val="0"/>
      <w:numFmt w:val="bullet"/>
      <w:lvlText w:val="•"/>
      <w:lvlJc w:val="left"/>
      <w:pPr>
        <w:ind w:left="8024" w:hanging="456"/>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9805.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May 1998</dc:subject>
  <dc:title>Monetary Policy Committee minutes May 1998</dc:title>
  <dcterms:created xsi:type="dcterms:W3CDTF">2020-06-01T02:14:13Z</dcterms:created>
  <dcterms:modified xsi:type="dcterms:W3CDTF">2020-06-01T02:14:13Z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2000-02-04T00:00:00Z</vt:filetime>
  </property>
  <property fmtid="{D5CDD505-2E9C-101B-9397-08002B2CF9AE}" pid="3" name="LastSaved">
    <vt:filetime>2020-06-01T00:00:00Z</vt:filetime>
  </property>
</Properties>
</file>