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55" w:right="0" w:firstLine="0"/>
        <w:jc w:val="left"/>
        <w:rPr>
          <w:rFonts w:ascii="Book Antiqua"/>
          <w:sz w:val="36"/>
        </w:rPr>
      </w:pPr>
      <w:r>
        <w:rPr>
          <w:rFonts w:ascii="Book Antiqua"/>
          <w:sz w:val="36"/>
        </w:rPr>
        <w:t>Publication date: 22 June 2005</w:t>
      </w:r>
    </w:p>
    <w:p>
      <w:pPr>
        <w:pStyle w:val="BodyText"/>
        <w:rPr>
          <w:rFonts w:ascii="Book Antiqua"/>
          <w:sz w:val="20"/>
        </w:rPr>
      </w:pPr>
    </w:p>
    <w:p>
      <w:pPr>
        <w:pStyle w:val="BodyText"/>
        <w:spacing w:before="11"/>
        <w:rPr>
          <w:rFonts w:ascii="Book Antiqua"/>
          <w:sz w:val="10"/>
        </w:rPr>
      </w:pPr>
      <w:r>
        <w:rPr/>
        <w:pict>
          <v:group style="position:absolute;margin-left:49.5pt;margin-top:8.755078pt;width:495pt;height:4.5pt;mso-position-horizontal-relative:page;mso-position-vertical-relative:paragraph;z-index:-251658240;mso-wrap-distance-left:0;mso-wrap-distance-right:0" coordorigin="990,175" coordsize="9900,90">
            <v:line style="position:absolute" from="990,205" to="10890,205" stroked="true" strokeweight="3pt" strokecolor="#000000">
              <v:stroke dashstyle="solid"/>
            </v:line>
            <v:line style="position:absolute" from="990,258" to="10890,258" stroked="true" strokeweight=".75pt" strokecolor="#000000">
              <v:stroke dashstyle="solid"/>
            </v:line>
            <w10:wrap type="topAndBottom"/>
          </v:group>
        </w:pict>
      </w:r>
    </w:p>
    <w:p>
      <w:pPr>
        <w:spacing w:line="244" w:lineRule="auto" w:before="89"/>
        <w:ind w:left="1820" w:right="2378" w:firstLine="0"/>
        <w:jc w:val="center"/>
        <w:rPr>
          <w:rFonts w:ascii="Book Antiqua"/>
          <w:b/>
          <w:sz w:val="55"/>
        </w:rPr>
      </w:pPr>
      <w:r>
        <w:rPr>
          <w:rFonts w:ascii="Book Antiqua"/>
          <w:b/>
          <w:sz w:val="48"/>
        </w:rPr>
        <w:t>MINUTES OF </w:t>
      </w:r>
      <w:r>
        <w:rPr>
          <w:rFonts w:ascii="Book Antiqua"/>
          <w:b/>
          <w:spacing w:val="2"/>
          <w:sz w:val="55"/>
        </w:rPr>
        <w:t>MONETARY </w:t>
      </w:r>
      <w:r>
        <w:rPr>
          <w:rFonts w:ascii="Book Antiqua"/>
          <w:b/>
          <w:spacing w:val="3"/>
          <w:sz w:val="55"/>
        </w:rPr>
        <w:t>POLICY </w:t>
      </w:r>
      <w:r>
        <w:rPr>
          <w:rFonts w:ascii="Book Antiqua"/>
          <w:b/>
          <w:spacing w:val="2"/>
          <w:sz w:val="55"/>
        </w:rPr>
        <w:t>COMMITTEE</w:t>
      </w:r>
      <w:r>
        <w:rPr>
          <w:rFonts w:ascii="Book Antiqua"/>
          <w:b/>
          <w:spacing w:val="67"/>
          <w:sz w:val="55"/>
        </w:rPr>
        <w:t> </w:t>
      </w:r>
      <w:r>
        <w:rPr>
          <w:rFonts w:ascii="Book Antiqua"/>
          <w:b/>
          <w:sz w:val="55"/>
        </w:rPr>
        <w:t>MEETING</w:t>
      </w:r>
    </w:p>
    <w:p>
      <w:pPr>
        <w:spacing w:before="82"/>
        <w:ind w:left="1819" w:right="2378" w:firstLine="0"/>
        <w:jc w:val="center"/>
        <w:rPr>
          <w:rFonts w:ascii="Book Antiqua"/>
          <w:b/>
          <w:sz w:val="48"/>
        </w:rPr>
      </w:pPr>
      <w:r>
        <w:rPr>
          <w:rFonts w:ascii="Book Antiqua"/>
          <w:b/>
          <w:sz w:val="48"/>
        </w:rPr>
        <w:t>8 and 9 June 2005</w:t>
      </w:r>
    </w:p>
    <w:p>
      <w:pPr>
        <w:pStyle w:val="BodyText"/>
        <w:spacing w:before="3"/>
        <w:rPr>
          <w:rFonts w:ascii="Book Antiqua"/>
          <w:b/>
          <w:sz w:val="17"/>
        </w:rPr>
      </w:pPr>
      <w:r>
        <w:rPr/>
        <w:pict>
          <v:group style="position:absolute;margin-left:49.5pt;margin-top:12.396865pt;width:495pt;height:4.5pt;mso-position-horizontal-relative:page;mso-position-vertical-relative:paragraph;z-index:-251657216;mso-wrap-distance-left:0;mso-wrap-distance-right:0" coordorigin="990,248" coordsize="9900,90">
            <v:line style="position:absolute" from="990,255" to="10890,255" stroked="true" strokeweight=".75pt" strokecolor="#000000">
              <v:stroke dashstyle="solid"/>
            </v:line>
            <v:line style="position:absolute" from="990,315" to="10890,315" stroked="true" strokeweight="2.25pt" strokecolor="#000000">
              <v:stroke dashstyle="solid"/>
            </v:line>
            <w10:wrap type="topAndBottom"/>
          </v:group>
        </w:pict>
      </w:r>
    </w:p>
    <w:p>
      <w:pPr>
        <w:pStyle w:val="BodyText"/>
        <w:rPr>
          <w:rFonts w:ascii="Book Antiqua"/>
          <w:b/>
          <w:sz w:val="56"/>
        </w:rPr>
      </w:pPr>
    </w:p>
    <w:p>
      <w:pPr>
        <w:spacing w:line="290" w:lineRule="auto" w:before="450"/>
        <w:ind w:left="155" w:right="2306" w:firstLine="0"/>
        <w:jc w:val="left"/>
        <w:rPr>
          <w:rFonts w:ascii="Book Antiqua"/>
          <w:sz w:val="25"/>
        </w:rPr>
      </w:pPr>
      <w:r>
        <w:rPr>
          <w:rFonts w:ascii="Book Antiqua"/>
          <w:sz w:val="25"/>
        </w:rPr>
        <w:t>These are the minutes of the Monetary Policy Committee meeting held on    8 and 9 June</w:t>
      </w:r>
      <w:r>
        <w:rPr>
          <w:rFonts w:ascii="Book Antiqua"/>
          <w:spacing w:val="12"/>
          <w:sz w:val="25"/>
        </w:rPr>
        <w:t> </w:t>
      </w:r>
      <w:r>
        <w:rPr>
          <w:rFonts w:ascii="Book Antiqua"/>
          <w:spacing w:val="8"/>
          <w:sz w:val="25"/>
        </w:rPr>
        <w:t>2005.</w:t>
      </w:r>
    </w:p>
    <w:p>
      <w:pPr>
        <w:pStyle w:val="BodyText"/>
        <w:rPr>
          <w:rFonts w:ascii="Book Antiqua"/>
        </w:rPr>
      </w:pPr>
    </w:p>
    <w:p>
      <w:pPr>
        <w:spacing w:line="302" w:lineRule="auto" w:before="0"/>
        <w:ind w:left="155" w:right="0" w:firstLine="0"/>
        <w:jc w:val="left"/>
        <w:rPr>
          <w:rFonts w:ascii="Book Antiqua"/>
          <w:sz w:val="25"/>
        </w:rPr>
      </w:pPr>
      <w:r>
        <w:rPr>
          <w:rFonts w:ascii="Book Antiqua"/>
          <w:sz w:val="25"/>
        </w:rPr>
        <w:t>They are also available on the Internet </w:t>
      </w:r>
      <w:hyperlink r:id="rId5">
        <w:r>
          <w:rPr>
            <w:rFonts w:ascii="Book Antiqua"/>
            <w:sz w:val="25"/>
          </w:rPr>
          <w:t>(http://www.bankofengland.c</w:t>
        </w:r>
      </w:hyperlink>
      <w:r>
        <w:rPr>
          <w:rFonts w:ascii="Book Antiqua"/>
          <w:sz w:val="25"/>
        </w:rPr>
        <w:t>o</w:t>
      </w:r>
      <w:hyperlink r:id="rId5">
        <w:r>
          <w:rPr>
            <w:rFonts w:ascii="Book Antiqua"/>
            <w:sz w:val="25"/>
          </w:rPr>
          <w:t>.uk/publications/minutes/mpc/pdf/2005/mpc0506.pdf).</w:t>
        </w:r>
      </w:hyperlink>
    </w:p>
    <w:p>
      <w:pPr>
        <w:spacing w:line="300" w:lineRule="auto" w:before="267"/>
        <w:ind w:left="155" w:right="1042" w:firstLine="0"/>
        <w:jc w:val="left"/>
        <w:rPr>
          <w:rFonts w:ascii="Book Antiqua" w:hAnsi="Book Antiqua"/>
          <w:sz w:val="25"/>
        </w:rPr>
      </w:pPr>
      <w:r>
        <w:rPr>
          <w:rFonts w:ascii="Book Antiqua" w:hAnsi="Book Antiqua"/>
          <w:sz w:val="25"/>
        </w:rPr>
        <w:t>The Bank of England Act 1998 gives the Bank of England </w:t>
      </w:r>
      <w:r>
        <w:rPr>
          <w:rFonts w:ascii="Book Antiqua" w:hAnsi="Book Antiqua"/>
          <w:spacing w:val="3"/>
          <w:sz w:val="25"/>
        </w:rPr>
        <w:t>operational </w:t>
      </w:r>
      <w:r>
        <w:rPr>
          <w:rFonts w:ascii="Book Antiqua" w:hAnsi="Book Antiqua"/>
          <w:sz w:val="25"/>
        </w:rPr>
        <w:t>responsibility     for setting interest rates to meet the Government’s inflation target. Operational  decisions are taken by the Bank’s Monetary Policy Committee. </w:t>
      </w:r>
      <w:r>
        <w:rPr>
          <w:rFonts w:ascii="Book Antiqua" w:hAnsi="Book Antiqua"/>
          <w:spacing w:val="5"/>
          <w:sz w:val="25"/>
        </w:rPr>
        <w:t>The </w:t>
      </w:r>
      <w:r>
        <w:rPr>
          <w:rFonts w:ascii="Book Antiqua" w:hAnsi="Book Antiqua"/>
          <w:sz w:val="25"/>
        </w:rPr>
        <w:t>Committee meets  on a regular monthly basis and minutes of its meetings  are  released  on  </w:t>
      </w:r>
      <w:r>
        <w:rPr>
          <w:rFonts w:ascii="Book Antiqua" w:hAnsi="Book Antiqua"/>
          <w:spacing w:val="2"/>
          <w:sz w:val="25"/>
        </w:rPr>
        <w:t>the </w:t>
      </w:r>
      <w:r>
        <w:rPr>
          <w:rFonts w:ascii="Book Antiqua" w:hAnsi="Book Antiqua"/>
          <w:sz w:val="25"/>
        </w:rPr>
        <w:t>Wednesday of the second week after the meeting takes place.   Accordingly, </w:t>
      </w:r>
      <w:r>
        <w:rPr>
          <w:rFonts w:ascii="Book Antiqua" w:hAnsi="Book Antiqua"/>
          <w:spacing w:val="2"/>
          <w:sz w:val="25"/>
        </w:rPr>
        <w:t>the  </w:t>
      </w:r>
      <w:r>
        <w:rPr>
          <w:rFonts w:ascii="Book Antiqua" w:hAnsi="Book Antiqua"/>
          <w:sz w:val="25"/>
        </w:rPr>
        <w:t>minutes</w:t>
      </w:r>
      <w:r>
        <w:rPr>
          <w:rFonts w:ascii="Book Antiqua" w:hAnsi="Book Antiqua"/>
          <w:spacing w:val="10"/>
          <w:sz w:val="25"/>
        </w:rPr>
        <w:t> </w:t>
      </w:r>
      <w:r>
        <w:rPr>
          <w:rFonts w:ascii="Book Antiqua" w:hAnsi="Book Antiqua"/>
          <w:sz w:val="25"/>
        </w:rPr>
        <w:t>of</w:t>
      </w:r>
      <w:r>
        <w:rPr>
          <w:rFonts w:ascii="Book Antiqua" w:hAnsi="Book Antiqua"/>
          <w:spacing w:val="11"/>
          <w:sz w:val="25"/>
        </w:rPr>
        <w:t> </w:t>
      </w:r>
      <w:r>
        <w:rPr>
          <w:rFonts w:ascii="Book Antiqua" w:hAnsi="Book Antiqua"/>
          <w:sz w:val="25"/>
        </w:rPr>
        <w:t>the</w:t>
      </w:r>
      <w:r>
        <w:rPr>
          <w:rFonts w:ascii="Book Antiqua" w:hAnsi="Book Antiqua"/>
          <w:spacing w:val="11"/>
          <w:sz w:val="25"/>
        </w:rPr>
        <w:t> </w:t>
      </w:r>
      <w:r>
        <w:rPr>
          <w:rFonts w:ascii="Book Antiqua" w:hAnsi="Book Antiqua"/>
          <w:sz w:val="25"/>
        </w:rPr>
        <w:t>Committee</w:t>
      </w:r>
      <w:r>
        <w:rPr>
          <w:rFonts w:ascii="Book Antiqua" w:hAnsi="Book Antiqua"/>
          <w:spacing w:val="11"/>
          <w:sz w:val="25"/>
        </w:rPr>
        <w:t> </w:t>
      </w:r>
      <w:r>
        <w:rPr>
          <w:rFonts w:ascii="Book Antiqua" w:hAnsi="Book Antiqua"/>
          <w:sz w:val="25"/>
        </w:rPr>
        <w:t>meeting</w:t>
      </w:r>
      <w:r>
        <w:rPr>
          <w:rFonts w:ascii="Book Antiqua" w:hAnsi="Book Antiqua"/>
          <w:spacing w:val="11"/>
          <w:sz w:val="25"/>
        </w:rPr>
        <w:t> </w:t>
      </w:r>
      <w:r>
        <w:rPr>
          <w:rFonts w:ascii="Book Antiqua" w:hAnsi="Book Antiqua"/>
          <w:sz w:val="25"/>
        </w:rPr>
        <w:t>held</w:t>
      </w:r>
      <w:r>
        <w:rPr>
          <w:rFonts w:ascii="Book Antiqua" w:hAnsi="Book Antiqua"/>
          <w:spacing w:val="10"/>
          <w:sz w:val="25"/>
        </w:rPr>
        <w:t> </w:t>
      </w:r>
      <w:r>
        <w:rPr>
          <w:rFonts w:ascii="Book Antiqua" w:hAnsi="Book Antiqua"/>
          <w:sz w:val="25"/>
        </w:rPr>
        <w:t>on</w:t>
      </w:r>
      <w:r>
        <w:rPr>
          <w:rFonts w:ascii="Book Antiqua" w:hAnsi="Book Antiqua"/>
          <w:spacing w:val="10"/>
          <w:sz w:val="25"/>
        </w:rPr>
        <w:t> </w:t>
      </w:r>
      <w:r>
        <w:rPr>
          <w:rFonts w:ascii="Book Antiqua" w:hAnsi="Book Antiqua"/>
          <w:sz w:val="25"/>
        </w:rPr>
        <w:t>6</w:t>
      </w:r>
      <w:r>
        <w:rPr>
          <w:rFonts w:ascii="Book Antiqua" w:hAnsi="Book Antiqua"/>
          <w:spacing w:val="12"/>
          <w:sz w:val="25"/>
        </w:rPr>
        <w:t> </w:t>
      </w:r>
      <w:r>
        <w:rPr>
          <w:rFonts w:ascii="Book Antiqua" w:hAnsi="Book Antiqua"/>
          <w:spacing w:val="5"/>
          <w:sz w:val="25"/>
        </w:rPr>
        <w:t>and</w:t>
      </w:r>
      <w:r>
        <w:rPr>
          <w:rFonts w:ascii="Book Antiqua" w:hAnsi="Book Antiqua"/>
          <w:spacing w:val="12"/>
          <w:sz w:val="25"/>
        </w:rPr>
        <w:t> </w:t>
      </w:r>
      <w:r>
        <w:rPr>
          <w:rFonts w:ascii="Book Antiqua" w:hAnsi="Book Antiqua"/>
          <w:sz w:val="25"/>
        </w:rPr>
        <w:t>7</w:t>
      </w:r>
      <w:r>
        <w:rPr>
          <w:rFonts w:ascii="Book Antiqua" w:hAnsi="Book Antiqua"/>
          <w:spacing w:val="12"/>
          <w:sz w:val="25"/>
        </w:rPr>
        <w:t> </w:t>
      </w:r>
      <w:r>
        <w:rPr>
          <w:rFonts w:ascii="Book Antiqua" w:hAnsi="Book Antiqua"/>
          <w:spacing w:val="6"/>
          <w:sz w:val="25"/>
        </w:rPr>
        <w:t>July</w:t>
      </w:r>
      <w:r>
        <w:rPr>
          <w:rFonts w:ascii="Book Antiqua" w:hAnsi="Book Antiqua"/>
          <w:spacing w:val="-11"/>
          <w:sz w:val="25"/>
        </w:rPr>
        <w:t> </w:t>
      </w:r>
      <w:r>
        <w:rPr>
          <w:rFonts w:ascii="Book Antiqua" w:hAnsi="Book Antiqua"/>
          <w:sz w:val="25"/>
        </w:rPr>
        <w:t>will</w:t>
      </w:r>
      <w:r>
        <w:rPr>
          <w:rFonts w:ascii="Book Antiqua" w:hAnsi="Book Antiqua"/>
          <w:spacing w:val="14"/>
          <w:sz w:val="25"/>
        </w:rPr>
        <w:t> </w:t>
      </w:r>
      <w:r>
        <w:rPr>
          <w:rFonts w:ascii="Book Antiqua" w:hAnsi="Book Antiqua"/>
          <w:sz w:val="25"/>
        </w:rPr>
        <w:t>be</w:t>
      </w:r>
      <w:r>
        <w:rPr>
          <w:rFonts w:ascii="Book Antiqua" w:hAnsi="Book Antiqua"/>
          <w:spacing w:val="14"/>
          <w:sz w:val="25"/>
        </w:rPr>
        <w:t> </w:t>
      </w:r>
      <w:r>
        <w:rPr>
          <w:rFonts w:ascii="Book Antiqua" w:hAnsi="Book Antiqua"/>
          <w:sz w:val="25"/>
        </w:rPr>
        <w:t>published</w:t>
      </w:r>
      <w:r>
        <w:rPr>
          <w:rFonts w:ascii="Book Antiqua" w:hAnsi="Book Antiqua"/>
          <w:spacing w:val="14"/>
          <w:sz w:val="25"/>
        </w:rPr>
        <w:t> </w:t>
      </w:r>
      <w:r>
        <w:rPr>
          <w:rFonts w:ascii="Book Antiqua" w:hAnsi="Book Antiqua"/>
          <w:sz w:val="25"/>
        </w:rPr>
        <w:t>on</w:t>
      </w:r>
    </w:p>
    <w:p>
      <w:pPr>
        <w:spacing w:line="306" w:lineRule="exact" w:before="0"/>
        <w:ind w:left="155" w:right="0" w:firstLine="0"/>
        <w:jc w:val="left"/>
        <w:rPr>
          <w:rFonts w:ascii="Book Antiqua"/>
          <w:sz w:val="25"/>
        </w:rPr>
      </w:pPr>
      <w:r>
        <w:rPr>
          <w:rFonts w:ascii="Book Antiqua"/>
          <w:sz w:val="25"/>
        </w:rPr>
        <w:t>20 July 2005.</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8"/>
        <w:rPr>
          <w:rFonts w:ascii="Book Antiqua"/>
          <w:sz w:val="13"/>
        </w:rPr>
      </w:pPr>
      <w:r>
        <w:rPr/>
        <w:drawing>
          <wp:anchor distT="0" distB="0" distL="0" distR="0" allowOverlap="1" layoutInCell="1" locked="0" behindDoc="0" simplePos="0" relativeHeight="2">
            <wp:simplePos x="0" y="0"/>
            <wp:positionH relativeFrom="page">
              <wp:posOffset>5486400</wp:posOffset>
            </wp:positionH>
            <wp:positionV relativeFrom="paragraph">
              <wp:posOffset>132433</wp:posOffset>
            </wp:positionV>
            <wp:extent cx="1420749" cy="1420749"/>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0749" cy="1420749"/>
                    </a:xfrm>
                    <a:prstGeom prst="rect">
                      <a:avLst/>
                    </a:prstGeom>
                  </pic:spPr>
                </pic:pic>
              </a:graphicData>
            </a:graphic>
          </wp:anchor>
        </w:drawing>
      </w:r>
    </w:p>
    <w:p>
      <w:pPr>
        <w:spacing w:after="0"/>
        <w:rPr>
          <w:rFonts w:ascii="Book Antiqua"/>
          <w:sz w:val="13"/>
        </w:rPr>
        <w:sectPr>
          <w:type w:val="continuous"/>
          <w:pgSz w:w="11920" w:h="16840"/>
          <w:pgMar w:top="1360" w:bottom="280" w:left="880" w:right="3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line="249" w:lineRule="auto" w:before="248"/>
        <w:ind w:left="108" w:right="483" w:firstLine="0"/>
        <w:jc w:val="left"/>
        <w:rPr>
          <w:b/>
          <w:sz w:val="27"/>
        </w:rPr>
      </w:pPr>
      <w:r>
        <w:rPr>
          <w:b/>
          <w:sz w:val="27"/>
        </w:rPr>
        <w:t>MINUTES OF THE MONETARY POLICY COMMITTEE MEETING HELD ON 8-9 JUNE 2005</w:t>
      </w:r>
    </w:p>
    <w:p>
      <w:pPr>
        <w:pStyle w:val="BodyText"/>
        <w:rPr>
          <w:b/>
          <w:sz w:val="30"/>
        </w:rPr>
      </w:pPr>
    </w:p>
    <w:p>
      <w:pPr>
        <w:pStyle w:val="ListParagraph"/>
        <w:numPr>
          <w:ilvl w:val="0"/>
          <w:numId w:val="1"/>
        </w:numPr>
        <w:tabs>
          <w:tab w:pos="671" w:val="left" w:leader="none"/>
          <w:tab w:pos="672" w:val="left" w:leader="none"/>
        </w:tabs>
        <w:spacing w:line="364" w:lineRule="auto" w:before="202" w:after="0"/>
        <w:ind w:left="107" w:right="209" w:firstLine="0"/>
        <w:jc w:val="left"/>
        <w:rPr>
          <w:sz w:val="24"/>
        </w:rPr>
      </w:pPr>
      <w:r>
        <w:rPr>
          <w:sz w:val="24"/>
        </w:rPr>
        <w:t>Before turning to its immediate policy decision, the Committee discussed financial markets; the international economy; money, credit, demand and output; </w:t>
      </w:r>
      <w:r>
        <w:rPr>
          <w:spacing w:val="-6"/>
          <w:sz w:val="24"/>
        </w:rPr>
        <w:t>and </w:t>
      </w:r>
      <w:r>
        <w:rPr>
          <w:sz w:val="24"/>
        </w:rPr>
        <w:t>the </w:t>
      </w:r>
      <w:r>
        <w:rPr>
          <w:spacing w:val="-3"/>
          <w:sz w:val="24"/>
        </w:rPr>
        <w:t>labour market, </w:t>
      </w:r>
      <w:r>
        <w:rPr>
          <w:sz w:val="24"/>
        </w:rPr>
        <w:t>costs and</w:t>
      </w:r>
      <w:r>
        <w:rPr>
          <w:spacing w:val="-18"/>
          <w:sz w:val="24"/>
        </w:rPr>
        <w:t> </w:t>
      </w:r>
      <w:r>
        <w:rPr>
          <w:sz w:val="24"/>
        </w:rPr>
        <w:t>prices.</w:t>
      </w:r>
    </w:p>
    <w:p>
      <w:pPr>
        <w:pStyle w:val="BodyText"/>
        <w:spacing w:before="6"/>
        <w:rPr>
          <w:sz w:val="35"/>
        </w:rPr>
      </w:pPr>
    </w:p>
    <w:p>
      <w:pPr>
        <w:pStyle w:val="Heading1"/>
        <w:ind w:left="107"/>
      </w:pPr>
      <w:r>
        <w:rPr/>
        <w:t>Financial markets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55" w:lineRule="auto" w:before="0" w:after="0"/>
        <w:ind w:left="107" w:right="193" w:firstLine="0"/>
        <w:jc w:val="left"/>
        <w:rPr>
          <w:sz w:val="24"/>
        </w:rPr>
      </w:pPr>
      <w:r>
        <w:rPr>
          <w:sz w:val="24"/>
        </w:rPr>
        <w:t>Over the past month, market interest rates had fallen at all maturities, equity prices had</w:t>
      </w:r>
      <w:r>
        <w:rPr>
          <w:spacing w:val="-45"/>
          <w:sz w:val="24"/>
        </w:rPr>
        <w:t> </w:t>
      </w:r>
      <w:r>
        <w:rPr>
          <w:sz w:val="24"/>
        </w:rPr>
        <w:t>risen </w:t>
      </w:r>
      <w:r>
        <w:rPr>
          <w:spacing w:val="-4"/>
          <w:sz w:val="24"/>
        </w:rPr>
        <w:t>and </w:t>
      </w:r>
      <w:r>
        <w:rPr>
          <w:sz w:val="24"/>
        </w:rPr>
        <w:t>there had been little movement in sterling’s effective exchange rate</w:t>
      </w:r>
      <w:r>
        <w:rPr>
          <w:spacing w:val="-14"/>
          <w:sz w:val="24"/>
        </w:rPr>
        <w:t> </w:t>
      </w:r>
      <w:r>
        <w:rPr>
          <w:spacing w:val="-4"/>
          <w:sz w:val="24"/>
        </w:rPr>
        <w:t>index.</w:t>
      </w:r>
    </w:p>
    <w:p>
      <w:pPr>
        <w:pStyle w:val="BodyText"/>
        <w:spacing w:before="5"/>
        <w:rPr>
          <w:sz w:val="36"/>
        </w:rPr>
      </w:pPr>
    </w:p>
    <w:p>
      <w:pPr>
        <w:pStyle w:val="ListParagraph"/>
        <w:numPr>
          <w:ilvl w:val="0"/>
          <w:numId w:val="1"/>
        </w:numPr>
        <w:tabs>
          <w:tab w:pos="671" w:val="left" w:leader="none"/>
          <w:tab w:pos="672" w:val="left" w:leader="none"/>
        </w:tabs>
        <w:spacing w:line="360" w:lineRule="auto" w:before="0" w:after="0"/>
        <w:ind w:left="107" w:right="169" w:firstLine="0"/>
        <w:jc w:val="left"/>
        <w:rPr>
          <w:sz w:val="24"/>
        </w:rPr>
      </w:pPr>
      <w:r>
        <w:rPr>
          <w:sz w:val="24"/>
        </w:rPr>
        <w:t>Short-term market interest rate expectations, as measured by the December 2005 short sterling </w:t>
      </w:r>
      <w:r>
        <w:rPr>
          <w:spacing w:val="-4"/>
          <w:sz w:val="24"/>
        </w:rPr>
        <w:t>contract, </w:t>
      </w:r>
      <w:r>
        <w:rPr>
          <w:sz w:val="24"/>
        </w:rPr>
        <w:t>had fallen in the </w:t>
      </w:r>
      <w:r>
        <w:rPr>
          <w:spacing w:val="-4"/>
          <w:sz w:val="24"/>
        </w:rPr>
        <w:t>United </w:t>
      </w:r>
      <w:r>
        <w:rPr>
          <w:sz w:val="24"/>
        </w:rPr>
        <w:t>Kingdom by around 30 basis </w:t>
      </w:r>
      <w:r>
        <w:rPr>
          <w:spacing w:val="-4"/>
          <w:sz w:val="24"/>
        </w:rPr>
        <w:t>points </w:t>
      </w:r>
      <w:r>
        <w:rPr>
          <w:sz w:val="24"/>
        </w:rPr>
        <w:t>since the previous </w:t>
      </w:r>
      <w:r>
        <w:rPr>
          <w:spacing w:val="-3"/>
          <w:sz w:val="24"/>
        </w:rPr>
        <w:t>meeting. </w:t>
      </w:r>
      <w:r>
        <w:rPr>
          <w:sz w:val="24"/>
        </w:rPr>
        <w:t>The fall over the past month in the United Kingdom had been larger </w:t>
      </w:r>
      <w:r>
        <w:rPr>
          <w:spacing w:val="-3"/>
          <w:sz w:val="24"/>
        </w:rPr>
        <w:t>than </w:t>
      </w:r>
      <w:r>
        <w:rPr>
          <w:sz w:val="24"/>
        </w:rPr>
        <w:t>in the </w:t>
      </w:r>
      <w:r>
        <w:rPr>
          <w:spacing w:val="-3"/>
          <w:sz w:val="24"/>
        </w:rPr>
        <w:t>United </w:t>
      </w:r>
      <w:r>
        <w:rPr>
          <w:sz w:val="24"/>
        </w:rPr>
        <w:t>States </w:t>
      </w:r>
      <w:r>
        <w:rPr>
          <w:spacing w:val="-3"/>
          <w:sz w:val="24"/>
        </w:rPr>
        <w:t>and </w:t>
      </w:r>
      <w:r>
        <w:rPr>
          <w:sz w:val="24"/>
        </w:rPr>
        <w:t>in the euro area. </w:t>
      </w:r>
      <w:r>
        <w:rPr>
          <w:spacing w:val="-4"/>
          <w:sz w:val="24"/>
        </w:rPr>
        <w:t>The </w:t>
      </w:r>
      <w:r>
        <w:rPr>
          <w:sz w:val="24"/>
        </w:rPr>
        <w:t>decline in </w:t>
      </w:r>
      <w:r>
        <w:rPr>
          <w:spacing w:val="-3"/>
          <w:sz w:val="24"/>
        </w:rPr>
        <w:t>UK </w:t>
      </w:r>
      <w:r>
        <w:rPr>
          <w:spacing w:val="2"/>
          <w:sz w:val="24"/>
        </w:rPr>
        <w:t>short-term </w:t>
      </w:r>
      <w:r>
        <w:rPr>
          <w:sz w:val="24"/>
        </w:rPr>
        <w:t>market interest rate expectations since earlier in the year was even more substantial. The markets now appeared to be pricing in a reduction in the official repo </w:t>
      </w:r>
      <w:r>
        <w:rPr>
          <w:spacing w:val="-3"/>
          <w:sz w:val="24"/>
        </w:rPr>
        <w:t>rate </w:t>
      </w:r>
      <w:r>
        <w:rPr>
          <w:sz w:val="24"/>
        </w:rPr>
        <w:t>in the second half of the year – although no change in interest rates was expected at this meeting. The magnitude of the fall in short-term market interest rates in the </w:t>
      </w:r>
      <w:r>
        <w:rPr>
          <w:spacing w:val="-3"/>
          <w:sz w:val="24"/>
        </w:rPr>
        <w:t>United </w:t>
      </w:r>
      <w:r>
        <w:rPr>
          <w:sz w:val="24"/>
        </w:rPr>
        <w:t>Kingdom seemed a little surprising in the </w:t>
      </w:r>
      <w:r>
        <w:rPr>
          <w:spacing w:val="2"/>
          <w:sz w:val="24"/>
        </w:rPr>
        <w:t>light </w:t>
      </w:r>
      <w:r>
        <w:rPr>
          <w:sz w:val="24"/>
        </w:rPr>
        <w:t>of the </w:t>
      </w:r>
      <w:r>
        <w:rPr>
          <w:spacing w:val="-3"/>
          <w:sz w:val="24"/>
        </w:rPr>
        <w:t>mixed </w:t>
      </w:r>
      <w:r>
        <w:rPr>
          <w:sz w:val="24"/>
        </w:rPr>
        <w:t>data. The weaker view on UK interest rates </w:t>
      </w:r>
      <w:r>
        <w:rPr>
          <w:spacing w:val="2"/>
          <w:sz w:val="24"/>
        </w:rPr>
        <w:t>that </w:t>
      </w:r>
      <w:r>
        <w:rPr>
          <w:sz w:val="24"/>
        </w:rPr>
        <w:t>had been </w:t>
      </w:r>
      <w:r>
        <w:rPr>
          <w:spacing w:val="2"/>
          <w:sz w:val="24"/>
        </w:rPr>
        <w:t>priced </w:t>
      </w:r>
      <w:r>
        <w:rPr>
          <w:spacing w:val="-3"/>
          <w:sz w:val="24"/>
        </w:rPr>
        <w:t>into </w:t>
      </w:r>
      <w:r>
        <w:rPr>
          <w:sz w:val="24"/>
        </w:rPr>
        <w:t>the short end of the yield curve was not shared by </w:t>
      </w:r>
      <w:r>
        <w:rPr>
          <w:spacing w:val="2"/>
          <w:sz w:val="24"/>
        </w:rPr>
        <w:t>all </w:t>
      </w:r>
      <w:r>
        <w:rPr>
          <w:sz w:val="24"/>
        </w:rPr>
        <w:t>commentators. All 45 of the economists surveyed by Reuters </w:t>
      </w:r>
      <w:r>
        <w:rPr>
          <w:spacing w:val="-3"/>
          <w:sz w:val="24"/>
        </w:rPr>
        <w:t>had </w:t>
      </w:r>
      <w:r>
        <w:rPr>
          <w:sz w:val="24"/>
        </w:rPr>
        <w:t>expected no change in official interest rates this </w:t>
      </w:r>
      <w:r>
        <w:rPr>
          <w:spacing w:val="-4"/>
          <w:sz w:val="24"/>
        </w:rPr>
        <w:t>month, </w:t>
      </w:r>
      <w:r>
        <w:rPr>
          <w:spacing w:val="-6"/>
          <w:sz w:val="24"/>
        </w:rPr>
        <w:t>and </w:t>
      </w:r>
      <w:r>
        <w:rPr>
          <w:sz w:val="24"/>
        </w:rPr>
        <w:t>their </w:t>
      </w:r>
      <w:r>
        <w:rPr>
          <w:spacing w:val="-4"/>
          <w:sz w:val="24"/>
        </w:rPr>
        <w:t>mean </w:t>
      </w:r>
      <w:r>
        <w:rPr>
          <w:sz w:val="24"/>
        </w:rPr>
        <w:t>expectation for the end of 2005, though down on the month, implied no change in the repo rate. There had been some increase in measures of uncertainty – as measured by implied volatility on short sterling options contracts – but this increase had not been particularly large by recent historical standards.</w:t>
      </w:r>
    </w:p>
    <w:p>
      <w:pPr>
        <w:pStyle w:val="BodyText"/>
        <w:spacing w:before="7"/>
        <w:rPr>
          <w:sz w:val="36"/>
        </w:rPr>
      </w:pPr>
    </w:p>
    <w:p>
      <w:pPr>
        <w:pStyle w:val="ListParagraph"/>
        <w:numPr>
          <w:ilvl w:val="0"/>
          <w:numId w:val="1"/>
        </w:numPr>
        <w:tabs>
          <w:tab w:pos="671" w:val="left" w:leader="none"/>
          <w:tab w:pos="672" w:val="left" w:leader="none"/>
        </w:tabs>
        <w:spacing w:line="357" w:lineRule="auto" w:before="0" w:after="0"/>
        <w:ind w:left="107" w:right="127" w:firstLine="0"/>
        <w:jc w:val="left"/>
        <w:rPr>
          <w:sz w:val="24"/>
        </w:rPr>
      </w:pPr>
      <w:r>
        <w:rPr>
          <w:sz w:val="24"/>
        </w:rPr>
        <w:t>Longer-term risk-free forward interest rates had also fallen, by around 10-20 basis points in Europe and around 50 basis points in the United States, more than unwinding the rise in yields </w:t>
      </w:r>
      <w:r>
        <w:rPr>
          <w:spacing w:val="-3"/>
          <w:sz w:val="24"/>
        </w:rPr>
        <w:t>that </w:t>
      </w:r>
      <w:r>
        <w:rPr>
          <w:spacing w:val="-4"/>
          <w:sz w:val="24"/>
        </w:rPr>
        <w:t>had </w:t>
      </w:r>
      <w:r>
        <w:rPr>
          <w:sz w:val="24"/>
        </w:rPr>
        <w:t>occurred earlier in February and </w:t>
      </w:r>
      <w:r>
        <w:rPr>
          <w:spacing w:val="-4"/>
          <w:sz w:val="24"/>
        </w:rPr>
        <w:t>March. </w:t>
      </w:r>
      <w:r>
        <w:rPr>
          <w:spacing w:val="-3"/>
          <w:sz w:val="24"/>
        </w:rPr>
        <w:t>The </w:t>
      </w:r>
      <w:r>
        <w:rPr>
          <w:sz w:val="24"/>
        </w:rPr>
        <w:t>decline was accounted for by falls in </w:t>
      </w:r>
      <w:r>
        <w:rPr>
          <w:spacing w:val="-4"/>
          <w:sz w:val="24"/>
        </w:rPr>
        <w:t>both </w:t>
      </w:r>
      <w:r>
        <w:rPr>
          <w:sz w:val="24"/>
        </w:rPr>
        <w:t>inflation expectations and real interest rates. Some commentators had been placing more weight on</w:t>
      </w:r>
      <w:r>
        <w:rPr>
          <w:spacing w:val="-8"/>
          <w:sz w:val="24"/>
        </w:rPr>
        <w:t> </w:t>
      </w:r>
      <w:r>
        <w:rPr>
          <w:sz w:val="24"/>
        </w:rPr>
        <w:t>the</w:t>
      </w:r>
    </w:p>
    <w:p>
      <w:pPr>
        <w:spacing w:after="0" w:line="357" w:lineRule="auto"/>
        <w:jc w:val="left"/>
        <w:rPr>
          <w:sz w:val="24"/>
        </w:rPr>
        <w:sectPr>
          <w:pgSz w:w="11900" w:h="16840"/>
          <w:pgMar w:top="1600" w:bottom="280" w:left="1020" w:right="760"/>
        </w:sectPr>
      </w:pPr>
    </w:p>
    <w:p>
      <w:pPr>
        <w:pStyle w:val="BodyText"/>
        <w:rPr>
          <w:sz w:val="20"/>
        </w:rPr>
      </w:pPr>
    </w:p>
    <w:p>
      <w:pPr>
        <w:pStyle w:val="BodyText"/>
        <w:spacing w:before="9"/>
        <w:rPr>
          <w:sz w:val="26"/>
        </w:rPr>
      </w:pPr>
    </w:p>
    <w:p>
      <w:pPr>
        <w:pStyle w:val="BodyText"/>
        <w:spacing w:line="360" w:lineRule="auto" w:before="90"/>
        <w:ind w:left="108"/>
      </w:pPr>
      <w:r>
        <w:rPr/>
        <w:t>flattening of the yield curve as an indicator of a near-term slowdown in global economic growth, but it was hard to see why that could account for a fall in ten-year forward rates. As the Committee had discussed at previous meetings, there were a variety of possible explanations for the fall in long-term forward rates over the past year, none of which was entirely compelling. There had been no new evidence this month regarding those explanations. There remained a risk that long-term interest rates might rise again quite sharply.</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8" w:right="266" w:firstLine="0"/>
        <w:jc w:val="left"/>
        <w:rPr>
          <w:sz w:val="24"/>
        </w:rPr>
      </w:pPr>
      <w:r>
        <w:rPr>
          <w:sz w:val="24"/>
        </w:rPr>
        <w:t>Sovereign bond spreads between some euro countries, for example Germany and </w:t>
      </w:r>
      <w:r>
        <w:rPr>
          <w:spacing w:val="-5"/>
          <w:sz w:val="24"/>
        </w:rPr>
        <w:t>Italy, </w:t>
      </w:r>
      <w:r>
        <w:rPr>
          <w:spacing w:val="-4"/>
          <w:sz w:val="24"/>
        </w:rPr>
        <w:t>had </w:t>
      </w:r>
      <w:r>
        <w:rPr>
          <w:sz w:val="24"/>
        </w:rPr>
        <w:t>widened a little following the recent referenda in France and the Netherlands on the European Union Constitutional Treaty. Despite some volatility in recent weeks, </w:t>
      </w:r>
      <w:r>
        <w:rPr>
          <w:spacing w:val="-4"/>
          <w:sz w:val="24"/>
        </w:rPr>
        <w:t>there </w:t>
      </w:r>
      <w:r>
        <w:rPr>
          <w:sz w:val="24"/>
        </w:rPr>
        <w:t>had been a rise in credit spreads </w:t>
      </w:r>
      <w:r>
        <w:rPr>
          <w:spacing w:val="-3"/>
          <w:sz w:val="24"/>
        </w:rPr>
        <w:t>on </w:t>
      </w:r>
      <w:r>
        <w:rPr>
          <w:sz w:val="24"/>
        </w:rPr>
        <w:t>investment and high-yield bonds since January in the </w:t>
      </w:r>
      <w:r>
        <w:rPr>
          <w:spacing w:val="-4"/>
          <w:sz w:val="24"/>
        </w:rPr>
        <w:t>United </w:t>
      </w:r>
      <w:r>
        <w:rPr>
          <w:sz w:val="24"/>
        </w:rPr>
        <w:t>States, the euro area and the </w:t>
      </w:r>
      <w:r>
        <w:rPr>
          <w:spacing w:val="-5"/>
          <w:sz w:val="24"/>
        </w:rPr>
        <w:t>United </w:t>
      </w:r>
      <w:r>
        <w:rPr>
          <w:sz w:val="24"/>
        </w:rPr>
        <w:t>Kingdom. But credit spreads remained lower than they were a year earlier. </w:t>
      </w:r>
      <w:r>
        <w:rPr>
          <w:spacing w:val="-3"/>
          <w:sz w:val="24"/>
        </w:rPr>
        <w:t>There </w:t>
      </w:r>
      <w:r>
        <w:rPr>
          <w:sz w:val="24"/>
        </w:rPr>
        <w:t>had </w:t>
      </w:r>
      <w:r>
        <w:rPr>
          <w:spacing w:val="-3"/>
          <w:sz w:val="24"/>
        </w:rPr>
        <w:t>been no </w:t>
      </w:r>
      <w:r>
        <w:rPr>
          <w:sz w:val="24"/>
        </w:rPr>
        <w:t>significant changes in emerging market bond spreads over the past</w:t>
      </w:r>
      <w:r>
        <w:rPr>
          <w:spacing w:val="2"/>
          <w:sz w:val="24"/>
        </w:rPr>
        <w:t> </w:t>
      </w:r>
      <w:r>
        <w:rPr>
          <w:spacing w:val="-3"/>
          <w:sz w:val="24"/>
        </w:rPr>
        <w:t>month.</w:t>
      </w:r>
    </w:p>
    <w:p>
      <w:pPr>
        <w:pStyle w:val="BodyText"/>
        <w:spacing w:before="5"/>
        <w:rPr>
          <w:sz w:val="35"/>
        </w:rPr>
      </w:pPr>
    </w:p>
    <w:p>
      <w:pPr>
        <w:pStyle w:val="ListParagraph"/>
        <w:numPr>
          <w:ilvl w:val="0"/>
          <w:numId w:val="1"/>
        </w:numPr>
        <w:tabs>
          <w:tab w:pos="671" w:val="left" w:leader="none"/>
          <w:tab w:pos="672" w:val="left" w:leader="none"/>
        </w:tabs>
        <w:spacing w:line="362" w:lineRule="auto" w:before="1" w:after="0"/>
        <w:ind w:left="108" w:right="193" w:firstLine="0"/>
        <w:jc w:val="left"/>
        <w:rPr>
          <w:sz w:val="24"/>
        </w:rPr>
      </w:pPr>
      <w:r>
        <w:rPr>
          <w:sz w:val="24"/>
        </w:rPr>
        <w:t>Domestic and foreign equity prices had risen since the previous meeting.</w:t>
      </w:r>
      <w:r>
        <w:rPr>
          <w:spacing w:val="-24"/>
          <w:sz w:val="24"/>
        </w:rPr>
        <w:t> </w:t>
      </w:r>
      <w:r>
        <w:rPr>
          <w:sz w:val="24"/>
        </w:rPr>
        <w:t>While that might seem at odds with the mixed economic news, it could in part reflect the decline in real interest rates noted above. There had been some rebound in the share prices of United </w:t>
      </w:r>
      <w:r>
        <w:rPr>
          <w:spacing w:val="2"/>
          <w:sz w:val="24"/>
        </w:rPr>
        <w:t>Kingdom </w:t>
      </w:r>
      <w:r>
        <w:rPr>
          <w:sz w:val="24"/>
        </w:rPr>
        <w:t>retailers, broadly in line with other</w:t>
      </w:r>
      <w:r>
        <w:rPr>
          <w:spacing w:val="-3"/>
          <w:sz w:val="24"/>
        </w:rPr>
        <w:t> </w:t>
      </w:r>
      <w:r>
        <w:rPr>
          <w:sz w:val="24"/>
        </w:rPr>
        <w:t>sectors.</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160" w:firstLine="0"/>
        <w:jc w:val="left"/>
        <w:rPr>
          <w:sz w:val="24"/>
        </w:rPr>
      </w:pPr>
      <w:r>
        <w:rPr>
          <w:sz w:val="24"/>
        </w:rPr>
        <w:t>The sterling effective exchange rate index (ERI) had moved little since the previous meeting. The ERI had depreciated in the first part of the month – broadly in line with movements in domestic and</w:t>
      </w:r>
      <w:r>
        <w:rPr>
          <w:spacing w:val="-7"/>
          <w:sz w:val="24"/>
        </w:rPr>
        <w:t> </w:t>
      </w:r>
      <w:r>
        <w:rPr>
          <w:sz w:val="24"/>
        </w:rPr>
        <w:t>foreign</w:t>
      </w:r>
      <w:r>
        <w:rPr>
          <w:spacing w:val="4"/>
          <w:sz w:val="24"/>
        </w:rPr>
        <w:t> </w:t>
      </w:r>
      <w:r>
        <w:rPr>
          <w:sz w:val="24"/>
        </w:rPr>
        <w:t>interest</w:t>
      </w:r>
      <w:r>
        <w:rPr>
          <w:spacing w:val="-6"/>
          <w:sz w:val="24"/>
        </w:rPr>
        <w:t> </w:t>
      </w:r>
      <w:r>
        <w:rPr>
          <w:sz w:val="24"/>
        </w:rPr>
        <w:t>rates</w:t>
      </w:r>
      <w:r>
        <w:rPr>
          <w:spacing w:val="-3"/>
          <w:sz w:val="24"/>
        </w:rPr>
        <w:t> </w:t>
      </w:r>
      <w:r>
        <w:rPr>
          <w:sz w:val="24"/>
        </w:rPr>
        <w:t>–</w:t>
      </w:r>
      <w:r>
        <w:rPr>
          <w:spacing w:val="-5"/>
          <w:sz w:val="24"/>
        </w:rPr>
        <w:t> </w:t>
      </w:r>
      <w:r>
        <w:rPr>
          <w:sz w:val="24"/>
        </w:rPr>
        <w:t>but</w:t>
      </w:r>
      <w:r>
        <w:rPr>
          <w:spacing w:val="-12"/>
          <w:sz w:val="24"/>
        </w:rPr>
        <w:t> </w:t>
      </w:r>
      <w:r>
        <w:rPr>
          <w:sz w:val="24"/>
        </w:rPr>
        <w:t>had</w:t>
      </w:r>
      <w:r>
        <w:rPr>
          <w:spacing w:val="-3"/>
          <w:sz w:val="24"/>
        </w:rPr>
        <w:t> </w:t>
      </w:r>
      <w:r>
        <w:rPr>
          <w:sz w:val="24"/>
        </w:rPr>
        <w:t>appreciated</w:t>
      </w:r>
      <w:r>
        <w:rPr>
          <w:spacing w:val="-3"/>
          <w:sz w:val="24"/>
        </w:rPr>
        <w:t> </w:t>
      </w:r>
      <w:r>
        <w:rPr>
          <w:sz w:val="24"/>
        </w:rPr>
        <w:t>against</w:t>
      </w:r>
      <w:r>
        <w:rPr>
          <w:spacing w:val="-3"/>
          <w:sz w:val="24"/>
        </w:rPr>
        <w:t> </w:t>
      </w:r>
      <w:r>
        <w:rPr>
          <w:sz w:val="24"/>
        </w:rPr>
        <w:t>the</w:t>
      </w:r>
      <w:r>
        <w:rPr>
          <w:spacing w:val="-3"/>
          <w:sz w:val="24"/>
        </w:rPr>
        <w:t> </w:t>
      </w:r>
      <w:r>
        <w:rPr>
          <w:sz w:val="24"/>
        </w:rPr>
        <w:t>euro</w:t>
      </w:r>
      <w:r>
        <w:rPr>
          <w:spacing w:val="-3"/>
          <w:sz w:val="24"/>
        </w:rPr>
        <w:t> </w:t>
      </w:r>
      <w:r>
        <w:rPr>
          <w:sz w:val="24"/>
        </w:rPr>
        <w:t>in</w:t>
      </w:r>
      <w:r>
        <w:rPr>
          <w:spacing w:val="-4"/>
          <w:sz w:val="24"/>
        </w:rPr>
        <w:t> </w:t>
      </w:r>
      <w:r>
        <w:rPr>
          <w:sz w:val="24"/>
        </w:rPr>
        <w:t>the</w:t>
      </w:r>
      <w:r>
        <w:rPr>
          <w:spacing w:val="-3"/>
          <w:sz w:val="24"/>
        </w:rPr>
        <w:t> </w:t>
      </w:r>
      <w:r>
        <w:rPr>
          <w:sz w:val="24"/>
        </w:rPr>
        <w:t>later</w:t>
      </w:r>
      <w:r>
        <w:rPr>
          <w:spacing w:val="-3"/>
          <w:sz w:val="24"/>
        </w:rPr>
        <w:t> </w:t>
      </w:r>
      <w:r>
        <w:rPr>
          <w:sz w:val="24"/>
        </w:rPr>
        <w:t>part</w:t>
      </w:r>
      <w:r>
        <w:rPr>
          <w:spacing w:val="-3"/>
          <w:sz w:val="24"/>
        </w:rPr>
        <w:t> </w:t>
      </w:r>
      <w:r>
        <w:rPr>
          <w:sz w:val="24"/>
        </w:rPr>
        <w:t>of</w:t>
      </w:r>
      <w:r>
        <w:rPr>
          <w:spacing w:val="-3"/>
          <w:sz w:val="24"/>
        </w:rPr>
        <w:t> </w:t>
      </w:r>
      <w:r>
        <w:rPr>
          <w:sz w:val="24"/>
        </w:rPr>
        <w:t>the</w:t>
      </w:r>
      <w:r>
        <w:rPr>
          <w:spacing w:val="-3"/>
          <w:sz w:val="24"/>
        </w:rPr>
        <w:t> </w:t>
      </w:r>
      <w:r>
        <w:rPr>
          <w:sz w:val="24"/>
        </w:rPr>
        <w:t>month</w:t>
      </w:r>
      <w:r>
        <w:rPr>
          <w:spacing w:val="-4"/>
          <w:sz w:val="24"/>
        </w:rPr>
        <w:t> </w:t>
      </w:r>
      <w:r>
        <w:rPr>
          <w:sz w:val="24"/>
        </w:rPr>
        <w:t>following the referenda. Once again, sterling had </w:t>
      </w:r>
      <w:r>
        <w:rPr>
          <w:spacing w:val="4"/>
          <w:sz w:val="24"/>
        </w:rPr>
        <w:t>been </w:t>
      </w:r>
      <w:r>
        <w:rPr>
          <w:sz w:val="24"/>
        </w:rPr>
        <w:t>in the middle of fairly large movements in the dollar against the euro; the dollar had appreciated by over 4% against the euro in the past</w:t>
      </w:r>
      <w:r>
        <w:rPr>
          <w:spacing w:val="-11"/>
          <w:sz w:val="24"/>
        </w:rPr>
        <w:t> </w:t>
      </w:r>
      <w:r>
        <w:rPr>
          <w:spacing w:val="-4"/>
          <w:sz w:val="24"/>
        </w:rPr>
        <w:t>month.</w:t>
      </w:r>
    </w:p>
    <w:p>
      <w:pPr>
        <w:pStyle w:val="BodyText"/>
        <w:rPr>
          <w:sz w:val="36"/>
        </w:rPr>
      </w:pPr>
    </w:p>
    <w:p>
      <w:pPr>
        <w:pStyle w:val="Heading1"/>
        <w:spacing w:before="1"/>
      </w:pPr>
      <w:r>
        <w:rPr/>
        <w:t>The international economy</w:t>
      </w:r>
    </w:p>
    <w:p>
      <w:pPr>
        <w:pStyle w:val="BodyText"/>
        <w:rPr>
          <w:b/>
          <w:sz w:val="26"/>
        </w:rPr>
      </w:pPr>
    </w:p>
    <w:p>
      <w:pPr>
        <w:pStyle w:val="BodyText"/>
        <w:spacing w:before="11"/>
        <w:rPr>
          <w:b/>
          <w:sz w:val="21"/>
        </w:rPr>
      </w:pPr>
    </w:p>
    <w:p>
      <w:pPr>
        <w:pStyle w:val="ListParagraph"/>
        <w:numPr>
          <w:ilvl w:val="0"/>
          <w:numId w:val="1"/>
        </w:numPr>
        <w:tabs>
          <w:tab w:pos="671" w:val="left" w:leader="none"/>
          <w:tab w:pos="672" w:val="left" w:leader="none"/>
        </w:tabs>
        <w:spacing w:line="355" w:lineRule="auto" w:before="0" w:after="0"/>
        <w:ind w:left="108" w:right="187" w:firstLine="0"/>
        <w:jc w:val="left"/>
        <w:rPr>
          <w:sz w:val="24"/>
        </w:rPr>
      </w:pPr>
      <w:r>
        <w:rPr>
          <w:sz w:val="24"/>
        </w:rPr>
        <w:t>The Q1 GDP </w:t>
      </w:r>
      <w:r>
        <w:rPr>
          <w:spacing w:val="-3"/>
          <w:sz w:val="24"/>
        </w:rPr>
        <w:t>data </w:t>
      </w:r>
      <w:r>
        <w:rPr>
          <w:sz w:val="24"/>
        </w:rPr>
        <w:t>in both the euro area and Japan seemingly painted a strong picture this </w:t>
      </w:r>
      <w:r>
        <w:rPr>
          <w:spacing w:val="-2"/>
          <w:sz w:val="24"/>
        </w:rPr>
        <w:t>month. </w:t>
      </w:r>
      <w:r>
        <w:rPr>
          <w:spacing w:val="-3"/>
          <w:sz w:val="24"/>
        </w:rPr>
        <w:t>But </w:t>
      </w:r>
      <w:r>
        <w:rPr>
          <w:sz w:val="24"/>
        </w:rPr>
        <w:t>the detail lying beneath these headline figures was rather less</w:t>
      </w:r>
      <w:r>
        <w:rPr>
          <w:spacing w:val="-13"/>
          <w:sz w:val="24"/>
        </w:rPr>
        <w:t> </w:t>
      </w:r>
      <w:r>
        <w:rPr>
          <w:sz w:val="24"/>
        </w:rPr>
        <w:t>encouraging.</w:t>
      </w:r>
    </w:p>
    <w:p>
      <w:pPr>
        <w:pStyle w:val="BodyText"/>
        <w:spacing w:before="5"/>
        <w:rPr>
          <w:sz w:val="36"/>
        </w:rPr>
      </w:pPr>
    </w:p>
    <w:p>
      <w:pPr>
        <w:pStyle w:val="ListParagraph"/>
        <w:numPr>
          <w:ilvl w:val="0"/>
          <w:numId w:val="1"/>
        </w:numPr>
        <w:tabs>
          <w:tab w:pos="671" w:val="left" w:leader="none"/>
          <w:tab w:pos="672" w:val="left" w:leader="none"/>
        </w:tabs>
        <w:spacing w:line="360" w:lineRule="auto" w:before="0" w:after="0"/>
        <w:ind w:left="108" w:right="134" w:firstLine="0"/>
        <w:jc w:val="left"/>
        <w:rPr>
          <w:sz w:val="24"/>
        </w:rPr>
      </w:pPr>
      <w:r>
        <w:rPr>
          <w:sz w:val="24"/>
        </w:rPr>
        <w:t>Growth in the euro area in 2005 Q1, at 0.5%, was stronger than had been expected at the time of the May </w:t>
      </w:r>
      <w:r>
        <w:rPr>
          <w:i/>
          <w:sz w:val="24"/>
        </w:rPr>
        <w:t>Inflation Report</w:t>
      </w:r>
      <w:r>
        <w:rPr>
          <w:sz w:val="24"/>
        </w:rPr>
        <w:t>, and was close to trend. But because of difficulties in adjusting for the number of working days in Germany around the turn of the year, the underlying picture there had</w:t>
      </w:r>
      <w:r>
        <w:rPr>
          <w:spacing w:val="-29"/>
          <w:sz w:val="24"/>
        </w:rPr>
        <w:t> </w:t>
      </w:r>
      <w:r>
        <w:rPr>
          <w:sz w:val="24"/>
        </w:rPr>
        <w:t>been</w:t>
      </w:r>
    </w:p>
    <w:p>
      <w:pPr>
        <w:spacing w:after="0" w:line="360" w:lineRule="auto"/>
        <w:jc w:val="left"/>
        <w:rPr>
          <w:sz w:val="24"/>
        </w:rPr>
        <w:sectPr>
          <w:headerReference w:type="default" r:id="rId7"/>
          <w:pgSz w:w="11900" w:h="16840"/>
          <w:pgMar w:header="1134" w:footer="0" w:top="1600" w:bottom="280" w:left="1020" w:right="760"/>
          <w:pgNumType w:start="2"/>
        </w:sectPr>
      </w:pPr>
    </w:p>
    <w:p>
      <w:pPr>
        <w:pStyle w:val="BodyText"/>
        <w:rPr>
          <w:sz w:val="20"/>
        </w:rPr>
      </w:pPr>
    </w:p>
    <w:p>
      <w:pPr>
        <w:pStyle w:val="BodyText"/>
        <w:spacing w:before="9"/>
        <w:rPr>
          <w:sz w:val="26"/>
        </w:rPr>
      </w:pPr>
    </w:p>
    <w:p>
      <w:pPr>
        <w:pStyle w:val="BodyText"/>
        <w:spacing w:line="360" w:lineRule="auto" w:before="90"/>
        <w:ind w:left="107" w:right="151"/>
      </w:pPr>
      <w:r>
        <w:rPr/>
        <w:t>somewhat weaker. Adjusting for this, euro-area growth had probably been broadly similar in </w:t>
      </w:r>
      <w:r>
        <w:rPr>
          <w:spacing w:val="-3"/>
        </w:rPr>
        <w:t>each of </w:t>
      </w:r>
      <w:r>
        <w:rPr/>
        <w:t>the past three quarters, and below trend. Euro-area domestic demand was recorded as being flat </w:t>
      </w:r>
      <w:r>
        <w:rPr>
          <w:spacing w:val="-4"/>
        </w:rPr>
        <w:t>in </w:t>
      </w:r>
      <w:r>
        <w:rPr/>
        <w:t>2005 Q1, meaning that the increase in GDP </w:t>
      </w:r>
      <w:r>
        <w:rPr>
          <w:spacing w:val="-3"/>
        </w:rPr>
        <w:t>had </w:t>
      </w:r>
      <w:r>
        <w:rPr/>
        <w:t>been accounted for by net trade. </w:t>
      </w:r>
      <w:r>
        <w:rPr>
          <w:spacing w:val="2"/>
        </w:rPr>
        <w:t>That </w:t>
      </w:r>
      <w:r>
        <w:rPr/>
        <w:t>in turn reflected weaker imports rather than stronger export demand. There had also been some expectation of a recovery in investment </w:t>
      </w:r>
      <w:r>
        <w:rPr>
          <w:spacing w:val="-3"/>
        </w:rPr>
        <w:t>through  </w:t>
      </w:r>
      <w:r>
        <w:rPr/>
        <w:t>this year, but </w:t>
      </w:r>
      <w:r>
        <w:rPr>
          <w:spacing w:val="-3"/>
        </w:rPr>
        <w:t>that had </w:t>
      </w:r>
      <w:r>
        <w:rPr/>
        <w:t>so far failed to materialise;  </w:t>
      </w:r>
      <w:r>
        <w:rPr>
          <w:spacing w:val="-3"/>
        </w:rPr>
        <w:t>investment had </w:t>
      </w:r>
      <w:r>
        <w:rPr/>
        <w:t>fallen 0.7% in Q1. Within </w:t>
      </w:r>
      <w:r>
        <w:rPr>
          <w:spacing w:val="-3"/>
        </w:rPr>
        <w:t>aggregate </w:t>
      </w:r>
      <w:r>
        <w:rPr/>
        <w:t>euro-area GDP, there were signs of weakening in some countries such as France and GDP had now fallen for two successive quarters in </w:t>
      </w:r>
      <w:r>
        <w:rPr>
          <w:spacing w:val="-4"/>
        </w:rPr>
        <w:t>Italy.</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205" w:firstLine="0"/>
        <w:jc w:val="left"/>
        <w:rPr>
          <w:sz w:val="24"/>
        </w:rPr>
      </w:pPr>
      <w:r>
        <w:rPr>
          <w:sz w:val="24"/>
        </w:rPr>
        <w:t>The more recent euro-area indicators were also mostly discouraging. Retail sales had </w:t>
      </w:r>
      <w:r>
        <w:rPr>
          <w:spacing w:val="-3"/>
          <w:sz w:val="24"/>
        </w:rPr>
        <w:t>fallen in </w:t>
      </w:r>
      <w:r>
        <w:rPr>
          <w:sz w:val="24"/>
        </w:rPr>
        <w:t>April, and </w:t>
      </w:r>
      <w:r>
        <w:rPr>
          <w:spacing w:val="-3"/>
          <w:sz w:val="24"/>
        </w:rPr>
        <w:t>both </w:t>
      </w:r>
      <w:r>
        <w:rPr>
          <w:sz w:val="24"/>
        </w:rPr>
        <w:t>consumer and industrial confidence had fallen in </w:t>
      </w:r>
      <w:r>
        <w:rPr>
          <w:spacing w:val="-7"/>
          <w:sz w:val="24"/>
        </w:rPr>
        <w:t>May. </w:t>
      </w:r>
      <w:r>
        <w:rPr>
          <w:sz w:val="24"/>
        </w:rPr>
        <w:t>The manufacturing Purchasing Managers’ </w:t>
      </w:r>
      <w:r>
        <w:rPr>
          <w:spacing w:val="-4"/>
          <w:sz w:val="24"/>
        </w:rPr>
        <w:t>Index </w:t>
      </w:r>
      <w:r>
        <w:rPr>
          <w:sz w:val="24"/>
        </w:rPr>
        <w:t>(PMI) had fallen further below the neutral 50 mark in </w:t>
      </w:r>
      <w:r>
        <w:rPr>
          <w:spacing w:val="-3"/>
          <w:sz w:val="24"/>
        </w:rPr>
        <w:t>May, </w:t>
      </w:r>
      <w:r>
        <w:rPr>
          <w:sz w:val="24"/>
        </w:rPr>
        <w:t>though the services </w:t>
      </w:r>
      <w:r>
        <w:rPr>
          <w:spacing w:val="-7"/>
          <w:sz w:val="24"/>
        </w:rPr>
        <w:t>PMI </w:t>
      </w:r>
      <w:r>
        <w:rPr>
          <w:sz w:val="24"/>
        </w:rPr>
        <w:t>index had been a </w:t>
      </w:r>
      <w:r>
        <w:rPr>
          <w:spacing w:val="-3"/>
          <w:sz w:val="24"/>
        </w:rPr>
        <w:t>little </w:t>
      </w:r>
      <w:r>
        <w:rPr>
          <w:sz w:val="24"/>
        </w:rPr>
        <w:t>stronger than expected. Taken </w:t>
      </w:r>
      <w:r>
        <w:rPr>
          <w:spacing w:val="-3"/>
          <w:sz w:val="24"/>
        </w:rPr>
        <w:t>together, </w:t>
      </w:r>
      <w:r>
        <w:rPr>
          <w:sz w:val="24"/>
        </w:rPr>
        <w:t>the latest indicators pointed to </w:t>
      </w:r>
      <w:r>
        <w:rPr>
          <w:spacing w:val="-2"/>
          <w:sz w:val="24"/>
        </w:rPr>
        <w:t>weaker </w:t>
      </w:r>
      <w:r>
        <w:rPr>
          <w:sz w:val="24"/>
        </w:rPr>
        <w:t>GDP </w:t>
      </w:r>
      <w:r>
        <w:rPr>
          <w:spacing w:val="-3"/>
          <w:sz w:val="24"/>
        </w:rPr>
        <w:t>growth </w:t>
      </w:r>
      <w:r>
        <w:rPr>
          <w:sz w:val="24"/>
        </w:rPr>
        <w:t>in Q2 than expected at the time of the May </w:t>
      </w:r>
      <w:r>
        <w:rPr>
          <w:i/>
          <w:sz w:val="24"/>
        </w:rPr>
        <w:t>Inflation</w:t>
      </w:r>
      <w:r>
        <w:rPr>
          <w:i/>
          <w:spacing w:val="-42"/>
          <w:sz w:val="24"/>
        </w:rPr>
        <w:t> </w:t>
      </w:r>
      <w:r>
        <w:rPr>
          <w:i/>
          <w:sz w:val="24"/>
        </w:rPr>
        <w:t>Report</w:t>
      </w:r>
      <w:r>
        <w:rPr>
          <w:sz w:val="24"/>
        </w:rPr>
        <w:t>.</w:t>
      </w:r>
    </w:p>
    <w:p>
      <w:pPr>
        <w:pStyle w:val="BodyText"/>
        <w:rPr>
          <w:sz w:val="36"/>
        </w:rPr>
      </w:pPr>
    </w:p>
    <w:p>
      <w:pPr>
        <w:pStyle w:val="ListParagraph"/>
        <w:numPr>
          <w:ilvl w:val="0"/>
          <w:numId w:val="1"/>
        </w:numPr>
        <w:tabs>
          <w:tab w:pos="671" w:val="left" w:leader="none"/>
          <w:tab w:pos="672" w:val="left" w:leader="none"/>
        </w:tabs>
        <w:spacing w:line="362" w:lineRule="auto" w:before="0" w:after="0"/>
        <w:ind w:left="107" w:right="147" w:firstLine="0"/>
        <w:jc w:val="left"/>
        <w:rPr>
          <w:sz w:val="24"/>
        </w:rPr>
      </w:pPr>
      <w:r>
        <w:rPr>
          <w:sz w:val="24"/>
        </w:rPr>
        <w:t>Within the euro area, there had been a gradual shift in competitiveness over the past few years, with Germany gaining competitiveness against countries such as </w:t>
      </w:r>
      <w:r>
        <w:rPr>
          <w:spacing w:val="-5"/>
          <w:sz w:val="24"/>
        </w:rPr>
        <w:t>Italy, </w:t>
      </w:r>
      <w:r>
        <w:rPr>
          <w:sz w:val="24"/>
        </w:rPr>
        <w:t>Spain and Greece. There was a possibility of stronger </w:t>
      </w:r>
      <w:r>
        <w:rPr>
          <w:spacing w:val="-3"/>
          <w:sz w:val="24"/>
        </w:rPr>
        <w:t>GDP </w:t>
      </w:r>
      <w:r>
        <w:rPr>
          <w:sz w:val="24"/>
        </w:rPr>
        <w:t>growth in Germany – and weaker growth in the other countries – over </w:t>
      </w:r>
      <w:r>
        <w:rPr>
          <w:spacing w:val="-2"/>
          <w:sz w:val="24"/>
        </w:rPr>
        <w:t>the </w:t>
      </w:r>
      <w:r>
        <w:rPr>
          <w:sz w:val="24"/>
        </w:rPr>
        <w:t>coming years as this worked its way through to exports and</w:t>
      </w:r>
      <w:r>
        <w:rPr>
          <w:spacing w:val="-7"/>
          <w:sz w:val="24"/>
        </w:rPr>
        <w:t> </w:t>
      </w:r>
      <w:r>
        <w:rPr>
          <w:sz w:val="24"/>
        </w:rPr>
        <w:t>production.</w:t>
      </w:r>
    </w:p>
    <w:p>
      <w:pPr>
        <w:pStyle w:val="BodyText"/>
        <w:spacing w:before="7"/>
        <w:rPr>
          <w:sz w:val="35"/>
        </w:rPr>
      </w:pPr>
    </w:p>
    <w:p>
      <w:pPr>
        <w:pStyle w:val="ListParagraph"/>
        <w:numPr>
          <w:ilvl w:val="0"/>
          <w:numId w:val="1"/>
        </w:numPr>
        <w:tabs>
          <w:tab w:pos="672" w:val="left" w:leader="none"/>
        </w:tabs>
        <w:spacing w:line="360" w:lineRule="auto" w:before="0" w:after="0"/>
        <w:ind w:left="107" w:right="135" w:firstLine="0"/>
        <w:jc w:val="both"/>
        <w:rPr>
          <w:sz w:val="24"/>
        </w:rPr>
      </w:pPr>
      <w:r>
        <w:rPr>
          <w:sz w:val="24"/>
        </w:rPr>
        <w:t>Japanese</w:t>
      </w:r>
      <w:r>
        <w:rPr>
          <w:spacing w:val="-7"/>
          <w:sz w:val="24"/>
        </w:rPr>
        <w:t> </w:t>
      </w:r>
      <w:r>
        <w:rPr>
          <w:sz w:val="24"/>
        </w:rPr>
        <w:t>GDP</w:t>
      </w:r>
      <w:r>
        <w:rPr>
          <w:spacing w:val="5"/>
          <w:sz w:val="24"/>
        </w:rPr>
        <w:t> </w:t>
      </w:r>
      <w:r>
        <w:rPr>
          <w:sz w:val="24"/>
        </w:rPr>
        <w:t>growth</w:t>
      </w:r>
      <w:r>
        <w:rPr>
          <w:spacing w:val="-6"/>
          <w:sz w:val="24"/>
        </w:rPr>
        <w:t> </w:t>
      </w:r>
      <w:r>
        <w:rPr>
          <w:sz w:val="24"/>
        </w:rPr>
        <w:t>of</w:t>
      </w:r>
      <w:r>
        <w:rPr>
          <w:spacing w:val="-5"/>
          <w:sz w:val="24"/>
        </w:rPr>
        <w:t> </w:t>
      </w:r>
      <w:r>
        <w:rPr>
          <w:sz w:val="24"/>
        </w:rPr>
        <w:t>1.3%</w:t>
      </w:r>
      <w:r>
        <w:rPr>
          <w:spacing w:val="-6"/>
          <w:sz w:val="24"/>
        </w:rPr>
        <w:t> </w:t>
      </w:r>
      <w:r>
        <w:rPr>
          <w:spacing w:val="7"/>
          <w:sz w:val="24"/>
        </w:rPr>
        <w:t>in</w:t>
      </w:r>
      <w:r>
        <w:rPr>
          <w:spacing w:val="-13"/>
          <w:sz w:val="24"/>
        </w:rPr>
        <w:t> </w:t>
      </w:r>
      <w:r>
        <w:rPr>
          <w:sz w:val="24"/>
        </w:rPr>
        <w:t>Q1</w:t>
      </w:r>
      <w:r>
        <w:rPr>
          <w:spacing w:val="-8"/>
          <w:sz w:val="24"/>
        </w:rPr>
        <w:t> </w:t>
      </w:r>
      <w:r>
        <w:rPr>
          <w:sz w:val="24"/>
        </w:rPr>
        <w:t>was</w:t>
      </w:r>
      <w:r>
        <w:rPr>
          <w:spacing w:val="10"/>
          <w:sz w:val="24"/>
        </w:rPr>
        <w:t> </w:t>
      </w:r>
      <w:r>
        <w:rPr>
          <w:sz w:val="24"/>
        </w:rPr>
        <w:t>more</w:t>
      </w:r>
      <w:r>
        <w:rPr>
          <w:spacing w:val="-6"/>
          <w:sz w:val="24"/>
        </w:rPr>
        <w:t> </w:t>
      </w:r>
      <w:r>
        <w:rPr>
          <w:sz w:val="24"/>
        </w:rPr>
        <w:t>robust</w:t>
      </w:r>
      <w:r>
        <w:rPr>
          <w:spacing w:val="-16"/>
          <w:sz w:val="24"/>
        </w:rPr>
        <w:t> </w:t>
      </w:r>
      <w:r>
        <w:rPr>
          <w:sz w:val="24"/>
        </w:rPr>
        <w:t>than</w:t>
      </w:r>
      <w:r>
        <w:rPr>
          <w:spacing w:val="-4"/>
          <w:sz w:val="24"/>
        </w:rPr>
        <w:t> </w:t>
      </w:r>
      <w:r>
        <w:rPr>
          <w:sz w:val="24"/>
        </w:rPr>
        <w:t>had</w:t>
      </w:r>
      <w:r>
        <w:rPr>
          <w:spacing w:val="-5"/>
          <w:sz w:val="24"/>
        </w:rPr>
        <w:t> </w:t>
      </w:r>
      <w:r>
        <w:rPr>
          <w:sz w:val="24"/>
        </w:rPr>
        <w:t>been</w:t>
      </w:r>
      <w:r>
        <w:rPr>
          <w:spacing w:val="-4"/>
          <w:sz w:val="24"/>
        </w:rPr>
        <w:t> </w:t>
      </w:r>
      <w:r>
        <w:rPr>
          <w:sz w:val="24"/>
        </w:rPr>
        <w:t>expected,</w:t>
      </w:r>
      <w:r>
        <w:rPr>
          <w:spacing w:val="-4"/>
          <w:sz w:val="24"/>
        </w:rPr>
        <w:t> </w:t>
      </w:r>
      <w:r>
        <w:rPr>
          <w:sz w:val="24"/>
        </w:rPr>
        <w:t>but</w:t>
      </w:r>
      <w:r>
        <w:rPr>
          <w:spacing w:val="-5"/>
          <w:sz w:val="24"/>
        </w:rPr>
        <w:t> </w:t>
      </w:r>
      <w:r>
        <w:rPr>
          <w:sz w:val="24"/>
        </w:rPr>
        <w:t>seemed</w:t>
      </w:r>
      <w:r>
        <w:rPr>
          <w:spacing w:val="-4"/>
          <w:sz w:val="24"/>
        </w:rPr>
        <w:t> </w:t>
      </w:r>
      <w:r>
        <w:rPr>
          <w:sz w:val="24"/>
        </w:rPr>
        <w:t>likely to </w:t>
      </w:r>
      <w:r>
        <w:rPr>
          <w:spacing w:val="-3"/>
          <w:sz w:val="24"/>
        </w:rPr>
        <w:t>have </w:t>
      </w:r>
      <w:r>
        <w:rPr>
          <w:sz w:val="24"/>
        </w:rPr>
        <w:t>been erratically strong. More generally, there were signs of growth slowing elsewhere in Asia, broadly in line with</w:t>
      </w:r>
      <w:r>
        <w:rPr>
          <w:spacing w:val="-5"/>
          <w:sz w:val="24"/>
        </w:rPr>
        <w:t> </w:t>
      </w:r>
      <w:r>
        <w:rPr>
          <w:sz w:val="24"/>
        </w:rPr>
        <w:t>expectations.</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83" w:firstLine="0"/>
        <w:jc w:val="left"/>
        <w:rPr>
          <w:sz w:val="24"/>
        </w:rPr>
      </w:pPr>
      <w:r>
        <w:rPr>
          <w:sz w:val="24"/>
        </w:rPr>
        <w:t>Estimated </w:t>
      </w:r>
      <w:r>
        <w:rPr>
          <w:spacing w:val="-5"/>
          <w:sz w:val="24"/>
        </w:rPr>
        <w:t>growth </w:t>
      </w:r>
      <w:r>
        <w:rPr>
          <w:sz w:val="24"/>
        </w:rPr>
        <w:t>in Q1 </w:t>
      </w:r>
      <w:r>
        <w:rPr>
          <w:spacing w:val="2"/>
          <w:sz w:val="24"/>
        </w:rPr>
        <w:t>was </w:t>
      </w:r>
      <w:r>
        <w:rPr>
          <w:sz w:val="24"/>
        </w:rPr>
        <w:t>revised up slightly to 0.9% in the </w:t>
      </w:r>
      <w:r>
        <w:rPr>
          <w:spacing w:val="-3"/>
          <w:sz w:val="24"/>
        </w:rPr>
        <w:t>United </w:t>
      </w:r>
      <w:r>
        <w:rPr>
          <w:sz w:val="24"/>
        </w:rPr>
        <w:t>States. The previous estimates had shown a large contribution from inventories, but this had been revised down, as had the strength of imports. </w:t>
      </w:r>
      <w:r>
        <w:rPr>
          <w:spacing w:val="-3"/>
          <w:sz w:val="24"/>
        </w:rPr>
        <w:t>Growth </w:t>
      </w:r>
      <w:r>
        <w:rPr>
          <w:sz w:val="24"/>
        </w:rPr>
        <w:t>had now been in the 0.8% – 1.1% range in all but one of </w:t>
      </w:r>
      <w:r>
        <w:rPr>
          <w:spacing w:val="-5"/>
          <w:sz w:val="24"/>
        </w:rPr>
        <w:t>the </w:t>
      </w:r>
      <w:r>
        <w:rPr>
          <w:sz w:val="24"/>
        </w:rPr>
        <w:t>past eight quarters. The slightly weaker Institute of Supply Management (ISM) manufacturing and </w:t>
      </w:r>
      <w:r>
        <w:rPr>
          <w:spacing w:val="-7"/>
          <w:sz w:val="24"/>
        </w:rPr>
        <w:t>non- </w:t>
      </w:r>
      <w:r>
        <w:rPr>
          <w:sz w:val="24"/>
        </w:rPr>
        <w:t>manufacturing indices suggested, perhaps, a moderate deceleration in GDP in </w:t>
      </w:r>
      <w:r>
        <w:rPr>
          <w:spacing w:val="-3"/>
          <w:sz w:val="24"/>
        </w:rPr>
        <w:t>Q2, </w:t>
      </w:r>
      <w:r>
        <w:rPr>
          <w:sz w:val="24"/>
        </w:rPr>
        <w:t>but that was consistent with what had been expected at the time of the </w:t>
      </w:r>
      <w:r>
        <w:rPr>
          <w:spacing w:val="-5"/>
          <w:sz w:val="24"/>
        </w:rPr>
        <w:t>May </w:t>
      </w:r>
      <w:r>
        <w:rPr>
          <w:i/>
          <w:sz w:val="24"/>
        </w:rPr>
        <w:t>Inflation Report</w:t>
      </w:r>
      <w:r>
        <w:rPr>
          <w:sz w:val="24"/>
        </w:rPr>
        <w:t>. With consumption still</w:t>
      </w:r>
      <w:r>
        <w:rPr>
          <w:spacing w:val="-5"/>
          <w:sz w:val="24"/>
        </w:rPr>
        <w:t> </w:t>
      </w:r>
      <w:r>
        <w:rPr>
          <w:sz w:val="24"/>
        </w:rPr>
        <w:t>looking</w:t>
      </w:r>
      <w:r>
        <w:rPr>
          <w:spacing w:val="-4"/>
          <w:sz w:val="24"/>
        </w:rPr>
        <w:t> </w:t>
      </w:r>
      <w:r>
        <w:rPr>
          <w:sz w:val="24"/>
        </w:rPr>
        <w:t>robust,</w:t>
      </w:r>
      <w:r>
        <w:rPr>
          <w:spacing w:val="-4"/>
          <w:sz w:val="24"/>
        </w:rPr>
        <w:t> </w:t>
      </w:r>
      <w:r>
        <w:rPr>
          <w:sz w:val="24"/>
        </w:rPr>
        <w:t>long</w:t>
      </w:r>
      <w:r>
        <w:rPr>
          <w:spacing w:val="-4"/>
          <w:sz w:val="24"/>
        </w:rPr>
        <w:t> </w:t>
      </w:r>
      <w:r>
        <w:rPr>
          <w:sz w:val="24"/>
        </w:rPr>
        <w:t>rates</w:t>
      </w:r>
      <w:r>
        <w:rPr>
          <w:spacing w:val="-4"/>
          <w:sz w:val="24"/>
        </w:rPr>
        <w:t> </w:t>
      </w:r>
      <w:r>
        <w:rPr>
          <w:sz w:val="24"/>
        </w:rPr>
        <w:t>falling</w:t>
      </w:r>
      <w:r>
        <w:rPr>
          <w:spacing w:val="-4"/>
          <w:sz w:val="24"/>
        </w:rPr>
        <w:t> </w:t>
      </w:r>
      <w:r>
        <w:rPr>
          <w:sz w:val="24"/>
        </w:rPr>
        <w:t>and</w:t>
      </w:r>
      <w:r>
        <w:rPr>
          <w:spacing w:val="-5"/>
          <w:sz w:val="24"/>
        </w:rPr>
        <w:t> </w:t>
      </w:r>
      <w:r>
        <w:rPr>
          <w:sz w:val="24"/>
        </w:rPr>
        <w:t>house</w:t>
      </w:r>
      <w:r>
        <w:rPr>
          <w:spacing w:val="-4"/>
          <w:sz w:val="24"/>
        </w:rPr>
        <w:t> </w:t>
      </w:r>
      <w:r>
        <w:rPr>
          <w:sz w:val="24"/>
        </w:rPr>
        <w:t>prices</w:t>
      </w:r>
      <w:r>
        <w:rPr>
          <w:spacing w:val="-4"/>
          <w:sz w:val="24"/>
        </w:rPr>
        <w:t> </w:t>
      </w:r>
      <w:r>
        <w:rPr>
          <w:sz w:val="24"/>
        </w:rPr>
        <w:t>rising,</w:t>
      </w:r>
      <w:r>
        <w:rPr>
          <w:spacing w:val="-3"/>
          <w:sz w:val="24"/>
        </w:rPr>
        <w:t> </w:t>
      </w:r>
      <w:r>
        <w:rPr>
          <w:sz w:val="24"/>
        </w:rPr>
        <w:t>there</w:t>
      </w:r>
      <w:r>
        <w:rPr>
          <w:spacing w:val="-4"/>
          <w:sz w:val="24"/>
        </w:rPr>
        <w:t> </w:t>
      </w:r>
      <w:r>
        <w:rPr>
          <w:sz w:val="24"/>
        </w:rPr>
        <w:t>seemed</w:t>
      </w:r>
      <w:r>
        <w:rPr>
          <w:spacing w:val="-5"/>
          <w:sz w:val="24"/>
        </w:rPr>
        <w:t> </w:t>
      </w:r>
      <w:r>
        <w:rPr>
          <w:sz w:val="24"/>
        </w:rPr>
        <w:t>to</w:t>
      </w:r>
      <w:r>
        <w:rPr>
          <w:spacing w:val="-4"/>
          <w:sz w:val="24"/>
        </w:rPr>
        <w:t> </w:t>
      </w:r>
      <w:r>
        <w:rPr>
          <w:sz w:val="24"/>
        </w:rPr>
        <w:t>be</w:t>
      </w:r>
      <w:r>
        <w:rPr>
          <w:spacing w:val="-4"/>
          <w:sz w:val="24"/>
        </w:rPr>
        <w:t> </w:t>
      </w:r>
      <w:r>
        <w:rPr>
          <w:sz w:val="24"/>
        </w:rPr>
        <w:t>little</w:t>
      </w:r>
      <w:r>
        <w:rPr>
          <w:spacing w:val="-4"/>
          <w:sz w:val="24"/>
        </w:rPr>
        <w:t> </w:t>
      </w:r>
      <w:r>
        <w:rPr>
          <w:sz w:val="24"/>
        </w:rPr>
        <w:t>reason</w:t>
      </w:r>
      <w:r>
        <w:rPr>
          <w:spacing w:val="-4"/>
          <w:sz w:val="24"/>
        </w:rPr>
        <w:t> </w:t>
      </w:r>
      <w:r>
        <w:rPr>
          <w:sz w:val="24"/>
        </w:rPr>
        <w:t>to</w:t>
      </w:r>
      <w:r>
        <w:rPr>
          <w:spacing w:val="-4"/>
          <w:sz w:val="24"/>
        </w:rPr>
        <w:t> </w:t>
      </w:r>
      <w:r>
        <w:rPr>
          <w:sz w:val="24"/>
        </w:rPr>
        <w:t>expect growth to slow sharply in the near term. So it was puzzling why some measures of consumer confidence indicated that US consumers were worrying about job</w:t>
      </w:r>
      <w:r>
        <w:rPr>
          <w:spacing w:val="-3"/>
          <w:sz w:val="24"/>
        </w:rPr>
        <w:t> </w:t>
      </w:r>
      <w:r>
        <w:rPr>
          <w:sz w:val="24"/>
        </w:rPr>
        <w:t>prospects.</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ListParagraph"/>
        <w:numPr>
          <w:ilvl w:val="0"/>
          <w:numId w:val="1"/>
        </w:numPr>
        <w:tabs>
          <w:tab w:pos="671" w:val="left" w:leader="none"/>
          <w:tab w:pos="672" w:val="left" w:leader="none"/>
        </w:tabs>
        <w:spacing w:line="360" w:lineRule="auto" w:before="90" w:after="0"/>
        <w:ind w:left="107" w:right="301" w:firstLine="0"/>
        <w:jc w:val="left"/>
        <w:rPr>
          <w:sz w:val="24"/>
        </w:rPr>
      </w:pPr>
      <w:r>
        <w:rPr>
          <w:sz w:val="24"/>
        </w:rPr>
        <w:t>The US inflation indicators were mixed. Both the US ‘core’ Consumer Price Index </w:t>
      </w:r>
      <w:r>
        <w:rPr>
          <w:spacing w:val="-3"/>
          <w:sz w:val="24"/>
        </w:rPr>
        <w:t>(CPI) </w:t>
      </w:r>
      <w:r>
        <w:rPr>
          <w:sz w:val="24"/>
        </w:rPr>
        <w:t>and the</w:t>
      </w:r>
      <w:r>
        <w:rPr>
          <w:spacing w:val="-9"/>
          <w:sz w:val="24"/>
        </w:rPr>
        <w:t> </w:t>
      </w:r>
      <w:r>
        <w:rPr>
          <w:sz w:val="24"/>
        </w:rPr>
        <w:t>Federal</w:t>
      </w:r>
      <w:r>
        <w:rPr>
          <w:spacing w:val="-4"/>
          <w:sz w:val="24"/>
        </w:rPr>
        <w:t> </w:t>
      </w:r>
      <w:r>
        <w:rPr>
          <w:sz w:val="24"/>
        </w:rPr>
        <w:t>Open</w:t>
      </w:r>
      <w:r>
        <w:rPr>
          <w:spacing w:val="-5"/>
          <w:sz w:val="24"/>
        </w:rPr>
        <w:t> </w:t>
      </w:r>
      <w:r>
        <w:rPr>
          <w:sz w:val="24"/>
        </w:rPr>
        <w:t>Market</w:t>
      </w:r>
      <w:r>
        <w:rPr>
          <w:spacing w:val="-5"/>
          <w:sz w:val="24"/>
        </w:rPr>
        <w:t> </w:t>
      </w:r>
      <w:r>
        <w:rPr>
          <w:sz w:val="24"/>
        </w:rPr>
        <w:t>Committee’s</w:t>
      </w:r>
      <w:r>
        <w:rPr>
          <w:spacing w:val="-5"/>
          <w:sz w:val="24"/>
        </w:rPr>
        <w:t> </w:t>
      </w:r>
      <w:r>
        <w:rPr>
          <w:sz w:val="24"/>
        </w:rPr>
        <w:t>(FOMC’s)</w:t>
      </w:r>
      <w:r>
        <w:rPr>
          <w:spacing w:val="-3"/>
          <w:sz w:val="24"/>
        </w:rPr>
        <w:t> </w:t>
      </w:r>
      <w:r>
        <w:rPr>
          <w:sz w:val="24"/>
        </w:rPr>
        <w:t>preferred</w:t>
      </w:r>
      <w:r>
        <w:rPr>
          <w:spacing w:val="-7"/>
          <w:sz w:val="24"/>
        </w:rPr>
        <w:t> </w:t>
      </w:r>
      <w:r>
        <w:rPr>
          <w:sz w:val="24"/>
        </w:rPr>
        <w:t>‘core’</w:t>
      </w:r>
      <w:r>
        <w:rPr>
          <w:spacing w:val="-7"/>
          <w:sz w:val="24"/>
        </w:rPr>
        <w:t> </w:t>
      </w:r>
      <w:r>
        <w:rPr>
          <w:sz w:val="24"/>
        </w:rPr>
        <w:t>personal</w:t>
      </w:r>
      <w:r>
        <w:rPr>
          <w:spacing w:val="-8"/>
          <w:sz w:val="24"/>
        </w:rPr>
        <w:t> </w:t>
      </w:r>
      <w:r>
        <w:rPr>
          <w:sz w:val="24"/>
        </w:rPr>
        <w:t>consumption</w:t>
      </w:r>
      <w:r>
        <w:rPr>
          <w:spacing w:val="-7"/>
          <w:sz w:val="24"/>
        </w:rPr>
        <w:t> </w:t>
      </w:r>
      <w:r>
        <w:rPr>
          <w:sz w:val="24"/>
        </w:rPr>
        <w:t>expenditure deflator inflation measures had eased a little in April, while the headline CPI measure had </w:t>
      </w:r>
      <w:r>
        <w:rPr>
          <w:spacing w:val="-3"/>
          <w:sz w:val="24"/>
        </w:rPr>
        <w:t>risen. </w:t>
      </w:r>
      <w:r>
        <w:rPr>
          <w:sz w:val="24"/>
        </w:rPr>
        <w:t>But there had been a recent acceleration in measured unit labour costs, which had increased by around 4½% in the year to 2005</w:t>
      </w:r>
      <w:r>
        <w:rPr>
          <w:spacing w:val="-2"/>
          <w:sz w:val="24"/>
        </w:rPr>
        <w:t> </w:t>
      </w:r>
      <w:r>
        <w:rPr>
          <w:sz w:val="24"/>
        </w:rPr>
        <w:t>Q1.</w:t>
      </w:r>
    </w:p>
    <w:p>
      <w:pPr>
        <w:pStyle w:val="BodyText"/>
        <w:rPr>
          <w:sz w:val="36"/>
        </w:rPr>
      </w:pPr>
    </w:p>
    <w:p>
      <w:pPr>
        <w:pStyle w:val="ListParagraph"/>
        <w:numPr>
          <w:ilvl w:val="0"/>
          <w:numId w:val="1"/>
        </w:numPr>
        <w:tabs>
          <w:tab w:pos="671" w:val="left" w:leader="none"/>
          <w:tab w:pos="672" w:val="left" w:leader="none"/>
        </w:tabs>
        <w:spacing w:line="362" w:lineRule="auto" w:before="0" w:after="0"/>
        <w:ind w:left="107" w:right="148" w:firstLine="0"/>
        <w:jc w:val="left"/>
        <w:rPr>
          <w:sz w:val="24"/>
        </w:rPr>
      </w:pPr>
      <w:r>
        <w:rPr>
          <w:sz w:val="24"/>
        </w:rPr>
        <w:t>The spot price of Brent crude oil </w:t>
      </w:r>
      <w:r>
        <w:rPr>
          <w:spacing w:val="3"/>
          <w:sz w:val="24"/>
        </w:rPr>
        <w:t>had </w:t>
      </w:r>
      <w:r>
        <w:rPr>
          <w:sz w:val="24"/>
        </w:rPr>
        <w:t>risen back above $50 per barrel, with futures prices, averaged</w:t>
      </w:r>
      <w:r>
        <w:rPr>
          <w:spacing w:val="-5"/>
          <w:sz w:val="24"/>
        </w:rPr>
        <w:t> </w:t>
      </w:r>
      <w:r>
        <w:rPr>
          <w:sz w:val="24"/>
        </w:rPr>
        <w:t>over</w:t>
      </w:r>
      <w:r>
        <w:rPr>
          <w:spacing w:val="-4"/>
          <w:sz w:val="24"/>
        </w:rPr>
        <w:t> </w:t>
      </w:r>
      <w:r>
        <w:rPr>
          <w:sz w:val="24"/>
        </w:rPr>
        <w:t>the</w:t>
      </w:r>
      <w:r>
        <w:rPr>
          <w:spacing w:val="-5"/>
          <w:sz w:val="24"/>
        </w:rPr>
        <w:t> </w:t>
      </w:r>
      <w:r>
        <w:rPr>
          <w:sz w:val="24"/>
        </w:rPr>
        <w:t>curve,</w:t>
      </w:r>
      <w:r>
        <w:rPr>
          <w:spacing w:val="-3"/>
          <w:sz w:val="24"/>
        </w:rPr>
        <w:t> </w:t>
      </w:r>
      <w:r>
        <w:rPr>
          <w:sz w:val="24"/>
        </w:rPr>
        <w:t>about</w:t>
      </w:r>
      <w:r>
        <w:rPr>
          <w:spacing w:val="-14"/>
          <w:sz w:val="24"/>
        </w:rPr>
        <w:t> </w:t>
      </w:r>
      <w:r>
        <w:rPr>
          <w:sz w:val="24"/>
        </w:rPr>
        <w:t>10% up</w:t>
      </w:r>
      <w:r>
        <w:rPr>
          <w:spacing w:val="-3"/>
          <w:sz w:val="24"/>
        </w:rPr>
        <w:t> </w:t>
      </w:r>
      <w:r>
        <w:rPr>
          <w:sz w:val="24"/>
        </w:rPr>
        <w:t>over</w:t>
      </w:r>
      <w:r>
        <w:rPr>
          <w:spacing w:val="-2"/>
          <w:sz w:val="24"/>
        </w:rPr>
        <w:t> </w:t>
      </w:r>
      <w:r>
        <w:rPr>
          <w:sz w:val="24"/>
        </w:rPr>
        <w:t>the</w:t>
      </w:r>
      <w:r>
        <w:rPr>
          <w:spacing w:val="-3"/>
          <w:sz w:val="24"/>
        </w:rPr>
        <w:t> </w:t>
      </w:r>
      <w:r>
        <w:rPr>
          <w:sz w:val="24"/>
        </w:rPr>
        <w:t>past</w:t>
      </w:r>
      <w:r>
        <w:rPr>
          <w:spacing w:val="-2"/>
          <w:sz w:val="24"/>
        </w:rPr>
        <w:t> </w:t>
      </w:r>
      <w:r>
        <w:rPr>
          <w:sz w:val="24"/>
        </w:rPr>
        <w:t>month,</w:t>
      </w:r>
      <w:r>
        <w:rPr>
          <w:spacing w:val="-3"/>
          <w:sz w:val="24"/>
        </w:rPr>
        <w:t> </w:t>
      </w:r>
      <w:r>
        <w:rPr>
          <w:sz w:val="24"/>
        </w:rPr>
        <w:t>reflecting</w:t>
      </w:r>
      <w:r>
        <w:rPr>
          <w:spacing w:val="-2"/>
          <w:sz w:val="24"/>
        </w:rPr>
        <w:t> </w:t>
      </w:r>
      <w:r>
        <w:rPr>
          <w:sz w:val="24"/>
        </w:rPr>
        <w:t>expectations</w:t>
      </w:r>
      <w:r>
        <w:rPr>
          <w:spacing w:val="-3"/>
          <w:sz w:val="24"/>
        </w:rPr>
        <w:t> </w:t>
      </w:r>
      <w:r>
        <w:rPr>
          <w:sz w:val="24"/>
        </w:rPr>
        <w:t>of</w:t>
      </w:r>
      <w:r>
        <w:rPr>
          <w:spacing w:val="-2"/>
          <w:sz w:val="24"/>
        </w:rPr>
        <w:t> </w:t>
      </w:r>
      <w:r>
        <w:rPr>
          <w:sz w:val="24"/>
        </w:rPr>
        <w:t>dwindling</w:t>
      </w:r>
      <w:r>
        <w:rPr>
          <w:spacing w:val="-3"/>
          <w:sz w:val="24"/>
        </w:rPr>
        <w:t> </w:t>
      </w:r>
      <w:r>
        <w:rPr>
          <w:sz w:val="24"/>
        </w:rPr>
        <w:t>spare supply capacity and strong demand. However, base metal prices, which were also likely to be affected by expectations of world demand growth, had fallen on the</w:t>
      </w:r>
      <w:r>
        <w:rPr>
          <w:spacing w:val="28"/>
          <w:sz w:val="24"/>
        </w:rPr>
        <w:t> </w:t>
      </w:r>
      <w:r>
        <w:rPr>
          <w:spacing w:val="-2"/>
          <w:sz w:val="24"/>
        </w:rPr>
        <w:t>month.</w:t>
      </w:r>
    </w:p>
    <w:p>
      <w:pPr>
        <w:pStyle w:val="BodyText"/>
        <w:spacing w:before="6"/>
        <w:rPr>
          <w:sz w:val="35"/>
        </w:rPr>
      </w:pPr>
    </w:p>
    <w:p>
      <w:pPr>
        <w:pStyle w:val="Heading1"/>
        <w:spacing w:before="1"/>
        <w:ind w:left="107"/>
      </w:pPr>
      <w:r>
        <w:rPr/>
        <w:t>Money, credit, demand and output</w:t>
      </w:r>
    </w:p>
    <w:p>
      <w:pPr>
        <w:pStyle w:val="BodyText"/>
        <w:rPr>
          <w:b/>
          <w:sz w:val="26"/>
        </w:rPr>
      </w:pPr>
    </w:p>
    <w:p>
      <w:pPr>
        <w:pStyle w:val="BodyText"/>
        <w:spacing w:before="11"/>
        <w:rPr>
          <w:b/>
          <w:sz w:val="21"/>
        </w:rPr>
      </w:pPr>
    </w:p>
    <w:p>
      <w:pPr>
        <w:pStyle w:val="ListParagraph"/>
        <w:numPr>
          <w:ilvl w:val="0"/>
          <w:numId w:val="1"/>
        </w:numPr>
        <w:tabs>
          <w:tab w:pos="671" w:val="left" w:leader="none"/>
          <w:tab w:pos="672" w:val="left" w:leader="none"/>
        </w:tabs>
        <w:spacing w:line="360" w:lineRule="auto" w:before="0" w:after="0"/>
        <w:ind w:left="107" w:right="170" w:firstLine="0"/>
        <w:jc w:val="left"/>
        <w:rPr>
          <w:sz w:val="24"/>
        </w:rPr>
      </w:pPr>
      <w:r>
        <w:rPr>
          <w:sz w:val="24"/>
        </w:rPr>
        <w:t>In the </w:t>
      </w:r>
      <w:r>
        <w:rPr>
          <w:spacing w:val="-3"/>
          <w:sz w:val="24"/>
        </w:rPr>
        <w:t>United </w:t>
      </w:r>
      <w:r>
        <w:rPr>
          <w:sz w:val="24"/>
        </w:rPr>
        <w:t>Kingdom, the downward revision in the second </w:t>
      </w:r>
      <w:r>
        <w:rPr>
          <w:spacing w:val="-5"/>
          <w:sz w:val="24"/>
        </w:rPr>
        <w:t>estimate </w:t>
      </w:r>
      <w:r>
        <w:rPr>
          <w:sz w:val="24"/>
        </w:rPr>
        <w:t>of GDP growth in Q1 </w:t>
      </w:r>
      <w:r>
        <w:rPr>
          <w:spacing w:val="-4"/>
          <w:sz w:val="24"/>
        </w:rPr>
        <w:t>to </w:t>
      </w:r>
      <w:r>
        <w:rPr>
          <w:sz w:val="24"/>
        </w:rPr>
        <w:t>0.5% had been expected, given the weak </w:t>
      </w:r>
      <w:r>
        <w:rPr>
          <w:spacing w:val="-3"/>
          <w:sz w:val="24"/>
        </w:rPr>
        <w:t>March </w:t>
      </w:r>
      <w:r>
        <w:rPr>
          <w:sz w:val="24"/>
        </w:rPr>
        <w:t>industrial production data that was available to the Committee at the time of </w:t>
      </w:r>
      <w:r>
        <w:rPr>
          <w:spacing w:val="-3"/>
          <w:sz w:val="24"/>
        </w:rPr>
        <w:t>its </w:t>
      </w:r>
      <w:r>
        <w:rPr>
          <w:sz w:val="24"/>
        </w:rPr>
        <w:t>previous </w:t>
      </w:r>
      <w:r>
        <w:rPr>
          <w:spacing w:val="-4"/>
          <w:sz w:val="24"/>
        </w:rPr>
        <w:t>meeting. </w:t>
      </w:r>
      <w:r>
        <w:rPr>
          <w:sz w:val="24"/>
        </w:rPr>
        <w:t>Industrial production had bounced back in April, broadly as expected, but the latest manufacturing survey data remained fairly weak. Business services and </w:t>
      </w:r>
      <w:r>
        <w:rPr>
          <w:spacing w:val="-3"/>
          <w:sz w:val="24"/>
        </w:rPr>
        <w:t>finance </w:t>
      </w:r>
      <w:r>
        <w:rPr>
          <w:sz w:val="24"/>
        </w:rPr>
        <w:t>appeared to have been growing strongly, but that was a sector of the economy for which there were few </w:t>
      </w:r>
      <w:r>
        <w:rPr>
          <w:spacing w:val="-3"/>
          <w:sz w:val="24"/>
        </w:rPr>
        <w:t>good </w:t>
      </w:r>
      <w:r>
        <w:rPr>
          <w:sz w:val="24"/>
        </w:rPr>
        <w:t>indicators. </w:t>
      </w:r>
      <w:r>
        <w:rPr>
          <w:spacing w:val="-4"/>
          <w:sz w:val="24"/>
        </w:rPr>
        <w:t>The </w:t>
      </w:r>
      <w:r>
        <w:rPr>
          <w:sz w:val="24"/>
        </w:rPr>
        <w:t>Bank’s regional Agents had undertaken a special survey of </w:t>
      </w:r>
      <w:r>
        <w:rPr>
          <w:spacing w:val="-2"/>
          <w:sz w:val="24"/>
        </w:rPr>
        <w:t>this </w:t>
      </w:r>
      <w:r>
        <w:rPr>
          <w:sz w:val="24"/>
        </w:rPr>
        <w:t>sector, which had indicated only moderate slowing in the pace of growth through the rest of this year. The Chartered Institute of Purchasing and Supply (CIPS) services </w:t>
      </w:r>
      <w:r>
        <w:rPr>
          <w:spacing w:val="-3"/>
          <w:sz w:val="24"/>
        </w:rPr>
        <w:t>survey </w:t>
      </w:r>
      <w:r>
        <w:rPr>
          <w:sz w:val="24"/>
        </w:rPr>
        <w:t>also seemed consistent with relatively stable growth. The CBI Grant Thornton survey of consumer and business services painted a weaker picture. Taken together, the indicators did not point to a marked weakening of GDP growth between Q1 and Q2, though the balance of evidence suggested that the outcome </w:t>
      </w:r>
      <w:r>
        <w:rPr>
          <w:spacing w:val="-3"/>
          <w:sz w:val="24"/>
        </w:rPr>
        <w:t>might, </w:t>
      </w:r>
      <w:r>
        <w:rPr>
          <w:sz w:val="24"/>
        </w:rPr>
        <w:t>if anything, be a little softer than expected at the time of the May </w:t>
      </w:r>
      <w:r>
        <w:rPr>
          <w:i/>
          <w:sz w:val="24"/>
        </w:rPr>
        <w:t>Inflation</w:t>
      </w:r>
      <w:r>
        <w:rPr>
          <w:i/>
          <w:spacing w:val="3"/>
          <w:sz w:val="24"/>
        </w:rPr>
        <w:t> </w:t>
      </w:r>
      <w:r>
        <w:rPr>
          <w:i/>
          <w:sz w:val="24"/>
        </w:rPr>
        <w:t>Report</w:t>
      </w:r>
      <w:r>
        <w:rPr>
          <w:sz w:val="24"/>
        </w:rPr>
        <w:t>.</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8" w:right="185" w:firstLine="0"/>
        <w:jc w:val="left"/>
        <w:rPr>
          <w:sz w:val="24"/>
        </w:rPr>
      </w:pPr>
      <w:r>
        <w:rPr>
          <w:sz w:val="24"/>
        </w:rPr>
        <w:t>Turning to the expenditure side of the National Accounts, the quarterly growth rate of final domestic demand had now slowed for five successive quarters, and was 0.3% in Q1. For the first time in </w:t>
      </w:r>
      <w:r>
        <w:rPr>
          <w:spacing w:val="-3"/>
          <w:sz w:val="24"/>
        </w:rPr>
        <w:t>around </w:t>
      </w:r>
      <w:r>
        <w:rPr>
          <w:sz w:val="24"/>
        </w:rPr>
        <w:t>ten </w:t>
      </w:r>
      <w:r>
        <w:rPr>
          <w:spacing w:val="-3"/>
          <w:sz w:val="24"/>
        </w:rPr>
        <w:t>years, </w:t>
      </w:r>
      <w:r>
        <w:rPr>
          <w:sz w:val="24"/>
        </w:rPr>
        <w:t>it had been below 0.6% for the past two</w:t>
      </w:r>
      <w:r>
        <w:rPr>
          <w:spacing w:val="20"/>
          <w:sz w:val="24"/>
        </w:rPr>
        <w:t> </w:t>
      </w:r>
      <w:r>
        <w:rPr>
          <w:sz w:val="24"/>
        </w:rPr>
        <w:t>quarters.</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45" w:firstLine="0"/>
        <w:jc w:val="left"/>
        <w:rPr>
          <w:sz w:val="24"/>
        </w:rPr>
      </w:pPr>
      <w:r>
        <w:rPr>
          <w:sz w:val="24"/>
        </w:rPr>
        <w:t>There did </w:t>
      </w:r>
      <w:r>
        <w:rPr>
          <w:spacing w:val="-6"/>
          <w:sz w:val="24"/>
        </w:rPr>
        <w:t>not, </w:t>
      </w:r>
      <w:r>
        <w:rPr>
          <w:sz w:val="24"/>
        </w:rPr>
        <w:t>as yet, seem to be decisive evidence on the extent or breadth of the slowdown in consumer spending. Consumption growth of 0.3% in 2005 Q1 had </w:t>
      </w:r>
      <w:r>
        <w:rPr>
          <w:spacing w:val="-3"/>
          <w:sz w:val="24"/>
        </w:rPr>
        <w:t>been </w:t>
      </w:r>
      <w:r>
        <w:rPr>
          <w:sz w:val="24"/>
        </w:rPr>
        <w:t>only a little weaker than expected at the time of the May </w:t>
      </w:r>
      <w:r>
        <w:rPr>
          <w:i/>
          <w:sz w:val="24"/>
        </w:rPr>
        <w:t>Inflation Report</w:t>
      </w:r>
      <w:r>
        <w:rPr>
          <w:sz w:val="24"/>
        </w:rPr>
        <w:t>. </w:t>
      </w:r>
      <w:r>
        <w:rPr>
          <w:spacing w:val="-4"/>
          <w:sz w:val="24"/>
        </w:rPr>
        <w:t>The </w:t>
      </w:r>
      <w:r>
        <w:rPr>
          <w:sz w:val="24"/>
        </w:rPr>
        <w:t>latest retail sales data for April were in line</w:t>
      </w:r>
      <w:r>
        <w:rPr>
          <w:spacing w:val="-33"/>
          <w:sz w:val="24"/>
        </w:rPr>
        <w:t> </w:t>
      </w:r>
      <w:r>
        <w:rPr>
          <w:sz w:val="24"/>
        </w:rPr>
        <w:t>with</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0" w:lineRule="auto" w:before="90"/>
        <w:ind w:left="107" w:right="175"/>
      </w:pPr>
      <w:r>
        <w:rPr/>
        <w:t>the Committee’s expectations. The May CBI </w:t>
      </w:r>
      <w:r>
        <w:rPr>
          <w:i/>
        </w:rPr>
        <w:t>Distributive Trades Survey </w:t>
      </w:r>
      <w:r>
        <w:rPr/>
        <w:t>and the British Retail Consortium survey had both increased slightly, but remained weak. The Bank’s regional Agents reported no significant change in retail conditions on the month, but saw some signs of a moderate easing in consumer services. Consumer confidence had edged down. Private car registrations, although volatile and difficult to adjust for the changing seasonal pattern, showed some tentative signs of recovery, but remained weaker than a year earlier. The housing market continued to evolve largely as expected at the time of the </w:t>
      </w:r>
      <w:r>
        <w:rPr>
          <w:i/>
        </w:rPr>
        <w:t>Inflation Report,</w:t>
      </w:r>
      <w:r>
        <w:rPr/>
        <w:t>with house prices broadly flat and activity indicators mixed. Money and credit data had provided ambiguous signals too. Unsecured lending growth had fallen as effective interest rates on credit cards had risen, in contrast to other market interest rates.</w:t>
      </w:r>
    </w:p>
    <w:p>
      <w:pPr>
        <w:pStyle w:val="BodyText"/>
        <w:spacing w:line="360" w:lineRule="auto" w:before="6"/>
        <w:ind w:left="107" w:right="194"/>
      </w:pPr>
      <w:r>
        <w:rPr/>
        <w:t>Household deposit growth had risen but growth in household Divisia money had eased. Narrow money growth had been slowing. Overall, there seemed to be few signs of further deceleration in consumer spending, but nor were there any signs of a marked bounceback. Some of the data seemed consistent with the possibility that there was an ongoing, but temporary, adjustment to the stock of durables and that faster consumption growth would then resume, while other indicators hinted at a more widespread and protracted slowing in consumer spending.</w:t>
      </w:r>
    </w:p>
    <w:p>
      <w:pPr>
        <w:pStyle w:val="BodyText"/>
        <w:spacing w:before="6"/>
        <w:rPr>
          <w:sz w:val="35"/>
        </w:rPr>
      </w:pPr>
    </w:p>
    <w:p>
      <w:pPr>
        <w:pStyle w:val="ListParagraph"/>
        <w:numPr>
          <w:ilvl w:val="0"/>
          <w:numId w:val="1"/>
        </w:numPr>
        <w:tabs>
          <w:tab w:pos="671" w:val="left" w:leader="none"/>
          <w:tab w:pos="672" w:val="left" w:leader="none"/>
        </w:tabs>
        <w:spacing w:line="360" w:lineRule="auto" w:before="0" w:after="0"/>
        <w:ind w:left="107" w:right="121" w:firstLine="0"/>
        <w:jc w:val="left"/>
        <w:rPr>
          <w:sz w:val="24"/>
        </w:rPr>
      </w:pPr>
      <w:r>
        <w:rPr>
          <w:sz w:val="24"/>
        </w:rPr>
        <w:t>The weakness of imports in Q1 seemed to match neatly with the recent weakness of consumer spending on durables and of business investment, both of which </w:t>
      </w:r>
      <w:r>
        <w:rPr>
          <w:spacing w:val="2"/>
          <w:sz w:val="24"/>
        </w:rPr>
        <w:t>were </w:t>
      </w:r>
      <w:r>
        <w:rPr>
          <w:sz w:val="24"/>
        </w:rPr>
        <w:t>relatively import-intensive. The monthly trade data for April </w:t>
      </w:r>
      <w:r>
        <w:rPr>
          <w:spacing w:val="-3"/>
          <w:sz w:val="24"/>
        </w:rPr>
        <w:t>had </w:t>
      </w:r>
      <w:r>
        <w:rPr>
          <w:sz w:val="24"/>
        </w:rPr>
        <w:t>suggested a slightly smaller positive contribution from net </w:t>
      </w:r>
      <w:r>
        <w:rPr>
          <w:spacing w:val="2"/>
          <w:sz w:val="24"/>
        </w:rPr>
        <w:t>trade </w:t>
      </w:r>
      <w:r>
        <w:rPr>
          <w:sz w:val="24"/>
        </w:rPr>
        <w:t>in</w:t>
      </w:r>
      <w:r>
        <w:rPr>
          <w:spacing w:val="-41"/>
          <w:sz w:val="24"/>
        </w:rPr>
        <w:t> </w:t>
      </w:r>
      <w:r>
        <w:rPr>
          <w:spacing w:val="-3"/>
          <w:sz w:val="24"/>
        </w:rPr>
        <w:t>Q1 </w:t>
      </w:r>
      <w:r>
        <w:rPr>
          <w:sz w:val="24"/>
        </w:rPr>
        <w:t>than seen in the second GDP release. But </w:t>
      </w:r>
      <w:r>
        <w:rPr>
          <w:spacing w:val="-3"/>
          <w:sz w:val="24"/>
        </w:rPr>
        <w:t>more </w:t>
      </w:r>
      <w:r>
        <w:rPr>
          <w:sz w:val="24"/>
        </w:rPr>
        <w:t>analysis of these data would be required before </w:t>
      </w:r>
      <w:r>
        <w:rPr>
          <w:spacing w:val="-5"/>
          <w:sz w:val="24"/>
        </w:rPr>
        <w:t>firm </w:t>
      </w:r>
      <w:r>
        <w:rPr>
          <w:sz w:val="24"/>
        </w:rPr>
        <w:t>conclusions could be</w:t>
      </w:r>
      <w:r>
        <w:rPr>
          <w:spacing w:val="3"/>
          <w:sz w:val="24"/>
        </w:rPr>
        <w:t> </w:t>
      </w:r>
      <w:r>
        <w:rPr>
          <w:spacing w:val="-4"/>
          <w:sz w:val="24"/>
        </w:rPr>
        <w:t>drawn.</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265" w:firstLine="0"/>
        <w:jc w:val="left"/>
        <w:rPr>
          <w:sz w:val="24"/>
        </w:rPr>
      </w:pPr>
      <w:r>
        <w:rPr>
          <w:spacing w:val="-3"/>
          <w:sz w:val="24"/>
        </w:rPr>
        <w:t>The May </w:t>
      </w:r>
      <w:r>
        <w:rPr>
          <w:i/>
          <w:sz w:val="24"/>
        </w:rPr>
        <w:t>Inflation Report </w:t>
      </w:r>
      <w:r>
        <w:rPr>
          <w:sz w:val="24"/>
        </w:rPr>
        <w:t>projections had been predicated on some rebalancing of growth, with trade and investment contributing more strongly to overall growth than in recent years, and </w:t>
      </w:r>
      <w:r>
        <w:rPr>
          <w:spacing w:val="-4"/>
          <w:sz w:val="24"/>
        </w:rPr>
        <w:t>consumption growth </w:t>
      </w:r>
      <w:r>
        <w:rPr>
          <w:sz w:val="24"/>
        </w:rPr>
        <w:t>ma king a smaller contribution. But business investment had fallen by 0.1% in Q1, and had been rather weaker than expected. Although past evidence suggested that upward revisions to the investment data were likely, </w:t>
      </w:r>
      <w:r>
        <w:rPr>
          <w:spacing w:val="-3"/>
          <w:sz w:val="24"/>
        </w:rPr>
        <w:t>which </w:t>
      </w:r>
      <w:r>
        <w:rPr>
          <w:sz w:val="24"/>
        </w:rPr>
        <w:t>would be consistent with the business surveys and the evidence from the Bank’s Agents, there was a risk that investment would turn out to be weaker than expected at the time of the </w:t>
      </w:r>
      <w:r>
        <w:rPr>
          <w:i/>
          <w:sz w:val="24"/>
        </w:rPr>
        <w:t>Inflation Report</w:t>
      </w:r>
      <w:r>
        <w:rPr>
          <w:sz w:val="24"/>
        </w:rPr>
        <w:t>. More generally, the latest evidence from the manufacturing sector on production and orders did not sit easily with a rebalancing of expenditure growth towards exports and</w:t>
      </w:r>
      <w:r>
        <w:rPr>
          <w:spacing w:val="-16"/>
          <w:sz w:val="24"/>
        </w:rPr>
        <w:t> </w:t>
      </w:r>
      <w:r>
        <w:rPr>
          <w:sz w:val="24"/>
        </w:rPr>
        <w:t>investment.</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ListParagraph"/>
        <w:numPr>
          <w:ilvl w:val="0"/>
          <w:numId w:val="1"/>
        </w:numPr>
        <w:tabs>
          <w:tab w:pos="671" w:val="left" w:leader="none"/>
          <w:tab w:pos="672" w:val="left" w:leader="none"/>
        </w:tabs>
        <w:spacing w:line="360" w:lineRule="auto" w:before="90" w:after="0"/>
        <w:ind w:left="107" w:right="169" w:firstLine="0"/>
        <w:jc w:val="left"/>
        <w:rPr>
          <w:sz w:val="24"/>
        </w:rPr>
      </w:pPr>
      <w:r>
        <w:rPr>
          <w:sz w:val="24"/>
        </w:rPr>
        <w:t>There were mixed signals from some other economic indicators. Real broad money – as measured using M4 divided by the GDP deflator – </w:t>
      </w:r>
      <w:r>
        <w:rPr>
          <w:spacing w:val="-3"/>
          <w:sz w:val="24"/>
        </w:rPr>
        <w:t>had </w:t>
      </w:r>
      <w:r>
        <w:rPr>
          <w:sz w:val="24"/>
        </w:rPr>
        <w:t>been growing at its fastest rate for some years. That raised questions about the extent of the weakness in domestic demand. Excluding other financial companies, however, </w:t>
      </w:r>
      <w:r>
        <w:rPr>
          <w:spacing w:val="-3"/>
          <w:sz w:val="24"/>
        </w:rPr>
        <w:t>broad money growth </w:t>
      </w:r>
      <w:r>
        <w:rPr>
          <w:spacing w:val="2"/>
          <w:sz w:val="24"/>
        </w:rPr>
        <w:t>had </w:t>
      </w:r>
      <w:r>
        <w:rPr>
          <w:sz w:val="24"/>
        </w:rPr>
        <w:t>eased since the middle of last year and </w:t>
      </w:r>
      <w:r>
        <w:rPr>
          <w:spacing w:val="-3"/>
          <w:sz w:val="24"/>
        </w:rPr>
        <w:t>nominal </w:t>
      </w:r>
      <w:r>
        <w:rPr>
          <w:sz w:val="24"/>
        </w:rPr>
        <w:t>GDP growth </w:t>
      </w:r>
      <w:r>
        <w:rPr>
          <w:spacing w:val="-3"/>
          <w:sz w:val="24"/>
        </w:rPr>
        <w:t>had </w:t>
      </w:r>
      <w:r>
        <w:rPr>
          <w:sz w:val="24"/>
        </w:rPr>
        <w:t>been decreasing steadily since the first half of</w:t>
      </w:r>
      <w:r>
        <w:rPr>
          <w:spacing w:val="-3"/>
          <w:sz w:val="24"/>
        </w:rPr>
        <w:t> </w:t>
      </w:r>
      <w:r>
        <w:rPr>
          <w:sz w:val="24"/>
        </w:rPr>
        <w:t>2004.</w:t>
      </w:r>
    </w:p>
    <w:p>
      <w:pPr>
        <w:pStyle w:val="BodyText"/>
        <w:rPr>
          <w:sz w:val="36"/>
        </w:rPr>
      </w:pPr>
    </w:p>
    <w:p>
      <w:pPr>
        <w:pStyle w:val="Heading1"/>
      </w:pPr>
      <w:r>
        <w:rPr/>
        <w:t>The labour market, costs and prices</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360" w:lineRule="auto" w:before="0" w:after="0"/>
        <w:ind w:left="107" w:right="182" w:firstLine="0"/>
        <w:jc w:val="left"/>
        <w:rPr>
          <w:sz w:val="24"/>
        </w:rPr>
      </w:pPr>
      <w:r>
        <w:rPr>
          <w:spacing w:val="-4"/>
          <w:sz w:val="24"/>
        </w:rPr>
        <w:t>There </w:t>
      </w:r>
      <w:r>
        <w:rPr>
          <w:sz w:val="24"/>
        </w:rPr>
        <w:t>had been a small rise in pay settlements in the year to April to 3½%. </w:t>
      </w:r>
      <w:r>
        <w:rPr>
          <w:spacing w:val="-3"/>
          <w:sz w:val="24"/>
        </w:rPr>
        <w:t>But </w:t>
      </w:r>
      <w:r>
        <w:rPr>
          <w:spacing w:val="-4"/>
          <w:sz w:val="24"/>
        </w:rPr>
        <w:t>the </w:t>
      </w:r>
      <w:r>
        <w:rPr>
          <w:sz w:val="24"/>
        </w:rPr>
        <w:t>outturn for regular</w:t>
      </w:r>
      <w:r>
        <w:rPr>
          <w:spacing w:val="-4"/>
          <w:sz w:val="24"/>
        </w:rPr>
        <w:t> </w:t>
      </w:r>
      <w:r>
        <w:rPr>
          <w:sz w:val="24"/>
        </w:rPr>
        <w:t>pay</w:t>
      </w:r>
      <w:r>
        <w:rPr>
          <w:spacing w:val="-5"/>
          <w:sz w:val="24"/>
        </w:rPr>
        <w:t> </w:t>
      </w:r>
      <w:r>
        <w:rPr>
          <w:sz w:val="24"/>
        </w:rPr>
        <w:t>drift</w:t>
      </w:r>
      <w:r>
        <w:rPr>
          <w:spacing w:val="-5"/>
          <w:sz w:val="24"/>
        </w:rPr>
        <w:t> </w:t>
      </w:r>
      <w:r>
        <w:rPr>
          <w:sz w:val="24"/>
        </w:rPr>
        <w:t>–</w:t>
      </w:r>
      <w:r>
        <w:rPr>
          <w:spacing w:val="-6"/>
          <w:sz w:val="24"/>
        </w:rPr>
        <w:t> </w:t>
      </w:r>
      <w:r>
        <w:rPr>
          <w:sz w:val="24"/>
        </w:rPr>
        <w:t>the</w:t>
      </w:r>
      <w:r>
        <w:rPr>
          <w:spacing w:val="-7"/>
          <w:sz w:val="24"/>
        </w:rPr>
        <w:t> </w:t>
      </w:r>
      <w:r>
        <w:rPr>
          <w:sz w:val="24"/>
        </w:rPr>
        <w:t>difference</w:t>
      </w:r>
      <w:r>
        <w:rPr>
          <w:spacing w:val="-7"/>
          <w:sz w:val="24"/>
        </w:rPr>
        <w:t> </w:t>
      </w:r>
      <w:r>
        <w:rPr>
          <w:sz w:val="24"/>
        </w:rPr>
        <w:t>between</w:t>
      </w:r>
      <w:r>
        <w:rPr>
          <w:spacing w:val="5"/>
          <w:sz w:val="24"/>
        </w:rPr>
        <w:t> </w:t>
      </w:r>
      <w:r>
        <w:rPr>
          <w:sz w:val="24"/>
        </w:rPr>
        <w:t>regular</w:t>
      </w:r>
      <w:r>
        <w:rPr>
          <w:spacing w:val="1"/>
          <w:sz w:val="24"/>
        </w:rPr>
        <w:t> </w:t>
      </w:r>
      <w:r>
        <w:rPr>
          <w:sz w:val="24"/>
        </w:rPr>
        <w:t>pay</w:t>
      </w:r>
      <w:r>
        <w:rPr>
          <w:spacing w:val="2"/>
          <w:sz w:val="24"/>
        </w:rPr>
        <w:t> </w:t>
      </w:r>
      <w:r>
        <w:rPr>
          <w:sz w:val="24"/>
        </w:rPr>
        <w:t>growth</w:t>
      </w:r>
      <w:r>
        <w:rPr>
          <w:spacing w:val="-15"/>
          <w:sz w:val="24"/>
        </w:rPr>
        <w:t> </w:t>
      </w:r>
      <w:r>
        <w:rPr>
          <w:sz w:val="24"/>
        </w:rPr>
        <w:t>and</w:t>
      </w:r>
      <w:r>
        <w:rPr>
          <w:spacing w:val="-3"/>
          <w:sz w:val="24"/>
        </w:rPr>
        <w:t> </w:t>
      </w:r>
      <w:r>
        <w:rPr>
          <w:sz w:val="24"/>
        </w:rPr>
        <w:t>settlements</w:t>
      </w:r>
      <w:r>
        <w:rPr>
          <w:spacing w:val="-3"/>
          <w:sz w:val="24"/>
        </w:rPr>
        <w:t> </w:t>
      </w:r>
      <w:r>
        <w:rPr>
          <w:sz w:val="24"/>
        </w:rPr>
        <w:t>–</w:t>
      </w:r>
      <w:r>
        <w:rPr>
          <w:spacing w:val="8"/>
          <w:sz w:val="24"/>
        </w:rPr>
        <w:t> </w:t>
      </w:r>
      <w:r>
        <w:rPr>
          <w:sz w:val="24"/>
        </w:rPr>
        <w:t>had</w:t>
      </w:r>
      <w:r>
        <w:rPr>
          <w:spacing w:val="-6"/>
          <w:sz w:val="24"/>
        </w:rPr>
        <w:t> </w:t>
      </w:r>
      <w:r>
        <w:rPr>
          <w:sz w:val="24"/>
        </w:rPr>
        <w:t>been</w:t>
      </w:r>
      <w:r>
        <w:rPr>
          <w:spacing w:val="-5"/>
          <w:sz w:val="24"/>
        </w:rPr>
        <w:t> </w:t>
      </w:r>
      <w:r>
        <w:rPr>
          <w:spacing w:val="-2"/>
          <w:sz w:val="24"/>
        </w:rPr>
        <w:t>unexpectedly </w:t>
      </w:r>
      <w:r>
        <w:rPr>
          <w:sz w:val="24"/>
        </w:rPr>
        <w:t>weak in </w:t>
      </w:r>
      <w:r>
        <w:rPr>
          <w:spacing w:val="-3"/>
          <w:sz w:val="24"/>
        </w:rPr>
        <w:t>March. </w:t>
      </w:r>
      <w:r>
        <w:rPr>
          <w:sz w:val="24"/>
        </w:rPr>
        <w:t>It was possible that the rise in settlements reflected the </w:t>
      </w:r>
      <w:r>
        <w:rPr>
          <w:spacing w:val="2"/>
          <w:sz w:val="24"/>
        </w:rPr>
        <w:t>earlier </w:t>
      </w:r>
      <w:r>
        <w:rPr>
          <w:sz w:val="24"/>
        </w:rPr>
        <w:t>rise in RPI inflation and/or the increases in the National </w:t>
      </w:r>
      <w:r>
        <w:rPr>
          <w:spacing w:val="-4"/>
          <w:sz w:val="24"/>
        </w:rPr>
        <w:t>Minimum </w:t>
      </w:r>
      <w:r>
        <w:rPr>
          <w:sz w:val="24"/>
        </w:rPr>
        <w:t>Wage, as previously suggested by the contacts of the Bank’s regional Agents. The evidence on whether </w:t>
      </w:r>
      <w:r>
        <w:rPr>
          <w:spacing w:val="-3"/>
          <w:sz w:val="24"/>
        </w:rPr>
        <w:t>pay </w:t>
      </w:r>
      <w:r>
        <w:rPr>
          <w:sz w:val="24"/>
        </w:rPr>
        <w:t>drift tended to lead settlements or vice versa was not conclusive, though, on balance, it probably pointed to pay drift leading settlements. If so, the fall in </w:t>
      </w:r>
      <w:r>
        <w:rPr>
          <w:spacing w:val="-3"/>
          <w:sz w:val="24"/>
        </w:rPr>
        <w:t>pay </w:t>
      </w:r>
      <w:r>
        <w:rPr>
          <w:sz w:val="24"/>
        </w:rPr>
        <w:t>drift, and regular earnings growth, was the more significant of the two pieces of news and would be consistent with a slight easing of labour market</w:t>
      </w:r>
      <w:r>
        <w:rPr>
          <w:spacing w:val="-5"/>
          <w:sz w:val="24"/>
        </w:rPr>
        <w:t> </w:t>
      </w:r>
      <w:r>
        <w:rPr>
          <w:sz w:val="24"/>
        </w:rPr>
        <w:t>conditions.</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7" w:right="189" w:firstLine="0"/>
        <w:jc w:val="left"/>
        <w:rPr>
          <w:sz w:val="24"/>
        </w:rPr>
      </w:pPr>
      <w:r>
        <w:rPr>
          <w:sz w:val="24"/>
        </w:rPr>
        <w:t>There had been no significant news on employment, unemployment or inactivity this </w:t>
      </w:r>
      <w:r>
        <w:rPr>
          <w:spacing w:val="-3"/>
          <w:sz w:val="24"/>
        </w:rPr>
        <w:t>month, </w:t>
      </w:r>
      <w:r>
        <w:rPr>
          <w:spacing w:val="-2"/>
          <w:sz w:val="24"/>
        </w:rPr>
        <w:t>nor </w:t>
      </w:r>
      <w:r>
        <w:rPr>
          <w:sz w:val="24"/>
        </w:rPr>
        <w:t>on average weekly hours. The CIPS surveys were weaker on the month, which was consistent with a slowdown in employment growth. There seemed to be further evidence, from the Recruitment and Employment Confederation survey, that availability of staff was decreasing less rapidly, while </w:t>
      </w:r>
      <w:r>
        <w:rPr>
          <w:spacing w:val="-2"/>
          <w:sz w:val="24"/>
        </w:rPr>
        <w:t>the </w:t>
      </w:r>
      <w:r>
        <w:rPr>
          <w:sz w:val="24"/>
        </w:rPr>
        <w:t>Bank’s regional Agents continued to report signs of diminishing difficulties in</w:t>
      </w:r>
      <w:r>
        <w:rPr>
          <w:spacing w:val="-37"/>
          <w:sz w:val="24"/>
        </w:rPr>
        <w:t> </w:t>
      </w:r>
      <w:r>
        <w:rPr>
          <w:sz w:val="24"/>
        </w:rPr>
        <w:t>recruitment.</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67" w:firstLine="0"/>
        <w:jc w:val="left"/>
        <w:rPr>
          <w:sz w:val="24"/>
        </w:rPr>
      </w:pPr>
      <w:r>
        <w:rPr>
          <w:sz w:val="24"/>
        </w:rPr>
        <w:t>Import prices had risen in the year to 2005 Q1, and had been moving broadly as expected at the </w:t>
      </w:r>
      <w:r>
        <w:rPr>
          <w:spacing w:val="-3"/>
          <w:sz w:val="24"/>
        </w:rPr>
        <w:t>time </w:t>
      </w:r>
      <w:r>
        <w:rPr>
          <w:sz w:val="24"/>
        </w:rPr>
        <w:t>of </w:t>
      </w:r>
      <w:r>
        <w:rPr>
          <w:spacing w:val="-3"/>
          <w:sz w:val="24"/>
        </w:rPr>
        <w:t>the </w:t>
      </w:r>
      <w:r>
        <w:rPr>
          <w:sz w:val="24"/>
        </w:rPr>
        <w:t>May </w:t>
      </w:r>
      <w:r>
        <w:rPr>
          <w:i/>
          <w:sz w:val="24"/>
        </w:rPr>
        <w:t>Inflation Report</w:t>
      </w:r>
      <w:r>
        <w:rPr>
          <w:sz w:val="24"/>
        </w:rPr>
        <w:t>. </w:t>
      </w:r>
      <w:r>
        <w:rPr>
          <w:spacing w:val="-3"/>
          <w:sz w:val="24"/>
        </w:rPr>
        <w:t>That </w:t>
      </w:r>
      <w:r>
        <w:rPr>
          <w:spacing w:val="2"/>
          <w:sz w:val="24"/>
        </w:rPr>
        <w:t>rise </w:t>
      </w:r>
      <w:r>
        <w:rPr>
          <w:sz w:val="24"/>
        </w:rPr>
        <w:t>was partly accounted for by the direct effect of higher oil prices. But there were </w:t>
      </w:r>
      <w:r>
        <w:rPr>
          <w:spacing w:val="-3"/>
          <w:sz w:val="24"/>
        </w:rPr>
        <w:t>further </w:t>
      </w:r>
      <w:r>
        <w:rPr>
          <w:sz w:val="24"/>
        </w:rPr>
        <w:t>signs of other components – such as the price of imported finished goods – falling at a much decreased </w:t>
      </w:r>
      <w:r>
        <w:rPr>
          <w:spacing w:val="-3"/>
          <w:sz w:val="24"/>
        </w:rPr>
        <w:t>annual </w:t>
      </w:r>
      <w:r>
        <w:rPr>
          <w:sz w:val="24"/>
        </w:rPr>
        <w:t>rate. Short-run measures of producer price output inflation excluding petroleum products had fallen in April. The CIPS input and output price balances for both manufacturing and service sectors had fallen in May. A little further along the supply chain, distributors’ </w:t>
      </w:r>
      <w:r>
        <w:rPr>
          <w:spacing w:val="-3"/>
          <w:sz w:val="24"/>
        </w:rPr>
        <w:t>weighted </w:t>
      </w:r>
      <w:r>
        <w:rPr>
          <w:sz w:val="24"/>
        </w:rPr>
        <w:t>costs appeared to be accelerating in Q1 – reflecting the earlier movements in manufacturers’ and </w:t>
      </w:r>
      <w:r>
        <w:rPr>
          <w:spacing w:val="-3"/>
          <w:sz w:val="24"/>
        </w:rPr>
        <w:t>utility </w:t>
      </w:r>
      <w:r>
        <w:rPr>
          <w:sz w:val="24"/>
        </w:rPr>
        <w:t>prices. It remained unclear how much of the first-round effects of past oil price rises was still to work through the supply</w:t>
      </w:r>
      <w:r>
        <w:rPr>
          <w:spacing w:val="-36"/>
          <w:sz w:val="24"/>
        </w:rPr>
        <w:t> </w:t>
      </w:r>
      <w:r>
        <w:rPr>
          <w:sz w:val="24"/>
        </w:rPr>
        <w:t>chain.</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ListParagraph"/>
        <w:numPr>
          <w:ilvl w:val="0"/>
          <w:numId w:val="1"/>
        </w:numPr>
        <w:tabs>
          <w:tab w:pos="671" w:val="left" w:leader="none"/>
          <w:tab w:pos="672" w:val="left" w:leader="none"/>
        </w:tabs>
        <w:spacing w:line="360" w:lineRule="auto" w:before="90" w:after="0"/>
        <w:ind w:left="108" w:right="145" w:firstLine="0"/>
        <w:jc w:val="left"/>
        <w:rPr>
          <w:sz w:val="24"/>
        </w:rPr>
      </w:pPr>
      <w:r>
        <w:rPr>
          <w:sz w:val="24"/>
        </w:rPr>
        <w:t>CPI inflation in April had turned out lower than expected. In line with pre-release arrangements, an advance estimate of CPI inflation in May had been provided to the Governor ahead of publication. This suggested that inflation in May was a little higher than expected. The month-to-month </w:t>
      </w:r>
      <w:r>
        <w:rPr>
          <w:spacing w:val="-3"/>
          <w:sz w:val="24"/>
        </w:rPr>
        <w:t>movements </w:t>
      </w:r>
      <w:r>
        <w:rPr>
          <w:sz w:val="24"/>
        </w:rPr>
        <w:t>continued to reflect, in </w:t>
      </w:r>
      <w:r>
        <w:rPr>
          <w:spacing w:val="-3"/>
          <w:sz w:val="24"/>
        </w:rPr>
        <w:t>part, </w:t>
      </w:r>
      <w:r>
        <w:rPr>
          <w:sz w:val="24"/>
        </w:rPr>
        <w:t>fluctuations in food and transport services prices. </w:t>
      </w:r>
      <w:r>
        <w:rPr>
          <w:spacing w:val="-4"/>
          <w:sz w:val="24"/>
        </w:rPr>
        <w:t>But </w:t>
      </w:r>
      <w:r>
        <w:rPr>
          <w:spacing w:val="-3"/>
          <w:sz w:val="24"/>
        </w:rPr>
        <w:t>these </w:t>
      </w:r>
      <w:r>
        <w:rPr>
          <w:sz w:val="24"/>
        </w:rPr>
        <w:t>small monthly fluctuations did not appear to contain any significant news for the medium-term </w:t>
      </w:r>
      <w:r>
        <w:rPr>
          <w:spacing w:val="-3"/>
          <w:sz w:val="24"/>
        </w:rPr>
        <w:t>outlook.</w:t>
      </w:r>
    </w:p>
    <w:p>
      <w:pPr>
        <w:pStyle w:val="BodyText"/>
        <w:spacing w:before="6"/>
        <w:rPr>
          <w:sz w:val="36"/>
        </w:rPr>
      </w:pPr>
    </w:p>
    <w:p>
      <w:pPr>
        <w:pStyle w:val="Heading1"/>
      </w:pPr>
      <w:r>
        <w:rPr/>
        <w:t>The immediate policy decision</w:t>
      </w:r>
    </w:p>
    <w:p>
      <w:pPr>
        <w:pStyle w:val="BodyText"/>
        <w:rPr>
          <w:b/>
          <w:sz w:val="26"/>
        </w:rPr>
      </w:pPr>
    </w:p>
    <w:p>
      <w:pPr>
        <w:pStyle w:val="BodyText"/>
        <w:rPr>
          <w:b/>
          <w:sz w:val="22"/>
        </w:rPr>
      </w:pPr>
    </w:p>
    <w:p>
      <w:pPr>
        <w:pStyle w:val="ListParagraph"/>
        <w:numPr>
          <w:ilvl w:val="0"/>
          <w:numId w:val="1"/>
        </w:numPr>
        <w:tabs>
          <w:tab w:pos="671" w:val="left" w:leader="none"/>
          <w:tab w:pos="672" w:val="left" w:leader="none"/>
        </w:tabs>
        <w:spacing w:line="240" w:lineRule="auto" w:before="0" w:after="0"/>
        <w:ind w:left="672" w:right="0" w:hanging="564"/>
        <w:jc w:val="left"/>
        <w:rPr>
          <w:sz w:val="24"/>
        </w:rPr>
      </w:pPr>
      <w:r>
        <w:rPr>
          <w:spacing w:val="-3"/>
          <w:sz w:val="24"/>
        </w:rPr>
        <w:t>The news </w:t>
      </w:r>
      <w:r>
        <w:rPr>
          <w:sz w:val="24"/>
        </w:rPr>
        <w:t>on UK-weighted world demand had been slightly on the downside over the past</w:t>
      </w:r>
      <w:r>
        <w:rPr>
          <w:spacing w:val="-18"/>
          <w:sz w:val="24"/>
        </w:rPr>
        <w:t> </w:t>
      </w:r>
      <w:r>
        <w:rPr>
          <w:sz w:val="24"/>
        </w:rPr>
        <w:t>month</w:t>
      </w:r>
    </w:p>
    <w:p>
      <w:pPr>
        <w:pStyle w:val="BodyText"/>
        <w:spacing w:line="360" w:lineRule="auto" w:before="132"/>
        <w:ind w:left="108" w:right="121"/>
      </w:pPr>
      <w:r>
        <w:rPr/>
        <w:t>– with prospects for the euro area looking a little weaker than expected at the time of the </w:t>
      </w:r>
      <w:r>
        <w:rPr>
          <w:i/>
        </w:rPr>
        <w:t>Inflation </w:t>
      </w:r>
      <w:r>
        <w:rPr>
          <w:i/>
        </w:rPr>
        <w:t>Report</w:t>
      </w:r>
      <w:r>
        <w:rPr/>
        <w:t>, although growth in the </w:t>
      </w:r>
      <w:r>
        <w:rPr>
          <w:spacing w:val="-3"/>
        </w:rPr>
        <w:t>United </w:t>
      </w:r>
      <w:r>
        <w:rPr/>
        <w:t>States remained stable. In the United Kingdom, GDP growth in 2005 Q1 had been revised </w:t>
      </w:r>
      <w:r>
        <w:rPr>
          <w:spacing w:val="-4"/>
        </w:rPr>
        <w:t>down, </w:t>
      </w:r>
      <w:r>
        <w:rPr/>
        <w:t>broadly as expected at the previous meeting following the weak March industrial production data. The latest indicators, particularly CIPS services, pointed to </w:t>
      </w:r>
      <w:r>
        <w:rPr>
          <w:spacing w:val="-2"/>
        </w:rPr>
        <w:t>output </w:t>
      </w:r>
      <w:r>
        <w:rPr/>
        <w:t>growth </w:t>
      </w:r>
      <w:r>
        <w:rPr>
          <w:spacing w:val="-3"/>
        </w:rPr>
        <w:t>continuing </w:t>
      </w:r>
      <w:r>
        <w:rPr/>
        <w:t>to be close to trend in Q2. A succession of weaker surveys suggested </w:t>
      </w:r>
      <w:r>
        <w:rPr>
          <w:spacing w:val="-4"/>
        </w:rPr>
        <w:t>that, </w:t>
      </w:r>
      <w:r>
        <w:rPr/>
        <w:t>on balance, the risks to the near-term </w:t>
      </w:r>
      <w:r>
        <w:rPr>
          <w:i/>
        </w:rPr>
        <w:t>Inflation Report </w:t>
      </w:r>
      <w:r>
        <w:rPr/>
        <w:t>output projection were perhaps slightly more to </w:t>
      </w:r>
      <w:r>
        <w:rPr>
          <w:spacing w:val="-2"/>
        </w:rPr>
        <w:t>the </w:t>
      </w:r>
      <w:r>
        <w:rPr/>
        <w:t>downside. But those surveys tended to be drawn largely from </w:t>
      </w:r>
      <w:r>
        <w:rPr>
          <w:spacing w:val="-4"/>
        </w:rPr>
        <w:t>manufacturing.</w:t>
      </w:r>
      <w:r>
        <w:rPr>
          <w:spacing w:val="52"/>
        </w:rPr>
        <w:t> </w:t>
      </w:r>
      <w:r>
        <w:rPr/>
        <w:t>There were fewer indicators on the stronger, and much larger, service sectors – where analysis continued to be heavily reliant on the CIPS services </w:t>
      </w:r>
      <w:r>
        <w:rPr>
          <w:spacing w:val="-3"/>
        </w:rPr>
        <w:t>survey. </w:t>
      </w:r>
      <w:r>
        <w:rPr/>
        <w:t>In terms of expenditure, the latest data and surveys had also highlighted the risk that investment and export growth, taken together, might not fill the gap left by slower consumption growth. But more evidence was needed on the volatile investment and trade components of GDP, and the Quarterly National Accounts and annual Blue Book data were due to be published shortly.</w:t>
      </w:r>
    </w:p>
    <w:p>
      <w:pPr>
        <w:pStyle w:val="BodyText"/>
        <w:rPr>
          <w:sz w:val="36"/>
        </w:rPr>
      </w:pPr>
    </w:p>
    <w:p>
      <w:pPr>
        <w:pStyle w:val="ListParagraph"/>
        <w:numPr>
          <w:ilvl w:val="0"/>
          <w:numId w:val="1"/>
        </w:numPr>
        <w:tabs>
          <w:tab w:pos="671" w:val="left" w:leader="none"/>
          <w:tab w:pos="672" w:val="left" w:leader="none"/>
        </w:tabs>
        <w:spacing w:line="360" w:lineRule="auto" w:before="1" w:after="0"/>
        <w:ind w:left="108" w:right="325" w:firstLine="0"/>
        <w:jc w:val="left"/>
        <w:rPr>
          <w:sz w:val="24"/>
        </w:rPr>
      </w:pPr>
      <w:r>
        <w:rPr>
          <w:sz w:val="24"/>
        </w:rPr>
        <w:t>There was little news on labour market quantities, and what news there was hinted at a </w:t>
      </w:r>
      <w:r>
        <w:rPr>
          <w:spacing w:val="-2"/>
          <w:sz w:val="24"/>
        </w:rPr>
        <w:t>slight </w:t>
      </w:r>
      <w:r>
        <w:rPr>
          <w:sz w:val="24"/>
        </w:rPr>
        <w:t>easing of labour market conditions. Regular </w:t>
      </w:r>
      <w:r>
        <w:rPr>
          <w:spacing w:val="-3"/>
          <w:sz w:val="24"/>
        </w:rPr>
        <w:t>pay </w:t>
      </w:r>
      <w:r>
        <w:rPr>
          <w:spacing w:val="-4"/>
          <w:sz w:val="24"/>
        </w:rPr>
        <w:t>growth </w:t>
      </w:r>
      <w:r>
        <w:rPr>
          <w:spacing w:val="-3"/>
          <w:sz w:val="24"/>
        </w:rPr>
        <w:t>had </w:t>
      </w:r>
      <w:r>
        <w:rPr>
          <w:sz w:val="24"/>
        </w:rPr>
        <w:t>slowed. Import prices in Q1 </w:t>
      </w:r>
      <w:r>
        <w:rPr>
          <w:spacing w:val="-4"/>
          <w:sz w:val="24"/>
        </w:rPr>
        <w:t>had </w:t>
      </w:r>
      <w:r>
        <w:rPr>
          <w:sz w:val="24"/>
        </w:rPr>
        <w:t>risen broadly as expected. There were some signs of an easing in the rate of increase in input and output prices in both the </w:t>
      </w:r>
      <w:r>
        <w:rPr>
          <w:spacing w:val="2"/>
          <w:sz w:val="24"/>
        </w:rPr>
        <w:t>official </w:t>
      </w:r>
      <w:r>
        <w:rPr>
          <w:spacing w:val="-3"/>
          <w:sz w:val="24"/>
        </w:rPr>
        <w:t>data </w:t>
      </w:r>
      <w:r>
        <w:rPr>
          <w:sz w:val="24"/>
        </w:rPr>
        <w:t>and surveys. Earlier increases in prices were moving further along </w:t>
      </w:r>
      <w:r>
        <w:rPr>
          <w:spacing w:val="-2"/>
          <w:sz w:val="24"/>
        </w:rPr>
        <w:t>the </w:t>
      </w:r>
      <w:r>
        <w:rPr>
          <w:sz w:val="24"/>
        </w:rPr>
        <w:t>supply chain into the distribution sector. Consumer price inflation remained close to target and there had been no significant news in the April and May</w:t>
      </w:r>
      <w:r>
        <w:rPr>
          <w:spacing w:val="9"/>
          <w:sz w:val="24"/>
        </w:rPr>
        <w:t> </w:t>
      </w:r>
      <w:r>
        <w:rPr>
          <w:sz w:val="24"/>
        </w:rPr>
        <w:t>outturns.</w:t>
      </w:r>
    </w:p>
    <w:p>
      <w:pPr>
        <w:pStyle w:val="BodyText"/>
        <w:spacing w:before="6"/>
        <w:rPr>
          <w:sz w:val="36"/>
        </w:rPr>
      </w:pPr>
    </w:p>
    <w:p>
      <w:pPr>
        <w:pStyle w:val="ListParagraph"/>
        <w:numPr>
          <w:ilvl w:val="0"/>
          <w:numId w:val="1"/>
        </w:numPr>
        <w:tabs>
          <w:tab w:pos="671" w:val="left" w:leader="none"/>
          <w:tab w:pos="672" w:val="left" w:leader="none"/>
        </w:tabs>
        <w:spacing w:line="355" w:lineRule="auto" w:before="0" w:after="0"/>
        <w:ind w:left="108" w:right="170" w:firstLine="0"/>
        <w:jc w:val="left"/>
        <w:rPr>
          <w:sz w:val="24"/>
        </w:rPr>
      </w:pPr>
      <w:r>
        <w:rPr>
          <w:sz w:val="24"/>
        </w:rPr>
        <w:t>For most members, the evidence warranted no change in official interest rates this month. There were a variety of arguments, on which different members placed different weights. For</w:t>
      </w:r>
      <w:r>
        <w:rPr>
          <w:spacing w:val="-19"/>
          <w:sz w:val="24"/>
        </w:rPr>
        <w:t> </w:t>
      </w:r>
      <w:r>
        <w:rPr>
          <w:sz w:val="24"/>
        </w:rPr>
        <w:t>those</w:t>
      </w:r>
    </w:p>
    <w:p>
      <w:pPr>
        <w:spacing w:after="0" w:line="355"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2" w:lineRule="auto" w:before="90"/>
        <w:ind w:left="107" w:right="82"/>
      </w:pPr>
      <w:r>
        <w:rPr/>
        <w:t>members, although recent indicators pointed to slightly weaker growth in the near term, the outlook for inflation had not changed sufficiently since the May </w:t>
      </w:r>
      <w:r>
        <w:rPr>
          <w:i/>
        </w:rPr>
        <w:t>Inflation Report </w:t>
      </w:r>
      <w:r>
        <w:rPr/>
        <w:t>to justify a change in interest rates. The two most important risks identified in the May </w:t>
      </w:r>
      <w:r>
        <w:rPr>
          <w:i/>
        </w:rPr>
        <w:t>Report </w:t>
      </w:r>
      <w:r>
        <w:rPr/>
        <w:t>had concerned the outlook for consumption and the reasons for the rise in CPI inflation. Both of these risks remained unresolved.</w:t>
      </w:r>
    </w:p>
    <w:p>
      <w:pPr>
        <w:pStyle w:val="BodyText"/>
        <w:spacing w:line="360" w:lineRule="auto"/>
        <w:ind w:left="108" w:right="121"/>
      </w:pPr>
      <w:r>
        <w:rPr/>
        <w:t>Although there was no new information on the latter, on the former there were signs that household spending growth might have stabilised, albeit at a low rate. The indicators did not provide conclusive evidence of whether the slowdown in consumption was a temporary adjustment, concentrated primarily in durables </w:t>
      </w:r>
      <w:r>
        <w:rPr>
          <w:spacing w:val="-4"/>
        </w:rPr>
        <w:t>and </w:t>
      </w:r>
      <w:r>
        <w:rPr/>
        <w:t>semi-durables </w:t>
      </w:r>
      <w:r>
        <w:rPr>
          <w:spacing w:val="-3"/>
        </w:rPr>
        <w:t>spending, </w:t>
      </w:r>
      <w:r>
        <w:rPr/>
        <w:t>or whether </w:t>
      </w:r>
      <w:r>
        <w:rPr>
          <w:spacing w:val="-3"/>
        </w:rPr>
        <w:t>this </w:t>
      </w:r>
      <w:r>
        <w:rPr/>
        <w:t>was the beginning of a </w:t>
      </w:r>
      <w:r>
        <w:rPr>
          <w:spacing w:val="3"/>
        </w:rPr>
        <w:t>wider </w:t>
      </w:r>
      <w:r>
        <w:rPr/>
        <w:t>slowdown in private sector </w:t>
      </w:r>
      <w:r>
        <w:rPr>
          <w:spacing w:val="-3"/>
        </w:rPr>
        <w:t>spending. </w:t>
      </w:r>
      <w:r>
        <w:rPr/>
        <w:t>So there was not enough evidence to decide between the competing hypotheses discussed at the previous meeting, nor </w:t>
      </w:r>
      <w:r>
        <w:rPr>
          <w:spacing w:val="-5"/>
        </w:rPr>
        <w:t>to </w:t>
      </w:r>
      <w:r>
        <w:rPr/>
        <w:t>move away from the central projection </w:t>
      </w:r>
      <w:r>
        <w:rPr>
          <w:spacing w:val="-5"/>
        </w:rPr>
        <w:t>made </w:t>
      </w:r>
      <w:r>
        <w:rPr/>
        <w:t>at the time of the </w:t>
      </w:r>
      <w:r>
        <w:rPr>
          <w:i/>
        </w:rPr>
        <w:t>Inflation Report</w:t>
      </w:r>
      <w:r>
        <w:rPr/>
        <w:t>.</w:t>
      </w:r>
    </w:p>
    <w:p>
      <w:pPr>
        <w:pStyle w:val="BodyText"/>
        <w:rPr>
          <w:sz w:val="35"/>
        </w:rPr>
      </w:pPr>
    </w:p>
    <w:p>
      <w:pPr>
        <w:pStyle w:val="ListParagraph"/>
        <w:numPr>
          <w:ilvl w:val="0"/>
          <w:numId w:val="1"/>
        </w:numPr>
        <w:tabs>
          <w:tab w:pos="671" w:val="left" w:leader="none"/>
          <w:tab w:pos="672" w:val="left" w:leader="none"/>
        </w:tabs>
        <w:spacing w:line="360" w:lineRule="auto" w:before="1" w:after="0"/>
        <w:ind w:left="108" w:right="109" w:firstLine="0"/>
        <w:jc w:val="left"/>
        <w:rPr>
          <w:sz w:val="24"/>
        </w:rPr>
      </w:pPr>
      <w:r>
        <w:rPr>
          <w:spacing w:val="-4"/>
          <w:sz w:val="24"/>
        </w:rPr>
        <w:t>There </w:t>
      </w:r>
      <w:r>
        <w:rPr>
          <w:sz w:val="24"/>
        </w:rPr>
        <w:t>had been a fall in market interest rate expectations over the past </w:t>
      </w:r>
      <w:r>
        <w:rPr>
          <w:spacing w:val="-3"/>
          <w:sz w:val="24"/>
        </w:rPr>
        <w:t>month.  </w:t>
      </w:r>
      <w:r>
        <w:rPr>
          <w:sz w:val="24"/>
        </w:rPr>
        <w:t>That amounted to a loosening of monetary conditions </w:t>
      </w:r>
      <w:r>
        <w:rPr>
          <w:spacing w:val="-3"/>
          <w:sz w:val="24"/>
        </w:rPr>
        <w:t>and </w:t>
      </w:r>
      <w:r>
        <w:rPr>
          <w:sz w:val="24"/>
        </w:rPr>
        <w:t>would consequently tend to support activity. But there was </w:t>
      </w:r>
      <w:r>
        <w:rPr>
          <w:spacing w:val="-4"/>
          <w:sz w:val="24"/>
        </w:rPr>
        <w:t>time</w:t>
      </w:r>
      <w:r>
        <w:rPr>
          <w:spacing w:val="-2"/>
          <w:sz w:val="24"/>
        </w:rPr>
        <w:t> </w:t>
      </w:r>
      <w:r>
        <w:rPr>
          <w:spacing w:val="-3"/>
          <w:sz w:val="24"/>
        </w:rPr>
        <w:t>to</w:t>
      </w:r>
      <w:r>
        <w:rPr>
          <w:spacing w:val="-1"/>
          <w:sz w:val="24"/>
        </w:rPr>
        <w:t> </w:t>
      </w:r>
      <w:r>
        <w:rPr>
          <w:spacing w:val="-3"/>
          <w:sz w:val="24"/>
        </w:rPr>
        <w:t>ga</w:t>
      </w:r>
      <w:r>
        <w:rPr>
          <w:spacing w:val="-42"/>
          <w:sz w:val="24"/>
        </w:rPr>
        <w:t> </w:t>
      </w:r>
      <w:r>
        <w:rPr>
          <w:sz w:val="24"/>
        </w:rPr>
        <w:t>ther</w:t>
      </w:r>
      <w:r>
        <w:rPr>
          <w:spacing w:val="-4"/>
          <w:sz w:val="24"/>
        </w:rPr>
        <w:t> </w:t>
      </w:r>
      <w:r>
        <w:rPr>
          <w:sz w:val="24"/>
        </w:rPr>
        <w:t>further</w:t>
      </w:r>
      <w:r>
        <w:rPr>
          <w:spacing w:val="-4"/>
          <w:sz w:val="24"/>
        </w:rPr>
        <w:t> </w:t>
      </w:r>
      <w:r>
        <w:rPr>
          <w:sz w:val="24"/>
        </w:rPr>
        <w:t>evidence</w:t>
      </w:r>
      <w:r>
        <w:rPr>
          <w:spacing w:val="-4"/>
          <w:sz w:val="24"/>
        </w:rPr>
        <w:t> </w:t>
      </w:r>
      <w:r>
        <w:rPr>
          <w:sz w:val="24"/>
        </w:rPr>
        <w:t>on</w:t>
      </w:r>
      <w:r>
        <w:rPr>
          <w:spacing w:val="19"/>
          <w:sz w:val="24"/>
        </w:rPr>
        <w:t> </w:t>
      </w:r>
      <w:r>
        <w:rPr>
          <w:sz w:val="24"/>
        </w:rPr>
        <w:t>the</w:t>
      </w:r>
      <w:r>
        <w:rPr>
          <w:spacing w:val="-5"/>
          <w:sz w:val="24"/>
        </w:rPr>
        <w:t> </w:t>
      </w:r>
      <w:r>
        <w:rPr>
          <w:sz w:val="24"/>
        </w:rPr>
        <w:t>depth</w:t>
      </w:r>
      <w:r>
        <w:rPr>
          <w:spacing w:val="-5"/>
          <w:sz w:val="24"/>
        </w:rPr>
        <w:t> </w:t>
      </w:r>
      <w:r>
        <w:rPr>
          <w:sz w:val="24"/>
        </w:rPr>
        <w:t>and</w:t>
      </w:r>
      <w:r>
        <w:rPr>
          <w:spacing w:val="-5"/>
          <w:sz w:val="24"/>
        </w:rPr>
        <w:t> </w:t>
      </w:r>
      <w:r>
        <w:rPr>
          <w:sz w:val="24"/>
        </w:rPr>
        <w:t>extent</w:t>
      </w:r>
      <w:r>
        <w:rPr>
          <w:spacing w:val="-5"/>
          <w:sz w:val="24"/>
        </w:rPr>
        <w:t> </w:t>
      </w:r>
      <w:r>
        <w:rPr>
          <w:sz w:val="24"/>
        </w:rPr>
        <w:t>of</w:t>
      </w:r>
      <w:r>
        <w:rPr>
          <w:spacing w:val="6"/>
          <w:sz w:val="24"/>
        </w:rPr>
        <w:t> </w:t>
      </w:r>
      <w:r>
        <w:rPr>
          <w:sz w:val="24"/>
        </w:rPr>
        <w:t>the</w:t>
      </w:r>
      <w:r>
        <w:rPr>
          <w:spacing w:val="-4"/>
          <w:sz w:val="24"/>
        </w:rPr>
        <w:t> </w:t>
      </w:r>
      <w:r>
        <w:rPr>
          <w:sz w:val="24"/>
        </w:rPr>
        <w:t>slowdown</w:t>
      </w:r>
      <w:r>
        <w:rPr>
          <w:spacing w:val="-2"/>
          <w:sz w:val="24"/>
        </w:rPr>
        <w:t> </w:t>
      </w:r>
      <w:r>
        <w:rPr>
          <w:sz w:val="24"/>
        </w:rPr>
        <w:t>in</w:t>
      </w:r>
      <w:r>
        <w:rPr>
          <w:spacing w:val="-2"/>
          <w:sz w:val="24"/>
        </w:rPr>
        <w:t> </w:t>
      </w:r>
      <w:r>
        <w:rPr>
          <w:sz w:val="24"/>
        </w:rPr>
        <w:t>consumption</w:t>
      </w:r>
      <w:r>
        <w:rPr>
          <w:spacing w:val="-14"/>
          <w:sz w:val="24"/>
        </w:rPr>
        <w:t> </w:t>
      </w:r>
      <w:r>
        <w:rPr>
          <w:sz w:val="24"/>
        </w:rPr>
        <w:t>to</w:t>
      </w:r>
      <w:r>
        <w:rPr>
          <w:spacing w:val="-3"/>
          <w:sz w:val="24"/>
        </w:rPr>
        <w:t> </w:t>
      </w:r>
      <w:r>
        <w:rPr>
          <w:sz w:val="24"/>
        </w:rPr>
        <w:t>see</w:t>
      </w:r>
      <w:r>
        <w:rPr>
          <w:spacing w:val="-4"/>
          <w:sz w:val="24"/>
        </w:rPr>
        <w:t> </w:t>
      </w:r>
      <w:r>
        <w:rPr>
          <w:sz w:val="24"/>
        </w:rPr>
        <w:t>if</w:t>
      </w:r>
      <w:r>
        <w:rPr>
          <w:spacing w:val="9"/>
          <w:sz w:val="24"/>
        </w:rPr>
        <w:t> </w:t>
      </w:r>
      <w:r>
        <w:rPr>
          <w:spacing w:val="3"/>
          <w:sz w:val="24"/>
        </w:rPr>
        <w:t>lower </w:t>
      </w:r>
      <w:r>
        <w:rPr>
          <w:sz w:val="24"/>
        </w:rPr>
        <w:t>interest rates were warranted. A reduction in interest rates at this juncture would be a significant surprise, and would run the risk of the inference being drawn </w:t>
      </w:r>
      <w:r>
        <w:rPr>
          <w:spacing w:val="-3"/>
          <w:sz w:val="24"/>
        </w:rPr>
        <w:t>that </w:t>
      </w:r>
      <w:r>
        <w:rPr>
          <w:sz w:val="24"/>
        </w:rPr>
        <w:t>the Committee believed that the situation had deteriorated more than </w:t>
      </w:r>
      <w:r>
        <w:rPr>
          <w:spacing w:val="-5"/>
          <w:sz w:val="24"/>
        </w:rPr>
        <w:t>it, </w:t>
      </w:r>
      <w:r>
        <w:rPr>
          <w:sz w:val="24"/>
        </w:rPr>
        <w:t>in </w:t>
      </w:r>
      <w:r>
        <w:rPr>
          <w:spacing w:val="-4"/>
          <w:sz w:val="24"/>
        </w:rPr>
        <w:t>fact, </w:t>
      </w:r>
      <w:r>
        <w:rPr>
          <w:sz w:val="24"/>
        </w:rPr>
        <w:t>thought. And if the latest consumption indicators, in </w:t>
      </w:r>
      <w:r>
        <w:rPr>
          <w:spacing w:val="-4"/>
          <w:sz w:val="24"/>
        </w:rPr>
        <w:t>fact, </w:t>
      </w:r>
      <w:r>
        <w:rPr>
          <w:sz w:val="24"/>
        </w:rPr>
        <w:t>presaged a return to stronger domestic demand growth, a reduction in rates now might accelerate the recovery in consumption growth and lead to inflationary</w:t>
      </w:r>
      <w:r>
        <w:rPr>
          <w:spacing w:val="-18"/>
          <w:sz w:val="24"/>
        </w:rPr>
        <w:t> </w:t>
      </w:r>
      <w:r>
        <w:rPr>
          <w:sz w:val="24"/>
        </w:rPr>
        <w:t>pressures.</w:t>
      </w:r>
    </w:p>
    <w:p>
      <w:pPr>
        <w:pStyle w:val="BodyText"/>
        <w:spacing w:before="6"/>
        <w:rPr>
          <w:sz w:val="36"/>
        </w:rPr>
      </w:pPr>
    </w:p>
    <w:p>
      <w:pPr>
        <w:pStyle w:val="ListParagraph"/>
        <w:numPr>
          <w:ilvl w:val="0"/>
          <w:numId w:val="1"/>
        </w:numPr>
        <w:tabs>
          <w:tab w:pos="671" w:val="left" w:leader="none"/>
          <w:tab w:pos="672" w:val="left" w:leader="none"/>
        </w:tabs>
        <w:spacing w:line="360" w:lineRule="auto" w:before="0" w:after="0"/>
        <w:ind w:left="108" w:right="179" w:firstLine="0"/>
        <w:jc w:val="left"/>
        <w:rPr>
          <w:sz w:val="24"/>
        </w:rPr>
      </w:pPr>
      <w:r>
        <w:rPr>
          <w:sz w:val="24"/>
        </w:rPr>
        <w:t>For</w:t>
      </w:r>
      <w:r>
        <w:rPr>
          <w:spacing w:val="-1"/>
          <w:sz w:val="24"/>
        </w:rPr>
        <w:t> </w:t>
      </w:r>
      <w:r>
        <w:rPr>
          <w:sz w:val="24"/>
        </w:rPr>
        <w:t>some</w:t>
      </w:r>
      <w:r>
        <w:rPr>
          <w:spacing w:val="-1"/>
          <w:sz w:val="24"/>
        </w:rPr>
        <w:t> </w:t>
      </w:r>
      <w:r>
        <w:rPr>
          <w:sz w:val="24"/>
        </w:rPr>
        <w:t>other</w:t>
      </w:r>
      <w:r>
        <w:rPr>
          <w:spacing w:val="-1"/>
          <w:sz w:val="24"/>
        </w:rPr>
        <w:t> </w:t>
      </w:r>
      <w:r>
        <w:rPr>
          <w:sz w:val="24"/>
        </w:rPr>
        <w:t>members,</w:t>
      </w:r>
      <w:r>
        <w:rPr>
          <w:spacing w:val="-5"/>
          <w:sz w:val="24"/>
        </w:rPr>
        <w:t> </w:t>
      </w:r>
      <w:r>
        <w:rPr>
          <w:sz w:val="24"/>
        </w:rPr>
        <w:t>the</w:t>
      </w:r>
      <w:r>
        <w:rPr>
          <w:spacing w:val="-4"/>
          <w:sz w:val="24"/>
        </w:rPr>
        <w:t> </w:t>
      </w:r>
      <w:r>
        <w:rPr>
          <w:sz w:val="24"/>
        </w:rPr>
        <w:t>evidence</w:t>
      </w:r>
      <w:r>
        <w:rPr>
          <w:spacing w:val="-5"/>
          <w:sz w:val="24"/>
        </w:rPr>
        <w:t> </w:t>
      </w:r>
      <w:r>
        <w:rPr>
          <w:sz w:val="24"/>
        </w:rPr>
        <w:t>over</w:t>
      </w:r>
      <w:r>
        <w:rPr>
          <w:spacing w:val="-5"/>
          <w:sz w:val="24"/>
        </w:rPr>
        <w:t> </w:t>
      </w:r>
      <w:r>
        <w:rPr>
          <w:sz w:val="24"/>
        </w:rPr>
        <w:t>the</w:t>
      </w:r>
      <w:r>
        <w:rPr>
          <w:spacing w:val="-4"/>
          <w:sz w:val="24"/>
        </w:rPr>
        <w:t> </w:t>
      </w:r>
      <w:r>
        <w:rPr>
          <w:sz w:val="24"/>
        </w:rPr>
        <w:t>past</w:t>
      </w:r>
      <w:r>
        <w:rPr>
          <w:spacing w:val="-5"/>
          <w:sz w:val="24"/>
        </w:rPr>
        <w:t> </w:t>
      </w:r>
      <w:r>
        <w:rPr>
          <w:sz w:val="24"/>
        </w:rPr>
        <w:t>month</w:t>
      </w:r>
      <w:r>
        <w:rPr>
          <w:spacing w:val="7"/>
          <w:sz w:val="24"/>
        </w:rPr>
        <w:t> </w:t>
      </w:r>
      <w:r>
        <w:rPr>
          <w:sz w:val="24"/>
        </w:rPr>
        <w:t>was</w:t>
      </w:r>
      <w:r>
        <w:rPr>
          <w:spacing w:val="-1"/>
          <w:sz w:val="24"/>
        </w:rPr>
        <w:t> </w:t>
      </w:r>
      <w:r>
        <w:rPr>
          <w:sz w:val="24"/>
        </w:rPr>
        <w:t>enough</w:t>
      </w:r>
      <w:r>
        <w:rPr>
          <w:spacing w:val="-1"/>
          <w:sz w:val="24"/>
        </w:rPr>
        <w:t> </w:t>
      </w:r>
      <w:r>
        <w:rPr>
          <w:sz w:val="24"/>
        </w:rPr>
        <w:t>to</w:t>
      </w:r>
      <w:r>
        <w:rPr>
          <w:spacing w:val="-1"/>
          <w:sz w:val="24"/>
        </w:rPr>
        <w:t> </w:t>
      </w:r>
      <w:r>
        <w:rPr>
          <w:sz w:val="24"/>
        </w:rPr>
        <w:t>warrant</w:t>
      </w:r>
      <w:r>
        <w:rPr>
          <w:spacing w:val="-7"/>
          <w:sz w:val="24"/>
        </w:rPr>
        <w:t> </w:t>
      </w:r>
      <w:r>
        <w:rPr>
          <w:sz w:val="24"/>
        </w:rPr>
        <w:t>a</w:t>
      </w:r>
      <w:r>
        <w:rPr>
          <w:spacing w:val="-8"/>
          <w:sz w:val="24"/>
        </w:rPr>
        <w:t> </w:t>
      </w:r>
      <w:r>
        <w:rPr>
          <w:sz w:val="24"/>
        </w:rPr>
        <w:t>reduction</w:t>
      </w:r>
      <w:r>
        <w:rPr>
          <w:spacing w:val="-7"/>
          <w:sz w:val="24"/>
        </w:rPr>
        <w:t> </w:t>
      </w:r>
      <w:r>
        <w:rPr>
          <w:sz w:val="24"/>
        </w:rPr>
        <w:t>in interest rates of 25 basis points this </w:t>
      </w:r>
      <w:r>
        <w:rPr>
          <w:spacing w:val="-3"/>
          <w:sz w:val="24"/>
        </w:rPr>
        <w:t>month. </w:t>
      </w:r>
      <w:r>
        <w:rPr>
          <w:sz w:val="24"/>
        </w:rPr>
        <w:t>The further weakness in the euro area pointed to weaker UK-weighted world demand. Domestically, the composition of GDP growth in Q1, together with </w:t>
      </w:r>
      <w:r>
        <w:rPr>
          <w:spacing w:val="-2"/>
          <w:sz w:val="24"/>
        </w:rPr>
        <w:t>the </w:t>
      </w:r>
      <w:r>
        <w:rPr>
          <w:sz w:val="24"/>
        </w:rPr>
        <w:t>latest monthly indicators, a slowdown in unsecured lending and tighter credit conditions, amounted to some downside news to the outlook for activity. Nominal GDP growth had been </w:t>
      </w:r>
      <w:r>
        <w:rPr>
          <w:spacing w:val="-3"/>
          <w:sz w:val="24"/>
        </w:rPr>
        <w:t>slowing, </w:t>
      </w:r>
      <w:r>
        <w:rPr>
          <w:sz w:val="24"/>
        </w:rPr>
        <w:t>while </w:t>
      </w:r>
      <w:r>
        <w:rPr>
          <w:spacing w:val="-2"/>
          <w:sz w:val="24"/>
        </w:rPr>
        <w:t>the </w:t>
      </w:r>
      <w:r>
        <w:rPr>
          <w:sz w:val="24"/>
        </w:rPr>
        <w:t>labour market had shown signs of easing. This, and the recent slowing of producer price inflation, suggested that demand pressures were less than previously thought. As a </w:t>
      </w:r>
      <w:r>
        <w:rPr>
          <w:spacing w:val="-3"/>
          <w:sz w:val="24"/>
        </w:rPr>
        <w:t>result, </w:t>
      </w:r>
      <w:r>
        <w:rPr>
          <w:sz w:val="24"/>
        </w:rPr>
        <w:t>it now seemed more likely that much of the recent increase in inflation had reflected higher oil and other commodity prices passing through the supply </w:t>
      </w:r>
      <w:r>
        <w:rPr>
          <w:spacing w:val="-3"/>
          <w:sz w:val="24"/>
        </w:rPr>
        <w:t>chain, </w:t>
      </w:r>
      <w:r>
        <w:rPr>
          <w:sz w:val="24"/>
        </w:rPr>
        <w:t>rather than the pressure of excess demand on supply capacity. </w:t>
      </w:r>
      <w:r>
        <w:rPr>
          <w:spacing w:val="-3"/>
          <w:sz w:val="24"/>
        </w:rPr>
        <w:t>Although </w:t>
      </w:r>
      <w:r>
        <w:rPr>
          <w:sz w:val="24"/>
        </w:rPr>
        <w:t>output growth had so far been fairly resilient in the face of weaker consumption, </w:t>
      </w:r>
      <w:r>
        <w:rPr>
          <w:spacing w:val="-4"/>
          <w:sz w:val="24"/>
        </w:rPr>
        <w:t>GDP </w:t>
      </w:r>
      <w:r>
        <w:rPr>
          <w:sz w:val="24"/>
        </w:rPr>
        <w:t>growth was likely to be weaker than in the </w:t>
      </w:r>
      <w:r>
        <w:rPr>
          <w:spacing w:val="-5"/>
          <w:sz w:val="24"/>
        </w:rPr>
        <w:t>May </w:t>
      </w:r>
      <w:r>
        <w:rPr>
          <w:i/>
          <w:sz w:val="24"/>
        </w:rPr>
        <w:t>Inflation Report </w:t>
      </w:r>
      <w:r>
        <w:rPr>
          <w:sz w:val="24"/>
        </w:rPr>
        <w:t>central projection, notwithstanding the shift in market interest rates. Inflation might therefore be below target in the medium </w:t>
      </w:r>
      <w:r>
        <w:rPr>
          <w:spacing w:val="-6"/>
          <w:sz w:val="24"/>
        </w:rPr>
        <w:t>term.</w:t>
      </w:r>
      <w:r>
        <w:rPr>
          <w:spacing w:val="39"/>
          <w:sz w:val="24"/>
        </w:rPr>
        <w:t> </w:t>
      </w:r>
      <w:r>
        <w:rPr>
          <w:sz w:val="24"/>
        </w:rPr>
        <w:t>While</w:t>
      </w:r>
    </w:p>
    <w:p>
      <w:pPr>
        <w:spacing w:after="0" w:line="360" w:lineRule="auto"/>
        <w:jc w:val="left"/>
        <w:rPr>
          <w:sz w:val="24"/>
        </w:rPr>
        <w:sectPr>
          <w:pgSz w:w="11900" w:h="16840"/>
          <w:pgMar w:header="1134" w:footer="0" w:top="1600" w:bottom="280" w:left="1020" w:right="760"/>
        </w:sectPr>
      </w:pPr>
    </w:p>
    <w:p>
      <w:pPr>
        <w:pStyle w:val="BodyText"/>
        <w:rPr>
          <w:sz w:val="20"/>
        </w:rPr>
      </w:pPr>
    </w:p>
    <w:p>
      <w:pPr>
        <w:pStyle w:val="BodyText"/>
        <w:spacing w:before="9"/>
        <w:rPr>
          <w:sz w:val="26"/>
        </w:rPr>
      </w:pPr>
    </w:p>
    <w:p>
      <w:pPr>
        <w:pStyle w:val="BodyText"/>
        <w:spacing w:line="360" w:lineRule="auto" w:before="90"/>
        <w:ind w:left="107" w:right="175"/>
      </w:pPr>
      <w:r>
        <w:rPr/>
        <w:t>there were arguments in favour of waiting for more information before taking action, that risked the slowdown in consumption becoming more entrenched. A small reduction in rates now might obviate the need for a larger reduction in interest rates at a later date.</w:t>
      </w:r>
    </w:p>
    <w:p>
      <w:pPr>
        <w:pStyle w:val="BodyText"/>
        <w:rPr>
          <w:sz w:val="36"/>
        </w:rPr>
      </w:pPr>
    </w:p>
    <w:p>
      <w:pPr>
        <w:pStyle w:val="ListParagraph"/>
        <w:numPr>
          <w:ilvl w:val="0"/>
          <w:numId w:val="1"/>
        </w:numPr>
        <w:tabs>
          <w:tab w:pos="671" w:val="left" w:leader="none"/>
          <w:tab w:pos="672" w:val="left" w:leader="none"/>
        </w:tabs>
        <w:spacing w:line="360" w:lineRule="auto" w:before="0" w:after="0"/>
        <w:ind w:left="107" w:right="125" w:firstLine="0"/>
        <w:jc w:val="left"/>
        <w:rPr>
          <w:sz w:val="24"/>
        </w:rPr>
      </w:pPr>
      <w:r>
        <w:rPr>
          <w:sz w:val="24"/>
        </w:rPr>
        <w:t>The Governor invited members to vote on the proposition that the repo rate should be</w:t>
      </w:r>
      <w:r>
        <w:rPr>
          <w:spacing w:val="-39"/>
          <w:sz w:val="24"/>
        </w:rPr>
        <w:t> </w:t>
      </w:r>
      <w:r>
        <w:rPr>
          <w:sz w:val="24"/>
        </w:rPr>
        <w:t>maintained at 4.75%. Seven members of the Committee (the Governor, Rachel Lomax, Sir Andrew Large, Kate Barker, Richard Lambert, Stephen Nickell, and Paul Tucker) voted in favour. Two </w:t>
      </w:r>
      <w:r>
        <w:rPr>
          <w:spacing w:val="-3"/>
          <w:sz w:val="24"/>
        </w:rPr>
        <w:t>members </w:t>
      </w:r>
      <w:r>
        <w:rPr>
          <w:sz w:val="24"/>
        </w:rPr>
        <w:t>of </w:t>
      </w:r>
      <w:r>
        <w:rPr>
          <w:spacing w:val="-3"/>
          <w:sz w:val="24"/>
        </w:rPr>
        <w:t>the </w:t>
      </w:r>
      <w:r>
        <w:rPr>
          <w:sz w:val="24"/>
        </w:rPr>
        <w:t>Committee (Charles Bean and Marian Bell) voted against, preferring a reduction in the repo rate of 25 basis points.</w:t>
      </w:r>
    </w:p>
    <w:p>
      <w:pPr>
        <w:pStyle w:val="BodyText"/>
        <w:rPr>
          <w:sz w:val="36"/>
        </w:rPr>
      </w:pPr>
    </w:p>
    <w:p>
      <w:pPr>
        <w:pStyle w:val="ListParagraph"/>
        <w:numPr>
          <w:ilvl w:val="0"/>
          <w:numId w:val="1"/>
        </w:numPr>
        <w:tabs>
          <w:tab w:pos="671" w:val="left" w:leader="none"/>
          <w:tab w:pos="672" w:val="left" w:leader="none"/>
        </w:tabs>
        <w:spacing w:line="364" w:lineRule="auto" w:before="0" w:after="0"/>
        <w:ind w:left="107" w:right="124" w:firstLine="0"/>
        <w:jc w:val="left"/>
        <w:rPr>
          <w:sz w:val="24"/>
        </w:rPr>
      </w:pPr>
      <w:r>
        <w:rPr>
          <w:sz w:val="24"/>
        </w:rPr>
        <w:t>Finally,</w:t>
      </w:r>
      <w:r>
        <w:rPr>
          <w:spacing w:val="-4"/>
          <w:sz w:val="24"/>
        </w:rPr>
        <w:t> </w:t>
      </w:r>
      <w:r>
        <w:rPr>
          <w:sz w:val="24"/>
        </w:rPr>
        <w:t>the</w:t>
      </w:r>
      <w:r>
        <w:rPr>
          <w:spacing w:val="-4"/>
          <w:sz w:val="24"/>
        </w:rPr>
        <w:t> </w:t>
      </w:r>
      <w:r>
        <w:rPr>
          <w:sz w:val="24"/>
        </w:rPr>
        <w:t>Governor</w:t>
      </w:r>
      <w:r>
        <w:rPr>
          <w:spacing w:val="-3"/>
          <w:sz w:val="24"/>
        </w:rPr>
        <w:t> </w:t>
      </w:r>
      <w:r>
        <w:rPr>
          <w:sz w:val="24"/>
        </w:rPr>
        <w:t>expressed</w:t>
      </w:r>
      <w:r>
        <w:rPr>
          <w:spacing w:val="-6"/>
          <w:sz w:val="24"/>
        </w:rPr>
        <w:t> </w:t>
      </w:r>
      <w:r>
        <w:rPr>
          <w:sz w:val="24"/>
        </w:rPr>
        <w:t>his</w:t>
      </w:r>
      <w:r>
        <w:rPr>
          <w:spacing w:val="-7"/>
          <w:sz w:val="24"/>
        </w:rPr>
        <w:t> </w:t>
      </w:r>
      <w:r>
        <w:rPr>
          <w:sz w:val="24"/>
        </w:rPr>
        <w:t>appreciation</w:t>
      </w:r>
      <w:r>
        <w:rPr>
          <w:spacing w:val="-6"/>
          <w:sz w:val="24"/>
        </w:rPr>
        <w:t> </w:t>
      </w:r>
      <w:r>
        <w:rPr>
          <w:sz w:val="24"/>
        </w:rPr>
        <w:t>to</w:t>
      </w:r>
      <w:r>
        <w:rPr>
          <w:spacing w:val="7"/>
          <w:sz w:val="24"/>
        </w:rPr>
        <w:t> </w:t>
      </w:r>
      <w:r>
        <w:rPr>
          <w:sz w:val="24"/>
        </w:rPr>
        <w:t>Marian</w:t>
      </w:r>
      <w:r>
        <w:rPr>
          <w:spacing w:val="-5"/>
          <w:sz w:val="24"/>
        </w:rPr>
        <w:t> </w:t>
      </w:r>
      <w:r>
        <w:rPr>
          <w:sz w:val="24"/>
        </w:rPr>
        <w:t>Bell</w:t>
      </w:r>
      <w:r>
        <w:rPr>
          <w:spacing w:val="-4"/>
          <w:sz w:val="24"/>
        </w:rPr>
        <w:t> </w:t>
      </w:r>
      <w:r>
        <w:rPr>
          <w:sz w:val="24"/>
        </w:rPr>
        <w:t>for</w:t>
      </w:r>
      <w:r>
        <w:rPr>
          <w:spacing w:val="-5"/>
          <w:sz w:val="24"/>
        </w:rPr>
        <w:t> </w:t>
      </w:r>
      <w:r>
        <w:rPr>
          <w:sz w:val="24"/>
        </w:rPr>
        <w:t>her</w:t>
      </w:r>
      <w:r>
        <w:rPr>
          <w:spacing w:val="-4"/>
          <w:sz w:val="24"/>
        </w:rPr>
        <w:t> </w:t>
      </w:r>
      <w:r>
        <w:rPr>
          <w:sz w:val="24"/>
        </w:rPr>
        <w:t>contribution</w:t>
      </w:r>
      <w:r>
        <w:rPr>
          <w:spacing w:val="-5"/>
          <w:sz w:val="24"/>
        </w:rPr>
        <w:t> </w:t>
      </w:r>
      <w:r>
        <w:rPr>
          <w:sz w:val="24"/>
        </w:rPr>
        <w:t>as</w:t>
      </w:r>
      <w:r>
        <w:rPr>
          <w:spacing w:val="-5"/>
          <w:sz w:val="24"/>
        </w:rPr>
        <w:t> </w:t>
      </w:r>
      <w:r>
        <w:rPr>
          <w:sz w:val="24"/>
        </w:rPr>
        <w:t>a</w:t>
      </w:r>
      <w:r>
        <w:rPr>
          <w:spacing w:val="-4"/>
          <w:sz w:val="24"/>
        </w:rPr>
        <w:t> </w:t>
      </w:r>
      <w:r>
        <w:rPr>
          <w:sz w:val="24"/>
        </w:rPr>
        <w:t>member of the</w:t>
      </w:r>
      <w:r>
        <w:rPr>
          <w:spacing w:val="-3"/>
          <w:sz w:val="24"/>
        </w:rPr>
        <w:t> </w:t>
      </w:r>
      <w:r>
        <w:rPr>
          <w:sz w:val="24"/>
        </w:rPr>
        <w:t>Committee.</w:t>
      </w:r>
    </w:p>
    <w:p>
      <w:pPr>
        <w:pStyle w:val="ListParagraph"/>
        <w:numPr>
          <w:ilvl w:val="0"/>
          <w:numId w:val="1"/>
        </w:numPr>
        <w:tabs>
          <w:tab w:pos="671" w:val="left" w:leader="none"/>
          <w:tab w:pos="672" w:val="left" w:leader="none"/>
        </w:tabs>
        <w:spacing w:line="552" w:lineRule="exact" w:before="36" w:after="0"/>
        <w:ind w:left="107" w:right="4070" w:firstLine="0"/>
        <w:jc w:val="left"/>
        <w:rPr>
          <w:sz w:val="24"/>
        </w:rPr>
      </w:pPr>
      <w:r>
        <w:rPr>
          <w:spacing w:val="-4"/>
          <w:sz w:val="24"/>
        </w:rPr>
        <w:t>The </w:t>
      </w:r>
      <w:r>
        <w:rPr>
          <w:sz w:val="24"/>
        </w:rPr>
        <w:t>following members of the Committee were </w:t>
      </w:r>
      <w:r>
        <w:rPr>
          <w:spacing w:val="-3"/>
          <w:sz w:val="24"/>
        </w:rPr>
        <w:t>present: </w:t>
      </w:r>
      <w:r>
        <w:rPr>
          <w:sz w:val="24"/>
        </w:rPr>
        <w:t>Mervyn King,</w:t>
      </w:r>
      <w:r>
        <w:rPr>
          <w:spacing w:val="18"/>
          <w:sz w:val="24"/>
        </w:rPr>
        <w:t> </w:t>
      </w:r>
      <w:r>
        <w:rPr>
          <w:sz w:val="24"/>
        </w:rPr>
        <w:t>Governor</w:t>
      </w:r>
    </w:p>
    <w:p>
      <w:pPr>
        <w:pStyle w:val="BodyText"/>
        <w:spacing w:line="218" w:lineRule="exact"/>
        <w:ind w:left="107"/>
      </w:pPr>
      <w:r>
        <w:rPr/>
        <w:t>Rachel Lomax, Deputy Governor responsible for monetary policy</w:t>
      </w:r>
    </w:p>
    <w:p>
      <w:pPr>
        <w:pStyle w:val="BodyText"/>
        <w:ind w:left="107" w:right="3195"/>
      </w:pPr>
      <w:r>
        <w:rPr/>
        <w:t>Andrew Large, Deputy Governor responsible for financial</w:t>
      </w:r>
      <w:r>
        <w:rPr>
          <w:spacing w:val="-40"/>
        </w:rPr>
        <w:t> </w:t>
      </w:r>
      <w:r>
        <w:rPr/>
        <w:t>stability Kate</w:t>
      </w:r>
      <w:r>
        <w:rPr>
          <w:spacing w:val="-2"/>
        </w:rPr>
        <w:t> </w:t>
      </w:r>
      <w:r>
        <w:rPr/>
        <w:t>Barker</w:t>
      </w:r>
    </w:p>
    <w:p>
      <w:pPr>
        <w:pStyle w:val="BodyText"/>
        <w:ind w:left="107" w:right="8360"/>
      </w:pPr>
      <w:r>
        <w:rPr/>
        <w:t>Charles Bean Marian Bell Richard Lambert Stephen Nickell Paul</w:t>
      </w:r>
      <w:r>
        <w:rPr>
          <w:spacing w:val="-2"/>
        </w:rPr>
        <w:t> </w:t>
      </w:r>
      <w:r>
        <w:rPr/>
        <w:t>Tucker</w:t>
      </w:r>
    </w:p>
    <w:p>
      <w:pPr>
        <w:pStyle w:val="BodyText"/>
      </w:pPr>
    </w:p>
    <w:p>
      <w:pPr>
        <w:pStyle w:val="BodyText"/>
        <w:ind w:left="107"/>
      </w:pPr>
      <w:r>
        <w:rPr/>
        <w:t>Jon Cunliffe was present as the Treasury representative.</w:t>
      </w:r>
    </w:p>
    <w:sectPr>
      <w:pgSz w:w="11900" w:h="16840"/>
      <w:pgMar w:header="1134" w:footer="0" w:top="1600" w:bottom="280" w:left="10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ook Antiqua">
    <w:altName w:val="Book Antiqua"/>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599976pt;margin-top:55.706642pt;width:12pt;height:15.3pt;mso-position-horizontal-relative:page;mso-position-vertical-relative:page;z-index:-25185792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8" w:hanging="564"/>
        <w:jc w:val="left"/>
      </w:pPr>
      <w:rPr>
        <w:rFonts w:hint="default" w:ascii="Times New Roman" w:hAnsi="Times New Roman" w:eastAsia="Times New Roman" w:cs="Times New Roman"/>
        <w:spacing w:val="-8"/>
        <w:w w:val="99"/>
        <w:sz w:val="24"/>
        <w:szCs w:val="24"/>
      </w:rPr>
    </w:lvl>
    <w:lvl w:ilvl="1">
      <w:start w:val="0"/>
      <w:numFmt w:val="bullet"/>
      <w:lvlText w:val="•"/>
      <w:lvlJc w:val="left"/>
      <w:pPr>
        <w:ind w:left="1102" w:hanging="564"/>
      </w:pPr>
      <w:rPr>
        <w:rFonts w:hint="default"/>
      </w:rPr>
    </w:lvl>
    <w:lvl w:ilvl="2">
      <w:start w:val="0"/>
      <w:numFmt w:val="bullet"/>
      <w:lvlText w:val="•"/>
      <w:lvlJc w:val="left"/>
      <w:pPr>
        <w:ind w:left="2104" w:hanging="564"/>
      </w:pPr>
      <w:rPr>
        <w:rFonts w:hint="default"/>
      </w:rPr>
    </w:lvl>
    <w:lvl w:ilvl="3">
      <w:start w:val="0"/>
      <w:numFmt w:val="bullet"/>
      <w:lvlText w:val="•"/>
      <w:lvlJc w:val="left"/>
      <w:pPr>
        <w:ind w:left="3106" w:hanging="564"/>
      </w:pPr>
      <w:rPr>
        <w:rFonts w:hint="default"/>
      </w:rPr>
    </w:lvl>
    <w:lvl w:ilvl="4">
      <w:start w:val="0"/>
      <w:numFmt w:val="bullet"/>
      <w:lvlText w:val="•"/>
      <w:lvlJc w:val="left"/>
      <w:pPr>
        <w:ind w:left="4108" w:hanging="564"/>
      </w:pPr>
      <w:rPr>
        <w:rFonts w:hint="default"/>
      </w:rPr>
    </w:lvl>
    <w:lvl w:ilvl="5">
      <w:start w:val="0"/>
      <w:numFmt w:val="bullet"/>
      <w:lvlText w:val="•"/>
      <w:lvlJc w:val="left"/>
      <w:pPr>
        <w:ind w:left="5110" w:hanging="564"/>
      </w:pPr>
      <w:rPr>
        <w:rFonts w:hint="default"/>
      </w:rPr>
    </w:lvl>
    <w:lvl w:ilvl="6">
      <w:start w:val="0"/>
      <w:numFmt w:val="bullet"/>
      <w:lvlText w:val="•"/>
      <w:lvlJc w:val="left"/>
      <w:pPr>
        <w:ind w:left="6112" w:hanging="564"/>
      </w:pPr>
      <w:rPr>
        <w:rFonts w:hint="default"/>
      </w:rPr>
    </w:lvl>
    <w:lvl w:ilvl="7">
      <w:start w:val="0"/>
      <w:numFmt w:val="bullet"/>
      <w:lvlText w:val="•"/>
      <w:lvlJc w:val="left"/>
      <w:pPr>
        <w:ind w:left="7114" w:hanging="564"/>
      </w:pPr>
      <w:rPr>
        <w:rFonts w:hint="default"/>
      </w:rPr>
    </w:lvl>
    <w:lvl w:ilvl="8">
      <w:start w:val="0"/>
      <w:numFmt w:val="bullet"/>
      <w:lvlText w:val="•"/>
      <w:lvlJc w:val="left"/>
      <w:pPr>
        <w:ind w:left="8116" w:hanging="56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8"/>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7" w:right="14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5/mpc0506.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Monetary Policy Committee Meeting Minutes</dc:subject>
  <dc:title>Minutes of the Monetary Policy Committee Meeting, 8 and 9 June 2005</dc:title>
  <dcterms:created xsi:type="dcterms:W3CDTF">2020-06-01T02:16:13Z</dcterms:created>
  <dcterms:modified xsi:type="dcterms:W3CDTF">2020-06-01T02:16:13Z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2005-07-21T00:00:00Z</vt:filetime>
  </property>
  <property fmtid="{D5CDD505-2E9C-101B-9397-08002B2CF9AE}" pid="3" name="Creator">
    <vt:lpwstr>June Minutes -  FINAL VERSION Tuesday 21 June 2005 - Microsoft Word</vt:lpwstr>
  </property>
  <property fmtid="{D5CDD505-2E9C-101B-9397-08002B2CF9AE}" pid="4" name="LastSaved">
    <vt:filetime>2020-06-01T00:00:00Z</vt:filetime>
  </property>
</Properties>
</file>