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4" w:lineRule="exact" w:before="0"/>
        <w:ind w:left="300" w:right="0" w:firstLine="0"/>
        <w:jc w:val="left"/>
        <w:rPr>
          <w:b/>
          <w:sz w:val="24"/>
        </w:rPr>
      </w:pPr>
      <w:r>
        <w:rPr>
          <w:b/>
          <w:color w:val="752863"/>
          <w:sz w:val="24"/>
        </w:rPr>
        <w:t>RTGS Renewal Transition Working Group - Minutes</w:t>
      </w:r>
    </w:p>
    <w:p>
      <w:pPr>
        <w:pStyle w:val="Heading1"/>
        <w:spacing w:before="162"/>
      </w:pPr>
      <w:r>
        <w:rPr>
          <w:color w:val="777877"/>
        </w:rPr>
        <w:t>Monday 23 April 2018</w:t>
      </w:r>
    </w:p>
    <w:p>
      <w:pPr>
        <w:pStyle w:val="BodyText"/>
        <w:rPr>
          <w:b/>
        </w:rPr>
      </w:pPr>
    </w:p>
    <w:p>
      <w:pPr>
        <w:pStyle w:val="BodyText"/>
        <w:spacing w:before="5"/>
        <w:rPr>
          <w:b/>
          <w:sz w:val="2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8"/>
        <w:gridCol w:w="2413"/>
        <w:gridCol w:w="2460"/>
      </w:tblGrid>
      <w:tr>
        <w:trPr>
          <w:trHeight w:val="3064" w:hRule="atLeast"/>
        </w:trPr>
        <w:tc>
          <w:tcPr>
            <w:tcW w:w="1548" w:type="dxa"/>
          </w:tcPr>
          <w:p>
            <w:pPr>
              <w:pStyle w:val="TableParagraph"/>
              <w:spacing w:line="223" w:lineRule="exact"/>
              <w:ind w:left="200"/>
              <w:rPr>
                <w:b/>
                <w:sz w:val="20"/>
              </w:rPr>
            </w:pPr>
            <w:r>
              <w:rPr>
                <w:b/>
                <w:sz w:val="20"/>
              </w:rPr>
              <w:t>Attendees</w:t>
            </w:r>
          </w:p>
        </w:tc>
        <w:tc>
          <w:tcPr>
            <w:tcW w:w="2413" w:type="dxa"/>
          </w:tcPr>
          <w:p>
            <w:pPr>
              <w:pStyle w:val="TableParagraph"/>
              <w:spacing w:line="415" w:lineRule="auto"/>
              <w:ind w:left="382" w:right="690"/>
              <w:rPr>
                <w:sz w:val="18"/>
              </w:rPr>
            </w:pPr>
            <w:r>
              <w:rPr>
                <w:sz w:val="18"/>
              </w:rPr>
              <w:t>Bank of England BACS</w:t>
            </w:r>
          </w:p>
          <w:p>
            <w:pPr>
              <w:pStyle w:val="TableParagraph"/>
              <w:spacing w:line="417" w:lineRule="auto"/>
              <w:ind w:left="382" w:right="1320"/>
              <w:rPr>
                <w:sz w:val="18"/>
              </w:rPr>
            </w:pPr>
            <w:r>
              <w:rPr>
                <w:sz w:val="18"/>
              </w:rPr>
              <w:t>Barclays CLS</w:t>
            </w:r>
          </w:p>
          <w:p>
            <w:pPr>
              <w:pStyle w:val="TableParagraph"/>
              <w:spacing w:line="415" w:lineRule="auto"/>
              <w:ind w:left="382" w:right="660"/>
              <w:rPr>
                <w:sz w:val="18"/>
              </w:rPr>
            </w:pPr>
            <w:r>
              <w:rPr>
                <w:sz w:val="18"/>
              </w:rPr>
              <w:t>Clydesdale Bank Euroclear</w:t>
            </w:r>
          </w:p>
          <w:p>
            <w:pPr>
              <w:pStyle w:val="TableParagraph"/>
              <w:spacing w:line="415" w:lineRule="auto"/>
              <w:ind w:left="382" w:right="1510"/>
              <w:rPr>
                <w:sz w:val="18"/>
              </w:rPr>
            </w:pPr>
            <w:r>
              <w:rPr>
                <w:sz w:val="18"/>
              </w:rPr>
              <w:t>FPS HSBC</w:t>
            </w:r>
          </w:p>
          <w:p>
            <w:pPr>
              <w:pStyle w:val="TableParagraph"/>
              <w:spacing w:line="186" w:lineRule="exact"/>
              <w:ind w:left="382"/>
              <w:rPr>
                <w:sz w:val="18"/>
              </w:rPr>
            </w:pPr>
            <w:r>
              <w:rPr>
                <w:sz w:val="18"/>
              </w:rPr>
              <w:t>JP Morgan</w:t>
            </w:r>
          </w:p>
        </w:tc>
        <w:tc>
          <w:tcPr>
            <w:tcW w:w="2460" w:type="dxa"/>
          </w:tcPr>
          <w:p>
            <w:pPr>
              <w:pStyle w:val="TableParagraph"/>
              <w:spacing w:line="415" w:lineRule="auto"/>
              <w:ind w:left="677" w:right="602"/>
              <w:rPr>
                <w:sz w:val="18"/>
              </w:rPr>
            </w:pPr>
            <w:r>
              <w:rPr>
                <w:sz w:val="18"/>
              </w:rPr>
              <w:t>Lloyds Northern Trust NPSO</w:t>
            </w:r>
          </w:p>
          <w:p>
            <w:pPr>
              <w:pStyle w:val="TableParagraph"/>
              <w:spacing w:line="415" w:lineRule="auto"/>
              <w:ind w:left="677" w:right="678"/>
              <w:rPr>
                <w:sz w:val="18"/>
              </w:rPr>
            </w:pPr>
            <w:r>
              <w:rPr>
                <w:sz w:val="18"/>
              </w:rPr>
              <w:t>Payments </w:t>
            </w:r>
            <w:r>
              <w:rPr>
                <w:spacing w:val="-8"/>
                <w:sz w:val="18"/>
              </w:rPr>
              <w:t>UK </w:t>
            </w:r>
            <w:r>
              <w:rPr>
                <w:sz w:val="18"/>
              </w:rPr>
              <w:t>PSR</w:t>
            </w:r>
          </w:p>
          <w:p>
            <w:pPr>
              <w:pStyle w:val="TableParagraph"/>
              <w:spacing w:line="206" w:lineRule="exact"/>
              <w:ind w:left="677"/>
              <w:rPr>
                <w:sz w:val="18"/>
              </w:rPr>
            </w:pPr>
            <w:r>
              <w:rPr>
                <w:sz w:val="18"/>
              </w:rPr>
              <w:t>RBS</w:t>
            </w:r>
          </w:p>
          <w:p>
            <w:pPr>
              <w:pStyle w:val="TableParagraph"/>
              <w:spacing w:line="350" w:lineRule="atLeast" w:before="3"/>
              <w:ind w:left="677" w:right="201"/>
              <w:rPr>
                <w:sz w:val="18"/>
              </w:rPr>
            </w:pPr>
            <w:r>
              <w:rPr>
                <w:sz w:val="18"/>
              </w:rPr>
              <w:t>Santander Standard </w:t>
            </w:r>
            <w:r>
              <w:rPr>
                <w:spacing w:val="-3"/>
                <w:sz w:val="18"/>
              </w:rPr>
              <w:t>Chartered </w:t>
            </w:r>
            <w:r>
              <w:rPr>
                <w:sz w:val="18"/>
              </w:rPr>
              <w:t>SWIFT</w:t>
            </w:r>
          </w:p>
        </w:tc>
      </w:tr>
    </w:tbl>
    <w:p>
      <w:pPr>
        <w:pStyle w:val="BodyText"/>
        <w:rPr>
          <w:b/>
        </w:rPr>
      </w:pPr>
    </w:p>
    <w:p>
      <w:pPr>
        <w:pStyle w:val="BodyText"/>
        <w:spacing w:before="5"/>
        <w:rPr>
          <w:b/>
          <w:sz w:val="18"/>
        </w:rPr>
      </w:pPr>
    </w:p>
    <w:p>
      <w:pPr>
        <w:spacing w:before="93"/>
        <w:ind w:left="300" w:right="0" w:firstLine="0"/>
        <w:jc w:val="left"/>
        <w:rPr>
          <w:b/>
          <w:sz w:val="20"/>
        </w:rPr>
      </w:pPr>
      <w:r>
        <w:rPr>
          <w:b/>
          <w:sz w:val="20"/>
        </w:rPr>
        <w:t>Welcome</w:t>
      </w:r>
    </w:p>
    <w:p>
      <w:pPr>
        <w:pStyle w:val="BodyText"/>
        <w:spacing w:line="276" w:lineRule="auto" w:before="157"/>
        <w:ind w:left="300" w:right="294"/>
      </w:pPr>
      <w:r>
        <w:rPr/>
        <w:t>The Chair welcomed members to the Transition Working Group (TWG). Members were invited to raise questions throughout the session and to provide input on future engagement.</w:t>
      </w:r>
    </w:p>
    <w:p>
      <w:pPr>
        <w:pStyle w:val="BodyText"/>
        <w:rPr>
          <w:sz w:val="22"/>
        </w:rPr>
      </w:pPr>
    </w:p>
    <w:p>
      <w:pPr>
        <w:pStyle w:val="BodyText"/>
        <w:spacing w:before="8"/>
        <w:rPr>
          <w:sz w:val="21"/>
        </w:rPr>
      </w:pPr>
    </w:p>
    <w:p>
      <w:pPr>
        <w:pStyle w:val="Heading1"/>
      </w:pPr>
      <w:r>
        <w:rPr/>
        <w:t>Update on the programme</w:t>
      </w:r>
    </w:p>
    <w:p>
      <w:pPr>
        <w:pStyle w:val="ListParagraph"/>
        <w:numPr>
          <w:ilvl w:val="0"/>
          <w:numId w:val="1"/>
        </w:numPr>
        <w:tabs>
          <w:tab w:pos="660" w:val="left" w:leader="none"/>
        </w:tabs>
        <w:spacing w:line="276" w:lineRule="auto" w:before="155" w:after="0"/>
        <w:ind w:left="660" w:right="1142" w:hanging="360"/>
        <w:jc w:val="both"/>
        <w:rPr>
          <w:rFonts w:ascii="Symbol" w:hAnsi="Symbol"/>
          <w:sz w:val="20"/>
        </w:rPr>
      </w:pPr>
      <w:r>
        <w:rPr>
          <w:sz w:val="20"/>
        </w:rPr>
        <w:t>The Chair advised that Victoria Cleland, currently Chief Cashier, would assume the role of Executive Director, Banking, Payments and Financial Resilience from June 2018 and as such would become the RTGS Renewal Programme</w:t>
      </w:r>
      <w:r>
        <w:rPr>
          <w:spacing w:val="-2"/>
          <w:sz w:val="20"/>
        </w:rPr>
        <w:t> </w:t>
      </w:r>
      <w:r>
        <w:rPr>
          <w:sz w:val="20"/>
        </w:rPr>
        <w:t>sponsor.</w:t>
      </w:r>
    </w:p>
    <w:p>
      <w:pPr>
        <w:pStyle w:val="BodyText"/>
        <w:spacing w:before="7"/>
        <w:rPr>
          <w:sz w:val="22"/>
        </w:rPr>
      </w:pPr>
    </w:p>
    <w:p>
      <w:pPr>
        <w:pStyle w:val="ListParagraph"/>
        <w:numPr>
          <w:ilvl w:val="0"/>
          <w:numId w:val="1"/>
        </w:numPr>
        <w:tabs>
          <w:tab w:pos="659" w:val="left" w:leader="none"/>
          <w:tab w:pos="660" w:val="left" w:leader="none"/>
        </w:tabs>
        <w:spacing w:line="276" w:lineRule="auto" w:before="0" w:after="0"/>
        <w:ind w:left="660" w:right="739" w:hanging="360"/>
        <w:jc w:val="left"/>
        <w:rPr>
          <w:rFonts w:ascii="Symbol" w:hAnsi="Symbol"/>
          <w:sz w:val="20"/>
        </w:rPr>
      </w:pPr>
      <w:r>
        <w:rPr>
          <w:sz w:val="20"/>
        </w:rPr>
        <w:t>The Bank gave an update to members on the RTGS Renewal Programme. The Bank confirmed it had decided that the core settlement engine of the new RTGS system would be bespoke built rather than purchased ‘off the shelf’ – a significant number of choices remain on the selection of other architectural components and the role that 3</w:t>
      </w:r>
      <w:r>
        <w:rPr>
          <w:sz w:val="20"/>
          <w:vertAlign w:val="superscript"/>
        </w:rPr>
        <w:t>rd</w:t>
      </w:r>
      <w:r>
        <w:rPr>
          <w:sz w:val="20"/>
          <w:vertAlign w:val="baseline"/>
        </w:rPr>
        <w:t> parties will take in the delivery of the solution. There are a number of drivers behind this decision, including control over the future direction of the service, likely fit with requirements and</w:t>
      </w:r>
      <w:r>
        <w:rPr>
          <w:spacing w:val="-11"/>
          <w:sz w:val="20"/>
          <w:vertAlign w:val="baseline"/>
        </w:rPr>
        <w:t> </w:t>
      </w:r>
      <w:r>
        <w:rPr>
          <w:sz w:val="20"/>
          <w:vertAlign w:val="baseline"/>
        </w:rPr>
        <w:t>resilience.</w:t>
      </w:r>
    </w:p>
    <w:p>
      <w:pPr>
        <w:pStyle w:val="BodyText"/>
        <w:rPr>
          <w:sz w:val="22"/>
        </w:rPr>
      </w:pPr>
    </w:p>
    <w:p>
      <w:pPr>
        <w:pStyle w:val="BodyText"/>
        <w:spacing w:before="6"/>
        <w:rPr>
          <w:sz w:val="21"/>
        </w:rPr>
      </w:pPr>
    </w:p>
    <w:p>
      <w:pPr>
        <w:pStyle w:val="Heading1"/>
      </w:pPr>
      <w:r>
        <w:rPr/>
        <w:t>Item 1: Transition questionnaire results</w:t>
      </w:r>
    </w:p>
    <w:p>
      <w:pPr>
        <w:pStyle w:val="ListParagraph"/>
        <w:numPr>
          <w:ilvl w:val="0"/>
          <w:numId w:val="1"/>
        </w:numPr>
        <w:tabs>
          <w:tab w:pos="659" w:val="left" w:leader="none"/>
          <w:tab w:pos="660" w:val="left" w:leader="none"/>
        </w:tabs>
        <w:spacing w:line="240" w:lineRule="auto" w:before="155" w:after="0"/>
        <w:ind w:left="660" w:right="0" w:hanging="360"/>
        <w:jc w:val="left"/>
        <w:rPr>
          <w:rFonts w:ascii="Symbol" w:hAnsi="Symbol"/>
          <w:sz w:val="20"/>
        </w:rPr>
      </w:pPr>
      <w:r>
        <w:rPr>
          <w:sz w:val="20"/>
        </w:rPr>
        <w:t>The Bank set out high level findings from the transition questionnaire and asked members for views.</w:t>
      </w:r>
    </w:p>
    <w:p>
      <w:pPr>
        <w:pStyle w:val="BodyText"/>
        <w:rPr>
          <w:sz w:val="24"/>
        </w:rPr>
      </w:pPr>
    </w:p>
    <w:p>
      <w:pPr>
        <w:pStyle w:val="Heading1"/>
        <w:spacing w:before="141"/>
      </w:pPr>
      <w:r>
        <w:rPr>
          <w:color w:val="752863"/>
        </w:rPr>
        <w:t>Discussion</w:t>
      </w:r>
    </w:p>
    <w:p>
      <w:pPr>
        <w:pStyle w:val="ListParagraph"/>
        <w:numPr>
          <w:ilvl w:val="0"/>
          <w:numId w:val="1"/>
        </w:numPr>
        <w:tabs>
          <w:tab w:pos="659" w:val="left" w:leader="none"/>
          <w:tab w:pos="660" w:val="left" w:leader="none"/>
        </w:tabs>
        <w:spacing w:line="240" w:lineRule="auto" w:before="155" w:after="0"/>
        <w:ind w:left="660" w:right="0" w:hanging="360"/>
        <w:jc w:val="left"/>
        <w:rPr>
          <w:rFonts w:ascii="Symbol" w:hAnsi="Symbol"/>
          <w:sz w:val="20"/>
        </w:rPr>
      </w:pPr>
      <w:r>
        <w:rPr>
          <w:sz w:val="20"/>
        </w:rPr>
        <w:t>ISO 20022 migration</w:t>
      </w:r>
    </w:p>
    <w:p>
      <w:pPr>
        <w:pStyle w:val="ListParagraph"/>
        <w:numPr>
          <w:ilvl w:val="1"/>
          <w:numId w:val="1"/>
        </w:numPr>
        <w:tabs>
          <w:tab w:pos="1380" w:val="left" w:leader="none"/>
          <w:tab w:pos="1381" w:val="left" w:leader="none"/>
        </w:tabs>
        <w:spacing w:line="266" w:lineRule="auto" w:before="34" w:after="0"/>
        <w:ind w:left="1380" w:right="825" w:hanging="360"/>
        <w:jc w:val="left"/>
        <w:rPr>
          <w:sz w:val="20"/>
        </w:rPr>
      </w:pPr>
      <w:r>
        <w:rPr>
          <w:sz w:val="20"/>
        </w:rPr>
        <w:t>ISO 20022 transition questionnaire results showed members were split equally in their preference for either a single step migration or a two-step migration. The split was across all types firms, not a particular subset.</w:t>
      </w:r>
    </w:p>
    <w:p>
      <w:pPr>
        <w:pStyle w:val="ListParagraph"/>
        <w:numPr>
          <w:ilvl w:val="1"/>
          <w:numId w:val="1"/>
        </w:numPr>
        <w:tabs>
          <w:tab w:pos="1380" w:val="left" w:leader="none"/>
          <w:tab w:pos="1381" w:val="left" w:leader="none"/>
        </w:tabs>
        <w:spacing w:line="271" w:lineRule="auto" w:before="12" w:after="0"/>
        <w:ind w:left="1380" w:right="765" w:hanging="360"/>
        <w:jc w:val="left"/>
        <w:rPr>
          <w:sz w:val="20"/>
        </w:rPr>
      </w:pPr>
      <w:r>
        <w:rPr>
          <w:sz w:val="20"/>
        </w:rPr>
        <w:t>Members queried whether the views received were weighted based on organisation size. The Bank advised that responses had not been weighted and that it is committed to gathering a wide range of views and preferences. The questionnaire results are one of many inputs in to transition planning. Based on these inputs the Bank would determine the optimal transition approach considering a number of factors such as safe delivery and value for</w:t>
      </w:r>
      <w:r>
        <w:rPr>
          <w:spacing w:val="-6"/>
          <w:sz w:val="20"/>
        </w:rPr>
        <w:t> </w:t>
      </w:r>
      <w:r>
        <w:rPr>
          <w:sz w:val="20"/>
        </w:rPr>
        <w:t>money.</w:t>
      </w:r>
    </w:p>
    <w:p>
      <w:pPr>
        <w:pStyle w:val="BodyText"/>
        <w:spacing w:before="3"/>
        <w:rPr>
          <w:sz w:val="23"/>
        </w:rPr>
      </w:pPr>
    </w:p>
    <w:p>
      <w:pPr>
        <w:pStyle w:val="ListParagraph"/>
        <w:numPr>
          <w:ilvl w:val="0"/>
          <w:numId w:val="1"/>
        </w:numPr>
        <w:tabs>
          <w:tab w:pos="659" w:val="left" w:leader="none"/>
          <w:tab w:pos="660" w:val="left" w:leader="none"/>
        </w:tabs>
        <w:spacing w:line="240" w:lineRule="auto" w:before="0" w:after="0"/>
        <w:ind w:left="660" w:right="0" w:hanging="360"/>
        <w:jc w:val="left"/>
        <w:rPr>
          <w:rFonts w:ascii="Symbol" w:hAnsi="Symbol"/>
          <w:sz w:val="20"/>
        </w:rPr>
      </w:pPr>
      <w:r>
        <w:rPr>
          <w:sz w:val="20"/>
        </w:rPr>
        <w:t>Release</w:t>
      </w:r>
      <w:r>
        <w:rPr>
          <w:spacing w:val="-2"/>
          <w:sz w:val="20"/>
        </w:rPr>
        <w:t> </w:t>
      </w:r>
      <w:r>
        <w:rPr>
          <w:sz w:val="20"/>
        </w:rPr>
        <w:t>preferences</w:t>
      </w:r>
    </w:p>
    <w:p>
      <w:pPr>
        <w:spacing w:after="0" w:line="240" w:lineRule="auto"/>
        <w:jc w:val="left"/>
        <w:rPr>
          <w:rFonts w:ascii="Symbol" w:hAnsi="Symbol"/>
          <w:sz w:val="20"/>
        </w:rPr>
        <w:sectPr>
          <w:headerReference w:type="default" r:id="rId5"/>
          <w:footerReference w:type="default" r:id="rId6"/>
          <w:type w:val="continuous"/>
          <w:pgSz w:w="11910" w:h="16840"/>
          <w:pgMar w:header="247" w:footer="707" w:top="1280" w:bottom="900" w:left="420" w:right="0"/>
          <w:pgNumType w:start="1"/>
        </w:sectPr>
      </w:pPr>
    </w:p>
    <w:p>
      <w:pPr>
        <w:pStyle w:val="ListParagraph"/>
        <w:numPr>
          <w:ilvl w:val="1"/>
          <w:numId w:val="1"/>
        </w:numPr>
        <w:tabs>
          <w:tab w:pos="1380" w:val="left" w:leader="none"/>
          <w:tab w:pos="1381" w:val="left" w:leader="none"/>
        </w:tabs>
        <w:spacing w:line="266" w:lineRule="auto" w:before="0" w:after="0"/>
        <w:ind w:left="1380" w:right="942" w:hanging="360"/>
        <w:jc w:val="left"/>
        <w:rPr>
          <w:sz w:val="20"/>
        </w:rPr>
      </w:pPr>
      <w:r>
        <w:rPr>
          <w:sz w:val="20"/>
        </w:rPr>
        <w:t>Respondents expressed a preference to migrate to the new RTGS service at different times, rather</w:t>
      </w:r>
      <w:r>
        <w:rPr>
          <w:spacing w:val="-29"/>
          <w:sz w:val="20"/>
        </w:rPr>
        <w:t> </w:t>
      </w:r>
      <w:r>
        <w:rPr>
          <w:sz w:val="20"/>
        </w:rPr>
        <w:t>than all at once. Consideration would be given to the viability of this during the design of the transition approach.</w:t>
      </w:r>
    </w:p>
    <w:p>
      <w:pPr>
        <w:pStyle w:val="BodyText"/>
        <w:spacing w:before="8"/>
        <w:rPr>
          <w:sz w:val="23"/>
        </w:rPr>
      </w:pPr>
    </w:p>
    <w:p>
      <w:pPr>
        <w:pStyle w:val="ListParagraph"/>
        <w:numPr>
          <w:ilvl w:val="0"/>
          <w:numId w:val="1"/>
        </w:numPr>
        <w:tabs>
          <w:tab w:pos="659" w:val="left" w:leader="none"/>
          <w:tab w:pos="660" w:val="left" w:leader="none"/>
        </w:tabs>
        <w:spacing w:line="240" w:lineRule="auto" w:before="0" w:after="0"/>
        <w:ind w:left="660" w:right="0" w:hanging="360"/>
        <w:jc w:val="left"/>
        <w:rPr>
          <w:rFonts w:ascii="Symbol" w:hAnsi="Symbol"/>
          <w:sz w:val="20"/>
        </w:rPr>
      </w:pPr>
      <w:r>
        <w:rPr>
          <w:sz w:val="20"/>
        </w:rPr>
        <w:t>Operating</w:t>
      </w:r>
      <w:r>
        <w:rPr>
          <w:spacing w:val="-1"/>
          <w:sz w:val="20"/>
        </w:rPr>
        <w:t> </w:t>
      </w:r>
      <w:r>
        <w:rPr>
          <w:sz w:val="20"/>
        </w:rPr>
        <w:t>hours</w:t>
      </w:r>
    </w:p>
    <w:p>
      <w:pPr>
        <w:pStyle w:val="ListParagraph"/>
        <w:numPr>
          <w:ilvl w:val="1"/>
          <w:numId w:val="1"/>
        </w:numPr>
        <w:tabs>
          <w:tab w:pos="1380" w:val="left" w:leader="none"/>
          <w:tab w:pos="1381" w:val="left" w:leader="none"/>
        </w:tabs>
        <w:spacing w:line="271" w:lineRule="auto" w:before="35" w:after="0"/>
        <w:ind w:left="1380" w:right="759" w:hanging="360"/>
        <w:jc w:val="left"/>
        <w:rPr>
          <w:sz w:val="20"/>
        </w:rPr>
      </w:pPr>
      <w:r>
        <w:rPr>
          <w:sz w:val="20"/>
        </w:rPr>
        <w:t>Members highlighted that if the Bank were to change the current RTGS operating hours, this would require significant notice. The Bank outlined that there had not been significant demand for change and advised that the intention is to go live with the current operating hours (12 hours a day, 5 days a week). If there was demand for extending operating hours, this would be considered alongside a wider</w:t>
      </w:r>
      <w:r>
        <w:rPr>
          <w:spacing w:val="-28"/>
          <w:sz w:val="20"/>
        </w:rPr>
        <w:t> </w:t>
      </w:r>
      <w:r>
        <w:rPr>
          <w:sz w:val="20"/>
        </w:rPr>
        <w:t>assessment of the impact of this</w:t>
      </w:r>
      <w:r>
        <w:rPr>
          <w:spacing w:val="-1"/>
          <w:sz w:val="20"/>
        </w:rPr>
        <w:t> </w:t>
      </w:r>
      <w:r>
        <w:rPr>
          <w:sz w:val="20"/>
        </w:rPr>
        <w:t>change.</w:t>
      </w:r>
    </w:p>
    <w:p>
      <w:pPr>
        <w:pStyle w:val="BodyText"/>
        <w:spacing w:before="3"/>
        <w:rPr>
          <w:sz w:val="23"/>
        </w:rPr>
      </w:pPr>
    </w:p>
    <w:p>
      <w:pPr>
        <w:pStyle w:val="ListParagraph"/>
        <w:numPr>
          <w:ilvl w:val="0"/>
          <w:numId w:val="1"/>
        </w:numPr>
        <w:tabs>
          <w:tab w:pos="659" w:val="left" w:leader="none"/>
          <w:tab w:pos="660" w:val="left" w:leader="none"/>
        </w:tabs>
        <w:spacing w:line="240" w:lineRule="auto" w:before="0" w:after="0"/>
        <w:ind w:left="660" w:right="0" w:hanging="360"/>
        <w:jc w:val="left"/>
        <w:rPr>
          <w:rFonts w:ascii="Symbol" w:hAnsi="Symbol"/>
          <w:sz w:val="20"/>
        </w:rPr>
      </w:pPr>
      <w:r>
        <w:rPr>
          <w:sz w:val="20"/>
        </w:rPr>
        <w:t>Wider industry</w:t>
      </w:r>
      <w:r>
        <w:rPr>
          <w:spacing w:val="-5"/>
          <w:sz w:val="20"/>
        </w:rPr>
        <w:t> </w:t>
      </w:r>
      <w:r>
        <w:rPr>
          <w:sz w:val="20"/>
        </w:rPr>
        <w:t>change</w:t>
      </w:r>
    </w:p>
    <w:p>
      <w:pPr>
        <w:pStyle w:val="ListParagraph"/>
        <w:numPr>
          <w:ilvl w:val="1"/>
          <w:numId w:val="1"/>
        </w:numPr>
        <w:tabs>
          <w:tab w:pos="1380" w:val="left" w:leader="none"/>
          <w:tab w:pos="1381" w:val="left" w:leader="none"/>
        </w:tabs>
        <w:spacing w:line="266" w:lineRule="auto" w:before="35" w:after="0"/>
        <w:ind w:left="1380" w:right="1422" w:hanging="360"/>
        <w:jc w:val="left"/>
        <w:rPr>
          <w:sz w:val="20"/>
        </w:rPr>
      </w:pPr>
      <w:r>
        <w:rPr>
          <w:sz w:val="20"/>
        </w:rPr>
        <w:t>The benefits of RTGS timelines aligning with those of the New Payments Architecture (NPA) was discussed by members. In particular, there would be architectural and security benefits. The Bank confirmed it was working closely with the New Payment System Operator (NPSO).</w:t>
      </w:r>
    </w:p>
    <w:p>
      <w:pPr>
        <w:pStyle w:val="BodyText"/>
        <w:spacing w:before="10"/>
        <w:rPr>
          <w:sz w:val="23"/>
        </w:rPr>
      </w:pPr>
    </w:p>
    <w:p>
      <w:pPr>
        <w:pStyle w:val="ListParagraph"/>
        <w:numPr>
          <w:ilvl w:val="0"/>
          <w:numId w:val="1"/>
        </w:numPr>
        <w:tabs>
          <w:tab w:pos="659" w:val="left" w:leader="none"/>
          <w:tab w:pos="660" w:val="left" w:leader="none"/>
        </w:tabs>
        <w:spacing w:line="240" w:lineRule="auto" w:before="0" w:after="0"/>
        <w:ind w:left="660" w:right="0" w:hanging="360"/>
        <w:jc w:val="left"/>
        <w:rPr>
          <w:rFonts w:ascii="Symbol" w:hAnsi="Symbol"/>
          <w:sz w:val="20"/>
        </w:rPr>
      </w:pPr>
      <w:r>
        <w:rPr>
          <w:sz w:val="20"/>
        </w:rPr>
        <w:t>Members spit into groups to give more detailed feedback on the transition</w:t>
      </w:r>
      <w:r>
        <w:rPr>
          <w:spacing w:val="-8"/>
          <w:sz w:val="20"/>
        </w:rPr>
        <w:t> </w:t>
      </w:r>
      <w:r>
        <w:rPr>
          <w:sz w:val="20"/>
        </w:rPr>
        <w:t>questionnaire.</w:t>
      </w:r>
    </w:p>
    <w:p>
      <w:pPr>
        <w:pStyle w:val="BodyText"/>
        <w:rPr>
          <w:sz w:val="24"/>
        </w:rPr>
      </w:pPr>
    </w:p>
    <w:p>
      <w:pPr>
        <w:pStyle w:val="BodyText"/>
        <w:spacing w:before="7"/>
        <w:rPr>
          <w:sz w:val="22"/>
        </w:rPr>
      </w:pPr>
    </w:p>
    <w:p>
      <w:pPr>
        <w:pStyle w:val="Heading1"/>
      </w:pPr>
      <w:r>
        <w:rPr/>
        <w:t>Item 2: Message network agnostic design (MNAD)</w:t>
      </w:r>
    </w:p>
    <w:p>
      <w:pPr>
        <w:pStyle w:val="ListParagraph"/>
        <w:numPr>
          <w:ilvl w:val="0"/>
          <w:numId w:val="1"/>
        </w:numPr>
        <w:tabs>
          <w:tab w:pos="659" w:val="left" w:leader="none"/>
          <w:tab w:pos="660" w:val="left" w:leader="none"/>
        </w:tabs>
        <w:spacing w:line="276" w:lineRule="auto" w:before="155" w:after="0"/>
        <w:ind w:left="660" w:right="1008" w:hanging="360"/>
        <w:jc w:val="left"/>
        <w:rPr>
          <w:rFonts w:ascii="Symbol" w:hAnsi="Symbol"/>
          <w:sz w:val="20"/>
        </w:rPr>
      </w:pPr>
      <w:r>
        <w:rPr>
          <w:sz w:val="20"/>
        </w:rPr>
        <w:t>As stated in the Blueprint, the Bank’s intention is that the renewed RTGS would from the outset continue to use SWIFT as the provider of message services. Importantly, the renewed service would also be designed to be ‘message network agnostic’ ie capable of sending and receiving payment messages from multiple sources and interfacing with multiple messaging</w:t>
      </w:r>
      <w:r>
        <w:rPr>
          <w:spacing w:val="-1"/>
          <w:sz w:val="20"/>
        </w:rPr>
        <w:t> </w:t>
      </w:r>
      <w:r>
        <w:rPr>
          <w:sz w:val="20"/>
        </w:rPr>
        <w:t>networks.</w:t>
      </w:r>
    </w:p>
    <w:p>
      <w:pPr>
        <w:pStyle w:val="BodyText"/>
        <w:spacing w:before="9"/>
        <w:rPr>
          <w:sz w:val="22"/>
        </w:rPr>
      </w:pPr>
    </w:p>
    <w:p>
      <w:pPr>
        <w:pStyle w:val="ListParagraph"/>
        <w:numPr>
          <w:ilvl w:val="0"/>
          <w:numId w:val="1"/>
        </w:numPr>
        <w:tabs>
          <w:tab w:pos="659" w:val="left" w:leader="none"/>
          <w:tab w:pos="660" w:val="left" w:leader="none"/>
        </w:tabs>
        <w:spacing w:line="276" w:lineRule="auto" w:before="0" w:after="0"/>
        <w:ind w:left="660" w:right="996" w:hanging="360"/>
        <w:jc w:val="left"/>
        <w:rPr>
          <w:rFonts w:ascii="Symbol" w:hAnsi="Symbol"/>
          <w:sz w:val="20"/>
        </w:rPr>
      </w:pPr>
      <w:r>
        <w:rPr>
          <w:sz w:val="20"/>
        </w:rPr>
        <w:t>To deliver this, the Bank’s baseline programme scope position is that all existing CHAPS participants would migrate to a V-shaped message topology along with additional security infrastructure to ensure end-to-end message security. Whilst this is the programme’s baseline scope position, further work would be undertaken to evaluate the implications for wider sterling payments and the impact on Bank and participant</w:t>
      </w:r>
      <w:r>
        <w:rPr>
          <w:spacing w:val="-15"/>
          <w:sz w:val="20"/>
        </w:rPr>
        <w:t> </w:t>
      </w:r>
      <w:r>
        <w:rPr>
          <w:sz w:val="20"/>
        </w:rPr>
        <w:t>costs.</w:t>
      </w:r>
    </w:p>
    <w:p>
      <w:pPr>
        <w:pStyle w:val="BodyText"/>
        <w:spacing w:before="10"/>
        <w:rPr>
          <w:sz w:val="32"/>
        </w:rPr>
      </w:pPr>
    </w:p>
    <w:p>
      <w:pPr>
        <w:pStyle w:val="Heading1"/>
        <w:spacing w:before="1"/>
      </w:pPr>
      <w:r>
        <w:rPr>
          <w:color w:val="752863"/>
        </w:rPr>
        <w:t>Discussion:</w:t>
      </w:r>
    </w:p>
    <w:p>
      <w:pPr>
        <w:pStyle w:val="ListParagraph"/>
        <w:numPr>
          <w:ilvl w:val="1"/>
          <w:numId w:val="1"/>
        </w:numPr>
        <w:tabs>
          <w:tab w:pos="1021" w:val="left" w:leader="none"/>
        </w:tabs>
        <w:spacing w:line="268" w:lineRule="auto" w:before="156" w:after="0"/>
        <w:ind w:left="1020" w:right="1128" w:hanging="361"/>
        <w:jc w:val="both"/>
        <w:rPr>
          <w:sz w:val="20"/>
        </w:rPr>
      </w:pPr>
      <w:r>
        <w:rPr>
          <w:sz w:val="20"/>
        </w:rPr>
        <w:t>Members queried how the Bank planned to engage and gather input from industry on this topic. The Bank advised that a set of bilateral conversations were underway and that proposal were discussed at the April External Advisory Body. The Bank is also working with the NPA to determine what collaboration would be beneficial in this</w:t>
      </w:r>
      <w:r>
        <w:rPr>
          <w:spacing w:val="-2"/>
          <w:sz w:val="20"/>
        </w:rPr>
        <w:t> </w:t>
      </w:r>
      <w:r>
        <w:rPr>
          <w:sz w:val="20"/>
        </w:rPr>
        <w:t>space.</w:t>
      </w:r>
    </w:p>
    <w:p>
      <w:pPr>
        <w:pStyle w:val="BodyText"/>
        <w:rPr>
          <w:sz w:val="22"/>
        </w:rPr>
      </w:pPr>
    </w:p>
    <w:p>
      <w:pPr>
        <w:pStyle w:val="Heading1"/>
        <w:spacing w:before="139"/>
      </w:pPr>
      <w:r>
        <w:rPr/>
        <w:t>Item 3: ISO2022</w:t>
      </w:r>
    </w:p>
    <w:p>
      <w:pPr>
        <w:pStyle w:val="ListParagraph"/>
        <w:numPr>
          <w:ilvl w:val="0"/>
          <w:numId w:val="1"/>
        </w:numPr>
        <w:tabs>
          <w:tab w:pos="659" w:val="left" w:leader="none"/>
          <w:tab w:pos="660" w:val="left" w:leader="none"/>
        </w:tabs>
        <w:spacing w:line="271" w:lineRule="auto" w:before="157" w:after="0"/>
        <w:ind w:left="660" w:right="1418" w:hanging="360"/>
        <w:jc w:val="left"/>
        <w:rPr>
          <w:rFonts w:ascii="Symbol" w:hAnsi="Symbol"/>
          <w:sz w:val="20"/>
        </w:rPr>
      </w:pPr>
      <w:r>
        <w:rPr>
          <w:sz w:val="20"/>
        </w:rPr>
        <w:t>The Bank shared the latest thinking on the transition plan for migrating to ISO 20022. The Bank set out the underlying assumptions and asked members to comment on the</w:t>
      </w:r>
      <w:r>
        <w:rPr>
          <w:spacing w:val="-13"/>
          <w:sz w:val="20"/>
        </w:rPr>
        <w:t> </w:t>
      </w:r>
      <w:r>
        <w:rPr>
          <w:sz w:val="20"/>
        </w:rPr>
        <w:t>approach.</w:t>
      </w:r>
    </w:p>
    <w:p>
      <w:pPr>
        <w:pStyle w:val="BodyText"/>
        <w:rPr>
          <w:sz w:val="22"/>
        </w:rPr>
      </w:pPr>
    </w:p>
    <w:p>
      <w:pPr>
        <w:pStyle w:val="Heading1"/>
        <w:spacing w:before="136"/>
      </w:pPr>
      <w:r>
        <w:rPr>
          <w:color w:val="752863"/>
        </w:rPr>
        <w:t>Discussion;</w:t>
      </w:r>
    </w:p>
    <w:p>
      <w:pPr>
        <w:pStyle w:val="ListParagraph"/>
        <w:numPr>
          <w:ilvl w:val="1"/>
          <w:numId w:val="1"/>
        </w:numPr>
        <w:tabs>
          <w:tab w:pos="1020" w:val="left" w:leader="none"/>
          <w:tab w:pos="1021" w:val="left" w:leader="none"/>
        </w:tabs>
        <w:spacing w:line="240" w:lineRule="auto" w:before="157" w:after="0"/>
        <w:ind w:left="1020" w:right="0" w:hanging="361"/>
        <w:jc w:val="left"/>
        <w:rPr>
          <w:sz w:val="20"/>
        </w:rPr>
      </w:pPr>
      <w:r>
        <w:rPr>
          <w:sz w:val="20"/>
        </w:rPr>
        <w:t>Members advised that further clarity on timelines would be beneficial for the consultation. In particular</w:t>
      </w:r>
      <w:r>
        <w:rPr>
          <w:spacing w:val="-15"/>
          <w:sz w:val="20"/>
        </w:rPr>
        <w:t> </w:t>
      </w:r>
      <w:r>
        <w:rPr>
          <w:sz w:val="20"/>
        </w:rPr>
        <w:t>on:</w:t>
      </w:r>
    </w:p>
    <w:p>
      <w:pPr>
        <w:pStyle w:val="ListParagraph"/>
        <w:numPr>
          <w:ilvl w:val="2"/>
          <w:numId w:val="1"/>
        </w:numPr>
        <w:tabs>
          <w:tab w:pos="1740" w:val="left" w:leader="none"/>
          <w:tab w:pos="1741" w:val="left" w:leader="none"/>
        </w:tabs>
        <w:spacing w:line="240" w:lineRule="auto" w:before="17" w:after="0"/>
        <w:ind w:left="1740" w:right="0" w:hanging="361"/>
        <w:jc w:val="left"/>
        <w:rPr>
          <w:sz w:val="20"/>
        </w:rPr>
      </w:pPr>
      <w:r>
        <w:rPr>
          <w:sz w:val="20"/>
        </w:rPr>
        <w:t>When enhancements would become mandatory for direct</w:t>
      </w:r>
      <w:r>
        <w:rPr>
          <w:spacing w:val="-23"/>
          <w:sz w:val="20"/>
        </w:rPr>
        <w:t> </w:t>
      </w:r>
      <w:r>
        <w:rPr>
          <w:sz w:val="20"/>
        </w:rPr>
        <w:t>participants;</w:t>
      </w:r>
    </w:p>
    <w:p>
      <w:pPr>
        <w:pStyle w:val="ListParagraph"/>
        <w:numPr>
          <w:ilvl w:val="2"/>
          <w:numId w:val="1"/>
        </w:numPr>
        <w:tabs>
          <w:tab w:pos="1740" w:val="left" w:leader="none"/>
          <w:tab w:pos="1741" w:val="left" w:leader="none"/>
        </w:tabs>
        <w:spacing w:line="240" w:lineRule="auto" w:before="16" w:after="0"/>
        <w:ind w:left="1740" w:right="0" w:hanging="361"/>
        <w:jc w:val="left"/>
        <w:rPr>
          <w:sz w:val="20"/>
        </w:rPr>
      </w:pPr>
      <w:r>
        <w:rPr>
          <w:sz w:val="20"/>
        </w:rPr>
        <w:t>The point at which translator services would no longer be allowed;</w:t>
      </w:r>
      <w:r>
        <w:rPr>
          <w:spacing w:val="-22"/>
          <w:sz w:val="20"/>
        </w:rPr>
        <w:t> </w:t>
      </w:r>
      <w:r>
        <w:rPr>
          <w:sz w:val="20"/>
        </w:rPr>
        <w:t>and</w:t>
      </w:r>
    </w:p>
    <w:p>
      <w:pPr>
        <w:pStyle w:val="ListParagraph"/>
        <w:numPr>
          <w:ilvl w:val="2"/>
          <w:numId w:val="1"/>
        </w:numPr>
        <w:tabs>
          <w:tab w:pos="1740" w:val="left" w:leader="none"/>
          <w:tab w:pos="1741" w:val="left" w:leader="none"/>
        </w:tabs>
        <w:spacing w:line="266" w:lineRule="auto" w:before="19" w:after="0"/>
        <w:ind w:left="1020" w:right="735" w:firstLine="360"/>
        <w:jc w:val="left"/>
        <w:rPr>
          <w:sz w:val="20"/>
        </w:rPr>
      </w:pPr>
      <w:r>
        <w:rPr>
          <w:sz w:val="20"/>
        </w:rPr>
        <w:t>When the additional security required for a message network agnostic design would be implemented. The Bank confirmed that the consultation would set out an indicative timeline, with further detail to be</w:t>
      </w:r>
      <w:r>
        <w:rPr>
          <w:spacing w:val="-30"/>
          <w:sz w:val="20"/>
        </w:rPr>
        <w:t> </w:t>
      </w:r>
      <w:r>
        <w:rPr>
          <w:sz w:val="20"/>
        </w:rPr>
        <w:t>provided after the next round of transition planning in the</w:t>
      </w:r>
      <w:r>
        <w:rPr>
          <w:spacing w:val="-4"/>
          <w:sz w:val="20"/>
        </w:rPr>
        <w:t> </w:t>
      </w:r>
      <w:r>
        <w:rPr>
          <w:sz w:val="20"/>
        </w:rPr>
        <w:t>summer.</w:t>
      </w:r>
    </w:p>
    <w:p>
      <w:pPr>
        <w:pStyle w:val="ListParagraph"/>
        <w:numPr>
          <w:ilvl w:val="1"/>
          <w:numId w:val="1"/>
        </w:numPr>
        <w:tabs>
          <w:tab w:pos="1020" w:val="left" w:leader="none"/>
          <w:tab w:pos="1021" w:val="left" w:leader="none"/>
        </w:tabs>
        <w:spacing w:line="256" w:lineRule="auto" w:before="8" w:after="0"/>
        <w:ind w:left="1020" w:right="781" w:hanging="361"/>
        <w:jc w:val="left"/>
        <w:rPr>
          <w:sz w:val="20"/>
        </w:rPr>
      </w:pPr>
      <w:r>
        <w:rPr>
          <w:sz w:val="20"/>
        </w:rPr>
        <w:t>The Bank advised that Wire Transfer Regulations had been considered and that the ISO 20022 Data Working Group had determined that there was no need to bring certain enhancements</w:t>
      </w:r>
      <w:r>
        <w:rPr>
          <w:spacing w:val="-4"/>
          <w:sz w:val="20"/>
        </w:rPr>
        <w:t> </w:t>
      </w:r>
      <w:r>
        <w:rPr>
          <w:sz w:val="20"/>
        </w:rPr>
        <w:t>forward.</w:t>
      </w:r>
    </w:p>
    <w:p>
      <w:pPr>
        <w:spacing w:after="0" w:line="256" w:lineRule="auto"/>
        <w:jc w:val="left"/>
        <w:rPr>
          <w:sz w:val="20"/>
        </w:rPr>
        <w:sectPr>
          <w:pgSz w:w="11910" w:h="16840"/>
          <w:pgMar w:header="247" w:footer="707" w:top="1280" w:bottom="900" w:left="420" w:right="0"/>
        </w:sectPr>
      </w:pPr>
    </w:p>
    <w:p>
      <w:pPr>
        <w:pStyle w:val="BodyText"/>
      </w:pPr>
    </w:p>
    <w:p>
      <w:pPr>
        <w:pStyle w:val="BodyText"/>
      </w:pPr>
    </w:p>
    <w:p>
      <w:pPr>
        <w:pStyle w:val="BodyText"/>
      </w:pPr>
    </w:p>
    <w:p>
      <w:pPr>
        <w:pStyle w:val="BodyText"/>
        <w:spacing w:before="10"/>
        <w:rPr>
          <w:sz w:val="21"/>
        </w:rPr>
      </w:pPr>
    </w:p>
    <w:p>
      <w:pPr>
        <w:pStyle w:val="ListParagraph"/>
        <w:numPr>
          <w:ilvl w:val="0"/>
          <w:numId w:val="1"/>
        </w:numPr>
        <w:tabs>
          <w:tab w:pos="659" w:val="left" w:leader="none"/>
          <w:tab w:pos="660" w:val="left" w:leader="none"/>
        </w:tabs>
        <w:spacing w:line="276" w:lineRule="auto" w:before="100" w:after="0"/>
        <w:ind w:left="660" w:right="742" w:hanging="360"/>
        <w:jc w:val="left"/>
        <w:rPr>
          <w:rFonts w:ascii="Symbol" w:hAnsi="Symbol"/>
          <w:sz w:val="20"/>
        </w:rPr>
      </w:pPr>
      <w:r>
        <w:rPr/>
        <w:drawing>
          <wp:anchor distT="0" distB="0" distL="0" distR="0" allowOverlap="1" layoutInCell="1" locked="0" behindDoc="0" simplePos="0" relativeHeight="251658240">
            <wp:simplePos x="0" y="0"/>
            <wp:positionH relativeFrom="page">
              <wp:posOffset>4213323</wp:posOffset>
            </wp:positionH>
            <wp:positionV relativeFrom="paragraph">
              <wp:posOffset>-592280</wp:posOffset>
            </wp:positionV>
            <wp:extent cx="3337461" cy="657225"/>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9" cstate="print"/>
                    <a:stretch>
                      <a:fillRect/>
                    </a:stretch>
                  </pic:blipFill>
                  <pic:spPr>
                    <a:xfrm>
                      <a:off x="0" y="0"/>
                      <a:ext cx="3337461" cy="657225"/>
                    </a:xfrm>
                    <a:prstGeom prst="rect">
                      <a:avLst/>
                    </a:prstGeom>
                  </pic:spPr>
                </pic:pic>
              </a:graphicData>
            </a:graphic>
          </wp:anchor>
        </w:drawing>
      </w:r>
      <w:r>
        <w:rPr>
          <w:sz w:val="20"/>
        </w:rPr>
        <w:t>The ISO 20022 consultation would be published in June 2018 and would be the principal mechanism for collecting wider feedback on transition plans for the new messaging standard. Members were encouraged to consider the wide range of stakeholders within their organisations that should input into their organisation’s</w:t>
      </w:r>
      <w:r>
        <w:rPr>
          <w:spacing w:val="-17"/>
          <w:sz w:val="20"/>
        </w:rPr>
        <w:t> </w:t>
      </w:r>
      <w:r>
        <w:rPr>
          <w:sz w:val="20"/>
        </w:rPr>
        <w:t>response.</w:t>
      </w:r>
    </w:p>
    <w:p>
      <w:pPr>
        <w:pStyle w:val="BodyText"/>
        <w:rPr>
          <w:sz w:val="22"/>
        </w:rPr>
      </w:pPr>
    </w:p>
    <w:p>
      <w:pPr>
        <w:pStyle w:val="Heading1"/>
        <w:spacing w:before="128"/>
      </w:pPr>
      <w:r>
        <w:rPr/>
        <w:t>Item 4: Actions and Next Steps</w:t>
      </w:r>
    </w:p>
    <w:p>
      <w:pPr>
        <w:pStyle w:val="ListParagraph"/>
        <w:numPr>
          <w:ilvl w:val="0"/>
          <w:numId w:val="1"/>
        </w:numPr>
        <w:tabs>
          <w:tab w:pos="659" w:val="left" w:leader="none"/>
          <w:tab w:pos="660" w:val="left" w:leader="none"/>
        </w:tabs>
        <w:spacing w:line="240" w:lineRule="auto" w:before="155" w:after="0"/>
        <w:ind w:left="660" w:right="0" w:hanging="360"/>
        <w:jc w:val="left"/>
        <w:rPr>
          <w:rFonts w:ascii="Symbol" w:hAnsi="Symbol"/>
          <w:sz w:val="20"/>
        </w:rPr>
      </w:pPr>
      <w:r>
        <w:rPr>
          <w:sz w:val="20"/>
        </w:rPr>
        <w:t>General discussion</w:t>
      </w:r>
    </w:p>
    <w:p>
      <w:pPr>
        <w:pStyle w:val="ListParagraph"/>
        <w:numPr>
          <w:ilvl w:val="1"/>
          <w:numId w:val="1"/>
        </w:numPr>
        <w:tabs>
          <w:tab w:pos="1020" w:val="left" w:leader="none"/>
          <w:tab w:pos="1021" w:val="left" w:leader="none"/>
        </w:tabs>
        <w:spacing w:line="256" w:lineRule="auto" w:before="155" w:after="0"/>
        <w:ind w:left="1020" w:right="1044" w:hanging="361"/>
        <w:jc w:val="left"/>
        <w:rPr>
          <w:sz w:val="20"/>
        </w:rPr>
      </w:pPr>
      <w:r>
        <w:rPr>
          <w:sz w:val="20"/>
        </w:rPr>
        <w:t>Members reiterated that having early visibility of transition timelines, particularly in relation to ISO 20022,</w:t>
      </w:r>
      <w:r>
        <w:rPr>
          <w:spacing w:val="-31"/>
          <w:sz w:val="20"/>
        </w:rPr>
        <w:t> </w:t>
      </w:r>
      <w:r>
        <w:rPr>
          <w:sz w:val="20"/>
        </w:rPr>
        <w:t>is important for planning required</w:t>
      </w:r>
      <w:r>
        <w:rPr>
          <w:spacing w:val="-4"/>
          <w:sz w:val="20"/>
        </w:rPr>
        <w:t> </w:t>
      </w:r>
      <w:r>
        <w:rPr>
          <w:sz w:val="20"/>
        </w:rPr>
        <w:t>changes.</w:t>
      </w:r>
    </w:p>
    <w:p>
      <w:pPr>
        <w:pStyle w:val="ListParagraph"/>
        <w:numPr>
          <w:ilvl w:val="1"/>
          <w:numId w:val="1"/>
        </w:numPr>
        <w:tabs>
          <w:tab w:pos="1020" w:val="left" w:leader="none"/>
          <w:tab w:pos="1021" w:val="left" w:leader="none"/>
        </w:tabs>
        <w:spacing w:line="240" w:lineRule="auto" w:before="18" w:after="0"/>
        <w:ind w:left="1020" w:right="0" w:hanging="361"/>
        <w:jc w:val="left"/>
        <w:rPr>
          <w:sz w:val="20"/>
        </w:rPr>
      </w:pPr>
      <w:r>
        <w:rPr>
          <w:sz w:val="20"/>
        </w:rPr>
        <w:t>Members commented that the Bank should engage with vendors as well as</w:t>
      </w:r>
      <w:r>
        <w:rPr>
          <w:spacing w:val="1"/>
          <w:sz w:val="20"/>
        </w:rPr>
        <w:t> </w:t>
      </w:r>
      <w:r>
        <w:rPr>
          <w:sz w:val="20"/>
        </w:rPr>
        <w:t>participants.</w:t>
      </w:r>
    </w:p>
    <w:p>
      <w:pPr>
        <w:pStyle w:val="ListParagraph"/>
        <w:numPr>
          <w:ilvl w:val="1"/>
          <w:numId w:val="1"/>
        </w:numPr>
        <w:tabs>
          <w:tab w:pos="1020" w:val="left" w:leader="none"/>
          <w:tab w:pos="1021" w:val="left" w:leader="none"/>
        </w:tabs>
        <w:spacing w:line="259" w:lineRule="auto" w:before="16" w:after="0"/>
        <w:ind w:left="1020" w:right="807" w:hanging="361"/>
        <w:jc w:val="left"/>
        <w:rPr>
          <w:sz w:val="20"/>
        </w:rPr>
      </w:pPr>
      <w:r>
        <w:rPr>
          <w:sz w:val="20"/>
        </w:rPr>
        <w:t>It was suggested that the Bank consider extending engagement on technical matters to include a wider</w:t>
      </w:r>
      <w:r>
        <w:rPr>
          <w:spacing w:val="-27"/>
          <w:sz w:val="20"/>
        </w:rPr>
        <w:t> </w:t>
      </w:r>
      <w:r>
        <w:rPr>
          <w:sz w:val="20"/>
        </w:rPr>
        <w:t>range of technical experts from member</w:t>
      </w:r>
      <w:r>
        <w:rPr>
          <w:spacing w:val="1"/>
          <w:sz w:val="20"/>
        </w:rPr>
        <w:t> </w:t>
      </w:r>
      <w:r>
        <w:rPr>
          <w:sz w:val="20"/>
        </w:rPr>
        <w:t>organisations.</w:t>
      </w:r>
    </w:p>
    <w:p>
      <w:pPr>
        <w:pStyle w:val="BodyText"/>
        <w:spacing w:before="3"/>
        <w:rPr>
          <w:sz w:val="24"/>
        </w:rPr>
      </w:pPr>
    </w:p>
    <w:p>
      <w:pPr>
        <w:pStyle w:val="ListParagraph"/>
        <w:numPr>
          <w:ilvl w:val="0"/>
          <w:numId w:val="1"/>
        </w:numPr>
        <w:tabs>
          <w:tab w:pos="659" w:val="left" w:leader="none"/>
          <w:tab w:pos="660" w:val="left" w:leader="none"/>
        </w:tabs>
        <w:spacing w:line="240" w:lineRule="auto" w:before="0" w:after="0"/>
        <w:ind w:left="660" w:right="0" w:hanging="360"/>
        <w:jc w:val="left"/>
        <w:rPr>
          <w:rFonts w:ascii="Symbol" w:hAnsi="Symbol"/>
          <w:sz w:val="20"/>
        </w:rPr>
      </w:pPr>
      <w:r>
        <w:rPr>
          <w:sz w:val="20"/>
        </w:rPr>
        <w:t>Next</w:t>
      </w:r>
      <w:r>
        <w:rPr>
          <w:spacing w:val="-2"/>
          <w:sz w:val="20"/>
        </w:rPr>
        <w:t> </w:t>
      </w:r>
      <w:r>
        <w:rPr>
          <w:sz w:val="20"/>
        </w:rPr>
        <w:t>steps</w:t>
      </w:r>
    </w:p>
    <w:p>
      <w:pPr>
        <w:pStyle w:val="ListParagraph"/>
        <w:numPr>
          <w:ilvl w:val="1"/>
          <w:numId w:val="1"/>
        </w:numPr>
        <w:tabs>
          <w:tab w:pos="1380" w:val="left" w:leader="none"/>
          <w:tab w:pos="1381" w:val="left" w:leader="none"/>
        </w:tabs>
        <w:spacing w:line="256" w:lineRule="auto" w:before="152" w:after="0"/>
        <w:ind w:left="1380" w:right="1033" w:hanging="360"/>
        <w:jc w:val="left"/>
        <w:rPr>
          <w:b/>
          <w:sz w:val="20"/>
        </w:rPr>
      </w:pPr>
      <w:r>
        <w:rPr>
          <w:sz w:val="20"/>
        </w:rPr>
        <w:t>In May, the Bank would send out a forward agenda containing information about future TWGs. </w:t>
      </w:r>
      <w:r>
        <w:rPr>
          <w:b/>
          <w:sz w:val="20"/>
        </w:rPr>
        <w:t>Action: send forward agenda to TWG members containing information about future</w:t>
      </w:r>
      <w:r>
        <w:rPr>
          <w:b/>
          <w:spacing w:val="-5"/>
          <w:sz w:val="20"/>
        </w:rPr>
        <w:t> </w:t>
      </w:r>
      <w:r>
        <w:rPr>
          <w:b/>
          <w:sz w:val="20"/>
        </w:rPr>
        <w:t>TWGs.</w:t>
      </w:r>
    </w:p>
    <w:p>
      <w:pPr>
        <w:pStyle w:val="BodyText"/>
        <w:rPr>
          <w:b/>
        </w:rPr>
      </w:pPr>
    </w:p>
    <w:p>
      <w:pPr>
        <w:pStyle w:val="BodyText"/>
        <w:rPr>
          <w:b/>
        </w:rPr>
      </w:pPr>
    </w:p>
    <w:p>
      <w:pPr>
        <w:pStyle w:val="BodyText"/>
        <w:rPr>
          <w:b/>
        </w:rPr>
      </w:pPr>
    </w:p>
    <w:p>
      <w:pPr>
        <w:pStyle w:val="BodyText"/>
        <w:spacing w:before="4"/>
        <w:rPr>
          <w:b/>
          <w:sz w:val="19"/>
        </w:rPr>
      </w:pPr>
    </w:p>
    <w:tbl>
      <w:tblPr>
        <w:tblW w:w="0" w:type="auto"/>
        <w:jc w:val="left"/>
        <w:tblInd w:w="29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982"/>
        <w:gridCol w:w="1349"/>
        <w:gridCol w:w="2737"/>
        <w:gridCol w:w="1409"/>
        <w:gridCol w:w="1052"/>
        <w:gridCol w:w="1075"/>
        <w:gridCol w:w="1627"/>
      </w:tblGrid>
      <w:tr>
        <w:trPr>
          <w:trHeight w:val="609" w:hRule="atLeast"/>
        </w:trPr>
        <w:tc>
          <w:tcPr>
            <w:tcW w:w="982" w:type="dxa"/>
            <w:shd w:val="clear" w:color="auto" w:fill="8B0D64"/>
          </w:tcPr>
          <w:p>
            <w:pPr>
              <w:pStyle w:val="TableParagraph"/>
              <w:spacing w:line="276" w:lineRule="auto" w:before="38"/>
              <w:ind w:left="107"/>
              <w:rPr>
                <w:b/>
                <w:sz w:val="20"/>
              </w:rPr>
            </w:pPr>
            <w:r>
              <w:rPr>
                <w:b/>
                <w:color w:val="FFFFFF"/>
                <w:w w:val="95"/>
                <w:sz w:val="20"/>
              </w:rPr>
              <w:t>Action </w:t>
            </w:r>
            <w:r>
              <w:rPr>
                <w:b/>
                <w:color w:val="FFFFFF"/>
                <w:sz w:val="20"/>
              </w:rPr>
              <w:t>Ref</w:t>
            </w:r>
          </w:p>
        </w:tc>
        <w:tc>
          <w:tcPr>
            <w:tcW w:w="1349" w:type="dxa"/>
            <w:shd w:val="clear" w:color="auto" w:fill="8B0D64"/>
          </w:tcPr>
          <w:p>
            <w:pPr>
              <w:pStyle w:val="TableParagraph"/>
              <w:spacing w:line="276" w:lineRule="auto" w:before="38"/>
              <w:ind w:left="107" w:right="534"/>
              <w:rPr>
                <w:b/>
                <w:sz w:val="20"/>
              </w:rPr>
            </w:pPr>
            <w:r>
              <w:rPr>
                <w:b/>
                <w:color w:val="FFFFFF"/>
                <w:sz w:val="20"/>
              </w:rPr>
              <w:t>Date of TWG</w:t>
            </w:r>
          </w:p>
        </w:tc>
        <w:tc>
          <w:tcPr>
            <w:tcW w:w="2737" w:type="dxa"/>
            <w:shd w:val="clear" w:color="auto" w:fill="8B0D64"/>
          </w:tcPr>
          <w:p>
            <w:pPr>
              <w:pStyle w:val="TableParagraph"/>
              <w:spacing w:before="170"/>
              <w:ind w:left="107"/>
              <w:rPr>
                <w:b/>
                <w:sz w:val="20"/>
              </w:rPr>
            </w:pPr>
            <w:r>
              <w:rPr>
                <w:b/>
                <w:color w:val="FFFFFF"/>
                <w:sz w:val="20"/>
              </w:rPr>
              <w:t>Action agreed</w:t>
            </w:r>
          </w:p>
        </w:tc>
        <w:tc>
          <w:tcPr>
            <w:tcW w:w="1409" w:type="dxa"/>
            <w:shd w:val="clear" w:color="auto" w:fill="8B0D64"/>
          </w:tcPr>
          <w:p>
            <w:pPr>
              <w:pStyle w:val="TableParagraph"/>
              <w:spacing w:line="276" w:lineRule="auto" w:before="38"/>
              <w:ind w:left="107" w:right="649"/>
              <w:rPr>
                <w:b/>
                <w:sz w:val="20"/>
              </w:rPr>
            </w:pPr>
            <w:r>
              <w:rPr>
                <w:b/>
                <w:color w:val="FFFFFF"/>
                <w:sz w:val="20"/>
              </w:rPr>
              <w:t>Action Owner</w:t>
            </w:r>
          </w:p>
        </w:tc>
        <w:tc>
          <w:tcPr>
            <w:tcW w:w="1052" w:type="dxa"/>
            <w:shd w:val="clear" w:color="auto" w:fill="8B0D64"/>
          </w:tcPr>
          <w:p>
            <w:pPr>
              <w:pStyle w:val="TableParagraph"/>
              <w:spacing w:line="276" w:lineRule="auto" w:before="38"/>
              <w:ind w:left="107" w:right="481"/>
              <w:rPr>
                <w:b/>
                <w:sz w:val="20"/>
              </w:rPr>
            </w:pPr>
            <w:r>
              <w:rPr>
                <w:b/>
                <w:color w:val="FFFFFF"/>
                <w:sz w:val="20"/>
              </w:rPr>
              <w:t>Date</w:t>
            </w:r>
            <w:r>
              <w:rPr>
                <w:b/>
                <w:color w:val="FFFFFF"/>
                <w:w w:val="99"/>
                <w:sz w:val="20"/>
              </w:rPr>
              <w:t> </w:t>
            </w:r>
            <w:r>
              <w:rPr>
                <w:b/>
                <w:color w:val="FFFFFF"/>
                <w:sz w:val="20"/>
              </w:rPr>
              <w:t>due</w:t>
            </w:r>
          </w:p>
        </w:tc>
        <w:tc>
          <w:tcPr>
            <w:tcW w:w="1075" w:type="dxa"/>
            <w:shd w:val="clear" w:color="auto" w:fill="8B0D64"/>
          </w:tcPr>
          <w:p>
            <w:pPr>
              <w:pStyle w:val="TableParagraph"/>
              <w:spacing w:before="170"/>
              <w:ind w:left="107"/>
              <w:rPr>
                <w:b/>
                <w:sz w:val="20"/>
              </w:rPr>
            </w:pPr>
            <w:r>
              <w:rPr>
                <w:b/>
                <w:color w:val="FFFFFF"/>
                <w:sz w:val="20"/>
              </w:rPr>
              <w:t>Status</w:t>
            </w:r>
          </w:p>
        </w:tc>
        <w:tc>
          <w:tcPr>
            <w:tcW w:w="1627" w:type="dxa"/>
            <w:shd w:val="clear" w:color="auto" w:fill="8B0D64"/>
          </w:tcPr>
          <w:p>
            <w:pPr>
              <w:pStyle w:val="TableParagraph"/>
              <w:spacing w:before="170"/>
              <w:ind w:left="107"/>
              <w:rPr>
                <w:b/>
                <w:sz w:val="20"/>
              </w:rPr>
            </w:pPr>
            <w:r>
              <w:rPr>
                <w:b/>
                <w:color w:val="FFFFFF"/>
                <w:sz w:val="20"/>
              </w:rPr>
              <w:t>Update</w:t>
            </w:r>
          </w:p>
        </w:tc>
      </w:tr>
      <w:tr>
        <w:trPr>
          <w:trHeight w:val="1230" w:hRule="atLeast"/>
        </w:trPr>
        <w:tc>
          <w:tcPr>
            <w:tcW w:w="982" w:type="dxa"/>
          </w:tcPr>
          <w:p>
            <w:pPr>
              <w:pStyle w:val="TableParagraph"/>
              <w:rPr>
                <w:b/>
                <w:sz w:val="22"/>
              </w:rPr>
            </w:pPr>
          </w:p>
          <w:p>
            <w:pPr>
              <w:pStyle w:val="TableParagraph"/>
              <w:spacing w:before="1"/>
              <w:rPr>
                <w:b/>
                <w:sz w:val="20"/>
              </w:rPr>
            </w:pPr>
          </w:p>
          <w:p>
            <w:pPr>
              <w:pStyle w:val="TableParagraph"/>
              <w:ind w:left="8"/>
              <w:jc w:val="center"/>
              <w:rPr>
                <w:sz w:val="20"/>
              </w:rPr>
            </w:pPr>
            <w:r>
              <w:rPr>
                <w:w w:val="99"/>
                <w:sz w:val="20"/>
              </w:rPr>
              <w:t>1</w:t>
            </w:r>
          </w:p>
        </w:tc>
        <w:tc>
          <w:tcPr>
            <w:tcW w:w="1349" w:type="dxa"/>
          </w:tcPr>
          <w:p>
            <w:pPr>
              <w:pStyle w:val="TableParagraph"/>
              <w:rPr>
                <w:b/>
                <w:sz w:val="22"/>
              </w:rPr>
            </w:pPr>
          </w:p>
          <w:p>
            <w:pPr>
              <w:pStyle w:val="TableParagraph"/>
              <w:spacing w:before="1"/>
              <w:rPr>
                <w:b/>
                <w:sz w:val="20"/>
              </w:rPr>
            </w:pPr>
          </w:p>
          <w:p>
            <w:pPr>
              <w:pStyle w:val="TableParagraph"/>
              <w:ind w:left="340"/>
              <w:rPr>
                <w:sz w:val="20"/>
              </w:rPr>
            </w:pPr>
            <w:r>
              <w:rPr>
                <w:sz w:val="20"/>
              </w:rPr>
              <w:t>23/4/18</w:t>
            </w:r>
          </w:p>
        </w:tc>
        <w:tc>
          <w:tcPr>
            <w:tcW w:w="2737" w:type="dxa"/>
          </w:tcPr>
          <w:p>
            <w:pPr>
              <w:pStyle w:val="TableParagraph"/>
              <w:spacing w:line="276" w:lineRule="auto" w:before="86"/>
              <w:ind w:left="110" w:right="103" w:firstLine="1"/>
              <w:jc w:val="center"/>
              <w:rPr>
                <w:sz w:val="20"/>
              </w:rPr>
            </w:pPr>
            <w:r>
              <w:rPr>
                <w:sz w:val="20"/>
              </w:rPr>
              <w:t>Forward agenda to be sent to </w:t>
            </w:r>
            <w:r>
              <w:rPr>
                <w:spacing w:val="2"/>
                <w:sz w:val="20"/>
              </w:rPr>
              <w:t>TWG </w:t>
            </w:r>
            <w:r>
              <w:rPr>
                <w:sz w:val="20"/>
              </w:rPr>
              <w:t>members containing information </w:t>
            </w:r>
            <w:r>
              <w:rPr>
                <w:spacing w:val="-3"/>
                <w:sz w:val="20"/>
              </w:rPr>
              <w:t>about </w:t>
            </w:r>
            <w:r>
              <w:rPr>
                <w:sz w:val="20"/>
              </w:rPr>
              <w:t>future</w:t>
            </w:r>
            <w:r>
              <w:rPr>
                <w:spacing w:val="-2"/>
                <w:sz w:val="20"/>
              </w:rPr>
              <w:t> </w:t>
            </w:r>
            <w:r>
              <w:rPr>
                <w:sz w:val="20"/>
              </w:rPr>
              <w:t>engagement</w:t>
            </w:r>
          </w:p>
        </w:tc>
        <w:tc>
          <w:tcPr>
            <w:tcW w:w="1409" w:type="dxa"/>
          </w:tcPr>
          <w:p>
            <w:pPr>
              <w:pStyle w:val="TableParagraph"/>
              <w:spacing w:before="7"/>
              <w:rPr>
                <w:b/>
                <w:sz w:val="30"/>
              </w:rPr>
            </w:pPr>
          </w:p>
          <w:p>
            <w:pPr>
              <w:pStyle w:val="TableParagraph"/>
              <w:spacing w:line="276" w:lineRule="auto"/>
              <w:ind w:left="448" w:right="155" w:hanging="269"/>
              <w:rPr>
                <w:sz w:val="20"/>
              </w:rPr>
            </w:pPr>
            <w:r>
              <w:rPr>
                <w:sz w:val="20"/>
              </w:rPr>
              <w:t>Programme Team</w:t>
            </w:r>
          </w:p>
        </w:tc>
        <w:tc>
          <w:tcPr>
            <w:tcW w:w="1052" w:type="dxa"/>
          </w:tcPr>
          <w:p>
            <w:pPr>
              <w:pStyle w:val="TableParagraph"/>
              <w:rPr>
                <w:b/>
                <w:sz w:val="22"/>
              </w:rPr>
            </w:pPr>
          </w:p>
          <w:p>
            <w:pPr>
              <w:pStyle w:val="TableParagraph"/>
              <w:spacing w:before="1"/>
              <w:rPr>
                <w:b/>
                <w:sz w:val="20"/>
              </w:rPr>
            </w:pPr>
          </w:p>
          <w:p>
            <w:pPr>
              <w:pStyle w:val="TableParagraph"/>
              <w:ind w:left="196"/>
              <w:rPr>
                <w:sz w:val="20"/>
              </w:rPr>
            </w:pPr>
            <w:r>
              <w:rPr>
                <w:sz w:val="20"/>
              </w:rPr>
              <w:t>May 18</w:t>
            </w:r>
          </w:p>
        </w:tc>
        <w:tc>
          <w:tcPr>
            <w:tcW w:w="1075" w:type="dxa"/>
          </w:tcPr>
          <w:p>
            <w:pPr>
              <w:pStyle w:val="TableParagraph"/>
              <w:rPr>
                <w:b/>
                <w:sz w:val="22"/>
              </w:rPr>
            </w:pPr>
          </w:p>
          <w:p>
            <w:pPr>
              <w:pStyle w:val="TableParagraph"/>
              <w:spacing w:before="1"/>
              <w:rPr>
                <w:b/>
                <w:sz w:val="20"/>
              </w:rPr>
            </w:pPr>
          </w:p>
          <w:p>
            <w:pPr>
              <w:pStyle w:val="TableParagraph"/>
              <w:ind w:left="291"/>
              <w:rPr>
                <w:sz w:val="20"/>
              </w:rPr>
            </w:pPr>
            <w:r>
              <w:rPr>
                <w:sz w:val="20"/>
              </w:rPr>
              <w:t>Open</w:t>
            </w:r>
          </w:p>
        </w:tc>
        <w:tc>
          <w:tcPr>
            <w:tcW w:w="1627" w:type="dxa"/>
          </w:tcPr>
          <w:p>
            <w:pPr>
              <w:pStyle w:val="TableParagraph"/>
              <w:rPr>
                <w:rFonts w:ascii="Times New Roman"/>
                <w:sz w:val="18"/>
              </w:rPr>
            </w:pPr>
          </w:p>
        </w:tc>
      </w:tr>
    </w:tbl>
    <w:p>
      <w:pPr>
        <w:pStyle w:val="BodyText"/>
        <w:spacing w:before="1"/>
        <w:rPr>
          <w:b/>
          <w:sz w:val="25"/>
        </w:rPr>
      </w:pPr>
    </w:p>
    <w:p>
      <w:pPr>
        <w:pStyle w:val="Heading1"/>
        <w:spacing w:before="92"/>
      </w:pPr>
      <w:r>
        <w:rPr/>
        <w:t>Item 5: AOB</w:t>
      </w:r>
    </w:p>
    <w:p>
      <w:pPr>
        <w:pStyle w:val="ListParagraph"/>
        <w:numPr>
          <w:ilvl w:val="0"/>
          <w:numId w:val="1"/>
        </w:numPr>
        <w:tabs>
          <w:tab w:pos="659" w:val="left" w:leader="none"/>
          <w:tab w:pos="660" w:val="left" w:leader="none"/>
        </w:tabs>
        <w:spacing w:line="276" w:lineRule="auto" w:before="38" w:after="0"/>
        <w:ind w:left="660" w:right="771" w:hanging="360"/>
        <w:jc w:val="left"/>
        <w:rPr>
          <w:rFonts w:ascii="Symbol" w:hAnsi="Symbol"/>
          <w:color w:val="752863"/>
          <w:sz w:val="20"/>
        </w:rPr>
      </w:pPr>
      <w:r>
        <w:rPr>
          <w:sz w:val="20"/>
        </w:rPr>
        <w:t>After the meeting, Euroclear UK &amp; Ireland expressed interest in joining the Bank &amp; NPSO discussion on messaging networks and PKI, as this could extend the benefits even further. The Bank has agreed to include EUI in the</w:t>
      </w:r>
      <w:r>
        <w:rPr>
          <w:spacing w:val="-3"/>
          <w:sz w:val="20"/>
        </w:rPr>
        <w:t> </w:t>
      </w:r>
      <w:r>
        <w:rPr>
          <w:sz w:val="20"/>
        </w:rPr>
        <w:t>discussion</w:t>
      </w:r>
    </w:p>
    <w:sectPr>
      <w:headerReference w:type="default" r:id="rId7"/>
      <w:footerReference w:type="default" r:id="rId8"/>
      <w:pgSz w:w="11910" w:h="16840"/>
      <w:pgMar w:header="0" w:footer="707" w:top="220" w:bottom="900" w:left="420" w:right="0"/>
      <w:pgNumType w:start="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1.400024pt;margin-top:795.548523pt;width:11.05pt;height:12.1pt;mso-position-horizontal-relative:page;mso-position-vertical-relative:page;z-index:-25185894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1.400024pt;margin-top:795.548523pt;width:11.05pt;height:12.1pt;mso-position-horizontal-relative:page;mso-position-vertical-relative:page;z-index:-25185792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456512">
          <wp:simplePos x="0" y="0"/>
          <wp:positionH relativeFrom="page">
            <wp:posOffset>4213323</wp:posOffset>
          </wp:positionH>
          <wp:positionV relativeFrom="page">
            <wp:posOffset>156844</wp:posOffset>
          </wp:positionV>
          <wp:extent cx="3337461" cy="65722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3337461" cy="65722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60" w:hanging="360"/>
      </w:pPr>
      <w:rPr>
        <w:rFonts w:hint="default"/>
        <w:w w:val="99"/>
        <w:lang w:val="en-gb" w:eastAsia="en-gb" w:bidi="en-gb"/>
      </w:rPr>
    </w:lvl>
    <w:lvl w:ilvl="1">
      <w:start w:val="0"/>
      <w:numFmt w:val="bullet"/>
      <w:lvlText w:val="o"/>
      <w:lvlJc w:val="left"/>
      <w:pPr>
        <w:ind w:left="1380" w:hanging="360"/>
      </w:pPr>
      <w:rPr>
        <w:rFonts w:hint="default" w:ascii="Courier New" w:hAnsi="Courier New" w:eastAsia="Courier New" w:cs="Courier New"/>
        <w:w w:val="99"/>
        <w:sz w:val="20"/>
        <w:szCs w:val="20"/>
        <w:lang w:val="en-gb" w:eastAsia="en-gb" w:bidi="en-gb"/>
      </w:rPr>
    </w:lvl>
    <w:lvl w:ilvl="2">
      <w:start w:val="0"/>
      <w:numFmt w:val="bullet"/>
      <w:lvlText w:val="o"/>
      <w:lvlJc w:val="left"/>
      <w:pPr>
        <w:ind w:left="1020" w:hanging="360"/>
      </w:pPr>
      <w:rPr>
        <w:rFonts w:hint="default" w:ascii="Courier New" w:hAnsi="Courier New" w:eastAsia="Courier New" w:cs="Courier New"/>
        <w:w w:val="99"/>
        <w:sz w:val="20"/>
        <w:szCs w:val="20"/>
        <w:lang w:val="en-gb" w:eastAsia="en-gb" w:bidi="en-gb"/>
      </w:rPr>
    </w:lvl>
    <w:lvl w:ilvl="3">
      <w:start w:val="0"/>
      <w:numFmt w:val="bullet"/>
      <w:lvlText w:val="•"/>
      <w:lvlJc w:val="left"/>
      <w:pPr>
        <w:ind w:left="2643" w:hanging="360"/>
      </w:pPr>
      <w:rPr>
        <w:rFonts w:hint="default"/>
        <w:lang w:val="en-gb" w:eastAsia="en-gb" w:bidi="en-gb"/>
      </w:rPr>
    </w:lvl>
    <w:lvl w:ilvl="4">
      <w:start w:val="0"/>
      <w:numFmt w:val="bullet"/>
      <w:lvlText w:val="•"/>
      <w:lvlJc w:val="left"/>
      <w:pPr>
        <w:ind w:left="3906" w:hanging="360"/>
      </w:pPr>
      <w:rPr>
        <w:rFonts w:hint="default"/>
        <w:lang w:val="en-gb" w:eastAsia="en-gb" w:bidi="en-gb"/>
      </w:rPr>
    </w:lvl>
    <w:lvl w:ilvl="5">
      <w:start w:val="0"/>
      <w:numFmt w:val="bullet"/>
      <w:lvlText w:val="•"/>
      <w:lvlJc w:val="left"/>
      <w:pPr>
        <w:ind w:left="5169" w:hanging="360"/>
      </w:pPr>
      <w:rPr>
        <w:rFonts w:hint="default"/>
        <w:lang w:val="en-gb" w:eastAsia="en-gb" w:bidi="en-gb"/>
      </w:rPr>
    </w:lvl>
    <w:lvl w:ilvl="6">
      <w:start w:val="0"/>
      <w:numFmt w:val="bullet"/>
      <w:lvlText w:val="•"/>
      <w:lvlJc w:val="left"/>
      <w:pPr>
        <w:ind w:left="6433" w:hanging="360"/>
      </w:pPr>
      <w:rPr>
        <w:rFonts w:hint="default"/>
        <w:lang w:val="en-gb" w:eastAsia="en-gb" w:bidi="en-gb"/>
      </w:rPr>
    </w:lvl>
    <w:lvl w:ilvl="7">
      <w:start w:val="0"/>
      <w:numFmt w:val="bullet"/>
      <w:lvlText w:val="•"/>
      <w:lvlJc w:val="left"/>
      <w:pPr>
        <w:ind w:left="7696" w:hanging="360"/>
      </w:pPr>
      <w:rPr>
        <w:rFonts w:hint="default"/>
        <w:lang w:val="en-gb" w:eastAsia="en-gb" w:bidi="en-gb"/>
      </w:rPr>
    </w:lvl>
    <w:lvl w:ilvl="8">
      <w:start w:val="0"/>
      <w:numFmt w:val="bullet"/>
      <w:lvlText w:val="•"/>
      <w:lvlJc w:val="left"/>
      <w:pPr>
        <w:ind w:left="895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660"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 Transition Working Group - April 2018</dc:title>
  <dcterms:created xsi:type="dcterms:W3CDTF">2020-06-01T02:19:50Z</dcterms:created>
  <dcterms:modified xsi:type="dcterms:W3CDTF">2020-06-01T02:19:50Z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LastSaved">
    <vt:filetime>2020-06-01T00:00:00Z</vt:filetime>
  </property>
</Properties>
</file>