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56" w:lineRule="auto" w:before="77" w:after="41"/>
        <w:ind w:left="240" w:right="4325" w:firstLine="0"/>
        <w:jc w:val="left"/>
        <w:rPr>
          <w:b/>
          <w:sz w:val="22"/>
        </w:rPr>
      </w:pPr>
      <w:r>
        <w:rPr>
          <w:b/>
          <w:color w:val="5C2047"/>
          <w:sz w:val="22"/>
        </w:rPr>
        <w:t>RTGS Renewal Programme – External Advisory Body </w:t>
      </w:r>
      <w:r>
        <w:rPr>
          <w:b/>
          <w:color w:val="6B7D86"/>
          <w:sz w:val="22"/>
        </w:rPr>
        <w:t>Tuesday 9 April 2019</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5809"/>
      </w:tblGrid>
      <w:tr>
        <w:trPr>
          <w:trHeight w:val="3273" w:hRule="atLeast"/>
        </w:trPr>
        <w:tc>
          <w:tcPr>
            <w:tcW w:w="1162" w:type="dxa"/>
          </w:tcPr>
          <w:p>
            <w:pPr>
              <w:pStyle w:val="TableParagraph"/>
              <w:spacing w:line="203" w:lineRule="exact"/>
              <w:ind w:left="0" w:right="72"/>
              <w:jc w:val="right"/>
              <w:rPr>
                <w:sz w:val="20"/>
              </w:rPr>
            </w:pPr>
            <w:r>
              <w:rPr>
                <w:sz w:val="20"/>
              </w:rPr>
              <w:t>Attendees:</w:t>
            </w:r>
          </w:p>
        </w:tc>
        <w:tc>
          <w:tcPr>
            <w:tcW w:w="5809" w:type="dxa"/>
          </w:tcPr>
          <w:p>
            <w:pPr>
              <w:pStyle w:val="TableParagraph"/>
              <w:spacing w:line="202" w:lineRule="exact"/>
              <w:rPr>
                <w:b/>
                <w:sz w:val="20"/>
              </w:rPr>
            </w:pPr>
            <w:r>
              <w:rPr>
                <w:b/>
                <w:sz w:val="20"/>
              </w:rPr>
              <w:t>Bank of England</w:t>
            </w:r>
          </w:p>
          <w:p>
            <w:pPr>
              <w:pStyle w:val="TableParagraph"/>
              <w:spacing w:line="243" w:lineRule="exact"/>
              <w:rPr>
                <w:b/>
                <w:sz w:val="20"/>
              </w:rPr>
            </w:pPr>
            <w:r>
              <w:rPr>
                <w:b/>
                <w:sz w:val="20"/>
              </w:rPr>
              <w:t>Atom Bank</w:t>
            </w:r>
          </w:p>
          <w:p>
            <w:pPr>
              <w:pStyle w:val="TableParagraph"/>
              <w:ind w:right="3600"/>
              <w:rPr>
                <w:b/>
                <w:sz w:val="20"/>
              </w:rPr>
            </w:pPr>
            <w:r>
              <w:rPr>
                <w:b/>
                <w:sz w:val="20"/>
              </w:rPr>
              <w:t>Bank of New York Mellon Barclays</w:t>
            </w:r>
          </w:p>
          <w:p>
            <w:pPr>
              <w:pStyle w:val="TableParagraph"/>
              <w:spacing w:before="2"/>
              <w:ind w:right="5441"/>
              <w:rPr>
                <w:b/>
                <w:sz w:val="20"/>
              </w:rPr>
            </w:pPr>
            <w:r>
              <w:rPr>
                <w:b/>
                <w:sz w:val="20"/>
              </w:rPr>
              <w:t>Citi </w:t>
            </w:r>
            <w:r>
              <w:rPr>
                <w:b/>
                <w:w w:val="95"/>
                <w:sz w:val="20"/>
              </w:rPr>
              <w:t>EUI</w:t>
            </w:r>
          </w:p>
          <w:p>
            <w:pPr>
              <w:pStyle w:val="TableParagraph"/>
              <w:ind w:right="3915"/>
              <w:rPr>
                <w:b/>
                <w:sz w:val="20"/>
              </w:rPr>
            </w:pPr>
            <w:r>
              <w:rPr>
                <w:b/>
                <w:sz w:val="20"/>
              </w:rPr>
              <w:t>Lloyds Banking Group Pay.UK</w:t>
            </w:r>
          </w:p>
          <w:p>
            <w:pPr>
              <w:pStyle w:val="TableParagraph"/>
              <w:ind w:right="4336"/>
              <w:rPr>
                <w:b/>
                <w:sz w:val="20"/>
              </w:rPr>
            </w:pPr>
            <w:r>
              <w:rPr>
                <w:b/>
                <w:sz w:val="20"/>
              </w:rPr>
              <w:t>Paysafe </w:t>
            </w:r>
            <w:r>
              <w:rPr>
                <w:b/>
                <w:w w:val="95"/>
                <w:sz w:val="20"/>
              </w:rPr>
              <w:t>Worldpay</w:t>
            </w:r>
          </w:p>
          <w:p>
            <w:pPr>
              <w:pStyle w:val="TableParagraph"/>
              <w:spacing w:before="12"/>
              <w:ind w:left="0"/>
              <w:rPr>
                <w:b/>
                <w:sz w:val="19"/>
              </w:rPr>
            </w:pPr>
          </w:p>
          <w:p>
            <w:pPr>
              <w:pStyle w:val="TableParagraph"/>
              <w:rPr>
                <w:b/>
                <w:sz w:val="20"/>
              </w:rPr>
            </w:pPr>
            <w:r>
              <w:rPr>
                <w:b/>
                <w:sz w:val="20"/>
              </w:rPr>
              <w:t>Chair of CHAPS Strategic Advisory Forum &amp; Independent Challenge</w:t>
            </w:r>
          </w:p>
        </w:tc>
      </w:tr>
      <w:tr>
        <w:trPr>
          <w:trHeight w:val="588" w:hRule="atLeast"/>
        </w:trPr>
        <w:tc>
          <w:tcPr>
            <w:tcW w:w="1162" w:type="dxa"/>
          </w:tcPr>
          <w:p>
            <w:pPr>
              <w:pStyle w:val="TableParagraph"/>
              <w:spacing w:before="6"/>
              <w:ind w:left="0"/>
              <w:rPr>
                <w:b/>
                <w:sz w:val="28"/>
              </w:rPr>
            </w:pPr>
          </w:p>
          <w:p>
            <w:pPr>
              <w:pStyle w:val="TableParagraph"/>
              <w:spacing w:line="220" w:lineRule="exact"/>
              <w:ind w:left="0" w:right="112"/>
              <w:jc w:val="right"/>
              <w:rPr>
                <w:sz w:val="20"/>
              </w:rPr>
            </w:pPr>
            <w:r>
              <w:rPr>
                <w:w w:val="95"/>
                <w:sz w:val="20"/>
              </w:rPr>
              <w:t>Apologies:</w:t>
            </w:r>
          </w:p>
        </w:tc>
        <w:tc>
          <w:tcPr>
            <w:tcW w:w="5809" w:type="dxa"/>
          </w:tcPr>
          <w:p>
            <w:pPr>
              <w:pStyle w:val="TableParagraph"/>
              <w:spacing w:before="6"/>
              <w:ind w:left="0"/>
              <w:rPr>
                <w:b/>
                <w:sz w:val="28"/>
              </w:rPr>
            </w:pPr>
          </w:p>
          <w:p>
            <w:pPr>
              <w:pStyle w:val="TableParagraph"/>
              <w:spacing w:line="220" w:lineRule="exact"/>
              <w:rPr>
                <w:b/>
                <w:sz w:val="20"/>
              </w:rPr>
            </w:pPr>
            <w:r>
              <w:rPr>
                <w:b/>
                <w:sz w:val="20"/>
              </w:rPr>
              <w:t>PSR</w:t>
            </w:r>
          </w:p>
        </w:tc>
      </w:tr>
    </w:tbl>
    <w:p>
      <w:pPr>
        <w:pStyle w:val="BodyText"/>
        <w:rPr>
          <w:b/>
          <w:sz w:val="22"/>
        </w:rPr>
      </w:pPr>
    </w:p>
    <w:p>
      <w:pPr>
        <w:pStyle w:val="BodyText"/>
        <w:spacing w:before="3"/>
        <w:rPr>
          <w:b/>
          <w:sz w:val="18"/>
        </w:rPr>
      </w:pPr>
    </w:p>
    <w:p>
      <w:pPr>
        <w:pStyle w:val="Heading1"/>
      </w:pPr>
      <w:r>
        <w:rPr/>
        <w:t>Welcome and introductions</w:t>
      </w:r>
    </w:p>
    <w:p>
      <w:pPr>
        <w:pStyle w:val="BodyText"/>
        <w:spacing w:before="4"/>
        <w:rPr>
          <w:b/>
          <w:sz w:val="19"/>
        </w:rPr>
      </w:pPr>
    </w:p>
    <w:p>
      <w:pPr>
        <w:pStyle w:val="ListParagraph"/>
        <w:numPr>
          <w:ilvl w:val="0"/>
          <w:numId w:val="1"/>
        </w:numPr>
        <w:tabs>
          <w:tab w:pos="665" w:val="left" w:leader="none"/>
          <w:tab w:pos="666" w:val="left" w:leader="none"/>
        </w:tabs>
        <w:spacing w:line="240" w:lineRule="auto" w:before="0" w:after="0"/>
        <w:ind w:left="665" w:right="0" w:hanging="426"/>
        <w:jc w:val="left"/>
        <w:rPr>
          <w:sz w:val="20"/>
        </w:rPr>
      </w:pPr>
      <w:r>
        <w:rPr>
          <w:sz w:val="20"/>
        </w:rPr>
        <w:t>The Chair welcomed EAB members to the</w:t>
      </w:r>
      <w:r>
        <w:rPr>
          <w:spacing w:val="2"/>
          <w:sz w:val="20"/>
        </w:rPr>
        <w:t> </w:t>
      </w:r>
      <w:r>
        <w:rPr>
          <w:sz w:val="20"/>
        </w:rPr>
        <w:t>meeting.</w:t>
      </w:r>
    </w:p>
    <w:p>
      <w:pPr>
        <w:pStyle w:val="BodyText"/>
        <w:rPr>
          <w:sz w:val="26"/>
        </w:rPr>
      </w:pPr>
    </w:p>
    <w:p>
      <w:pPr>
        <w:pStyle w:val="ListParagraph"/>
        <w:numPr>
          <w:ilvl w:val="0"/>
          <w:numId w:val="1"/>
        </w:numPr>
        <w:tabs>
          <w:tab w:pos="665" w:val="left" w:leader="none"/>
          <w:tab w:pos="666" w:val="left" w:leader="none"/>
        </w:tabs>
        <w:spacing w:line="240" w:lineRule="auto" w:before="0" w:after="0"/>
        <w:ind w:left="665" w:right="0" w:hanging="426"/>
        <w:jc w:val="left"/>
        <w:rPr>
          <w:sz w:val="20"/>
        </w:rPr>
      </w:pPr>
      <w:r>
        <w:rPr>
          <w:sz w:val="20"/>
        </w:rPr>
        <w:t>The Chair introduced the Bank’s new Programme Transition</w:t>
      </w:r>
      <w:r>
        <w:rPr>
          <w:spacing w:val="-3"/>
          <w:sz w:val="20"/>
        </w:rPr>
        <w:t> </w:t>
      </w:r>
      <w:r>
        <w:rPr>
          <w:sz w:val="20"/>
        </w:rPr>
        <w:t>Lead.</w:t>
      </w:r>
    </w:p>
    <w:p>
      <w:pPr>
        <w:pStyle w:val="BodyText"/>
        <w:rPr>
          <w:sz w:val="26"/>
        </w:rPr>
      </w:pPr>
    </w:p>
    <w:p>
      <w:pPr>
        <w:pStyle w:val="ListParagraph"/>
        <w:numPr>
          <w:ilvl w:val="0"/>
          <w:numId w:val="1"/>
        </w:numPr>
        <w:tabs>
          <w:tab w:pos="665" w:val="left" w:leader="none"/>
          <w:tab w:pos="666" w:val="left" w:leader="none"/>
        </w:tabs>
        <w:spacing w:line="276" w:lineRule="auto" w:before="0" w:after="0"/>
        <w:ind w:left="665" w:right="157" w:hanging="425"/>
        <w:jc w:val="left"/>
        <w:rPr>
          <w:sz w:val="20"/>
        </w:rPr>
      </w:pPr>
      <w:r>
        <w:rPr>
          <w:sz w:val="20"/>
        </w:rPr>
        <w:t>The</w:t>
      </w:r>
      <w:r>
        <w:rPr>
          <w:spacing w:val="-4"/>
          <w:sz w:val="20"/>
        </w:rPr>
        <w:t> </w:t>
      </w:r>
      <w:r>
        <w:rPr>
          <w:sz w:val="20"/>
        </w:rPr>
        <w:t>Chair</w:t>
      </w:r>
      <w:r>
        <w:rPr>
          <w:spacing w:val="-2"/>
          <w:sz w:val="20"/>
        </w:rPr>
        <w:t> </w:t>
      </w:r>
      <w:r>
        <w:rPr>
          <w:sz w:val="20"/>
        </w:rPr>
        <w:t>noted</w:t>
      </w:r>
      <w:r>
        <w:rPr>
          <w:spacing w:val="-2"/>
          <w:sz w:val="20"/>
        </w:rPr>
        <w:t> </w:t>
      </w:r>
      <w:r>
        <w:rPr>
          <w:sz w:val="20"/>
        </w:rPr>
        <w:t>that</w:t>
      </w:r>
      <w:r>
        <w:rPr>
          <w:spacing w:val="-3"/>
          <w:sz w:val="20"/>
        </w:rPr>
        <w:t> </w:t>
      </w:r>
      <w:r>
        <w:rPr>
          <w:sz w:val="20"/>
        </w:rPr>
        <w:t>the</w:t>
      </w:r>
      <w:r>
        <w:rPr>
          <w:spacing w:val="-3"/>
          <w:sz w:val="20"/>
        </w:rPr>
        <w:t> </w:t>
      </w:r>
      <w:r>
        <w:rPr>
          <w:sz w:val="20"/>
        </w:rPr>
        <w:t>EUI</w:t>
      </w:r>
      <w:r>
        <w:rPr>
          <w:spacing w:val="-2"/>
          <w:sz w:val="20"/>
        </w:rPr>
        <w:t> </w:t>
      </w:r>
      <w:r>
        <w:rPr>
          <w:sz w:val="20"/>
        </w:rPr>
        <w:t>representative</w:t>
      </w:r>
      <w:r>
        <w:rPr>
          <w:spacing w:val="-3"/>
          <w:sz w:val="20"/>
        </w:rPr>
        <w:t> </w:t>
      </w:r>
      <w:r>
        <w:rPr>
          <w:sz w:val="20"/>
        </w:rPr>
        <w:t>would</w:t>
      </w:r>
      <w:r>
        <w:rPr>
          <w:spacing w:val="-3"/>
          <w:sz w:val="20"/>
        </w:rPr>
        <w:t> </w:t>
      </w:r>
      <w:r>
        <w:rPr>
          <w:sz w:val="20"/>
        </w:rPr>
        <w:t>be</w:t>
      </w:r>
      <w:r>
        <w:rPr>
          <w:spacing w:val="-3"/>
          <w:sz w:val="20"/>
        </w:rPr>
        <w:t> </w:t>
      </w:r>
      <w:r>
        <w:rPr>
          <w:sz w:val="20"/>
        </w:rPr>
        <w:t>retiring</w:t>
      </w:r>
      <w:r>
        <w:rPr>
          <w:spacing w:val="-3"/>
          <w:sz w:val="20"/>
        </w:rPr>
        <w:t> </w:t>
      </w:r>
      <w:r>
        <w:rPr>
          <w:sz w:val="20"/>
        </w:rPr>
        <w:t>in</w:t>
      </w:r>
      <w:r>
        <w:rPr>
          <w:spacing w:val="-2"/>
          <w:sz w:val="20"/>
        </w:rPr>
        <w:t> </w:t>
      </w:r>
      <w:r>
        <w:rPr>
          <w:sz w:val="20"/>
        </w:rPr>
        <w:t>the</w:t>
      </w:r>
      <w:r>
        <w:rPr>
          <w:spacing w:val="-4"/>
          <w:sz w:val="20"/>
        </w:rPr>
        <w:t> </w:t>
      </w:r>
      <w:r>
        <w:rPr>
          <w:sz w:val="20"/>
        </w:rPr>
        <w:t>summer</w:t>
      </w:r>
      <w:r>
        <w:rPr>
          <w:spacing w:val="-2"/>
          <w:sz w:val="20"/>
        </w:rPr>
        <w:t> </w:t>
      </w:r>
      <w:r>
        <w:rPr>
          <w:sz w:val="20"/>
        </w:rPr>
        <w:t>and</w:t>
      </w:r>
      <w:r>
        <w:rPr>
          <w:spacing w:val="-2"/>
          <w:sz w:val="20"/>
        </w:rPr>
        <w:t> </w:t>
      </w:r>
      <w:r>
        <w:rPr>
          <w:sz w:val="20"/>
        </w:rPr>
        <w:t>a</w:t>
      </w:r>
      <w:r>
        <w:rPr>
          <w:spacing w:val="-2"/>
          <w:sz w:val="20"/>
        </w:rPr>
        <w:t> </w:t>
      </w:r>
      <w:r>
        <w:rPr>
          <w:sz w:val="20"/>
        </w:rPr>
        <w:t>replacement</w:t>
      </w:r>
      <w:r>
        <w:rPr>
          <w:spacing w:val="-3"/>
          <w:sz w:val="20"/>
        </w:rPr>
        <w:t> </w:t>
      </w:r>
      <w:r>
        <w:rPr>
          <w:sz w:val="20"/>
        </w:rPr>
        <w:t>member would be considered. Apologies had been received from the</w:t>
      </w:r>
      <w:r>
        <w:rPr>
          <w:spacing w:val="-8"/>
          <w:sz w:val="20"/>
        </w:rPr>
        <w:t> </w:t>
      </w:r>
      <w:r>
        <w:rPr>
          <w:sz w:val="20"/>
        </w:rPr>
        <w:t>PSR.</w:t>
      </w:r>
    </w:p>
    <w:p>
      <w:pPr>
        <w:pStyle w:val="BodyText"/>
        <w:spacing w:before="1"/>
        <w:rPr>
          <w:sz w:val="23"/>
        </w:rPr>
      </w:pPr>
    </w:p>
    <w:p>
      <w:pPr>
        <w:pStyle w:val="ListParagraph"/>
        <w:numPr>
          <w:ilvl w:val="0"/>
          <w:numId w:val="1"/>
        </w:numPr>
        <w:tabs>
          <w:tab w:pos="665" w:val="left" w:leader="none"/>
          <w:tab w:pos="666" w:val="left" w:leader="none"/>
        </w:tabs>
        <w:spacing w:line="276" w:lineRule="auto" w:before="0" w:after="0"/>
        <w:ind w:left="665" w:right="651" w:hanging="425"/>
        <w:jc w:val="left"/>
        <w:rPr>
          <w:sz w:val="20"/>
        </w:rPr>
      </w:pPr>
      <w:r>
        <w:rPr>
          <w:sz w:val="20"/>
        </w:rPr>
        <w:t>The Chair asked if there was any potential conflict of interest. No members declared any conflict of interest.</w:t>
      </w:r>
    </w:p>
    <w:p>
      <w:pPr>
        <w:pStyle w:val="BodyText"/>
        <w:rPr>
          <w:sz w:val="23"/>
        </w:rPr>
      </w:pPr>
    </w:p>
    <w:p>
      <w:pPr>
        <w:pStyle w:val="ListParagraph"/>
        <w:numPr>
          <w:ilvl w:val="0"/>
          <w:numId w:val="1"/>
        </w:numPr>
        <w:tabs>
          <w:tab w:pos="665" w:val="left" w:leader="none"/>
          <w:tab w:pos="666" w:val="left" w:leader="none"/>
        </w:tabs>
        <w:spacing w:line="240" w:lineRule="auto" w:before="0" w:after="0"/>
        <w:ind w:left="665" w:right="0" w:hanging="426"/>
        <w:jc w:val="left"/>
        <w:rPr>
          <w:sz w:val="20"/>
        </w:rPr>
      </w:pPr>
      <w:r>
        <w:rPr>
          <w:sz w:val="20"/>
        </w:rPr>
        <w:t>The record of the previous meeting had been agreed and published on the Bank’s</w:t>
      </w:r>
      <w:r>
        <w:rPr>
          <w:spacing w:val="-16"/>
          <w:sz w:val="20"/>
        </w:rPr>
        <w:t> </w:t>
      </w:r>
      <w:r>
        <w:rPr>
          <w:sz w:val="20"/>
        </w:rPr>
        <w:t>website.</w:t>
      </w:r>
    </w:p>
    <w:p>
      <w:pPr>
        <w:pStyle w:val="BodyText"/>
        <w:spacing w:before="6"/>
        <w:rPr>
          <w:sz w:val="19"/>
        </w:rPr>
      </w:pPr>
    </w:p>
    <w:p>
      <w:pPr>
        <w:pStyle w:val="Heading1"/>
      </w:pPr>
      <w:r>
        <w:rPr/>
        <w:t>Item 1: Review of actions from previous meetings</w:t>
      </w:r>
    </w:p>
    <w:p>
      <w:pPr>
        <w:pStyle w:val="BodyText"/>
        <w:spacing w:before="4"/>
        <w:rPr>
          <w:b/>
          <w:sz w:val="19"/>
        </w:rPr>
      </w:pPr>
    </w:p>
    <w:p>
      <w:pPr>
        <w:pStyle w:val="ListParagraph"/>
        <w:numPr>
          <w:ilvl w:val="0"/>
          <w:numId w:val="1"/>
        </w:numPr>
        <w:tabs>
          <w:tab w:pos="667" w:val="left" w:leader="none"/>
          <w:tab w:pos="668" w:val="left" w:leader="none"/>
        </w:tabs>
        <w:spacing w:line="240" w:lineRule="auto" w:before="0" w:after="0"/>
        <w:ind w:left="667" w:right="0" w:hanging="428"/>
        <w:jc w:val="left"/>
        <w:rPr>
          <w:sz w:val="20"/>
        </w:rPr>
      </w:pPr>
      <w:r>
        <w:rPr>
          <w:sz w:val="20"/>
        </w:rPr>
        <w:t>There were no open actions to be</w:t>
      </w:r>
      <w:r>
        <w:rPr>
          <w:spacing w:val="-4"/>
          <w:sz w:val="20"/>
        </w:rPr>
        <w:t> </w:t>
      </w:r>
      <w:r>
        <w:rPr>
          <w:sz w:val="20"/>
        </w:rPr>
        <w:t>discussed.</w:t>
      </w:r>
    </w:p>
    <w:p>
      <w:pPr>
        <w:pStyle w:val="BodyText"/>
        <w:spacing w:before="4"/>
        <w:rPr>
          <w:sz w:val="19"/>
        </w:rPr>
      </w:pPr>
    </w:p>
    <w:p>
      <w:pPr>
        <w:pStyle w:val="Heading1"/>
      </w:pPr>
      <w:r>
        <w:rPr/>
        <w:t>Item 2: RTGS Renewal Programme Update</w:t>
      </w:r>
    </w:p>
    <w:p>
      <w:pPr>
        <w:pStyle w:val="BodyText"/>
        <w:spacing w:before="6"/>
        <w:rPr>
          <w:b/>
          <w:sz w:val="19"/>
        </w:rPr>
      </w:pPr>
    </w:p>
    <w:p>
      <w:pPr>
        <w:pStyle w:val="ListParagraph"/>
        <w:numPr>
          <w:ilvl w:val="0"/>
          <w:numId w:val="1"/>
        </w:numPr>
        <w:tabs>
          <w:tab w:pos="667" w:val="left" w:leader="none"/>
          <w:tab w:pos="668" w:val="left" w:leader="none"/>
        </w:tabs>
        <w:spacing w:line="276" w:lineRule="auto" w:before="0" w:after="0"/>
        <w:ind w:left="667" w:right="128" w:hanging="428"/>
        <w:jc w:val="left"/>
        <w:rPr>
          <w:sz w:val="20"/>
        </w:rPr>
      </w:pPr>
      <w:r>
        <w:rPr>
          <w:sz w:val="20"/>
        </w:rPr>
        <w:t>An update on the Programme was provided. The Programme was in the ‘Design, Enable and Procure’ phase and was on track against the published plan. An update was provided on the two core elements of this phase: Procurement and Transition State One /</w:t>
      </w:r>
      <w:r>
        <w:rPr>
          <w:spacing w:val="-4"/>
          <w:sz w:val="20"/>
        </w:rPr>
        <w:t> </w:t>
      </w:r>
      <w:r>
        <w:rPr>
          <w:sz w:val="20"/>
        </w:rPr>
        <w:t>Enablers.</w:t>
      </w:r>
    </w:p>
    <w:p>
      <w:pPr>
        <w:pStyle w:val="BodyText"/>
        <w:spacing w:before="11"/>
        <w:rPr>
          <w:sz w:val="22"/>
        </w:rPr>
      </w:pPr>
    </w:p>
    <w:p>
      <w:pPr>
        <w:pStyle w:val="ListParagraph"/>
        <w:numPr>
          <w:ilvl w:val="0"/>
          <w:numId w:val="1"/>
        </w:numPr>
        <w:tabs>
          <w:tab w:pos="667" w:val="left" w:leader="none"/>
          <w:tab w:pos="668" w:val="left" w:leader="none"/>
        </w:tabs>
        <w:spacing w:line="276" w:lineRule="auto" w:before="0" w:after="0"/>
        <w:ind w:left="667" w:right="188" w:hanging="428"/>
        <w:jc w:val="left"/>
        <w:rPr>
          <w:sz w:val="20"/>
        </w:rPr>
      </w:pPr>
      <w:r>
        <w:rPr>
          <w:b/>
          <w:sz w:val="20"/>
        </w:rPr>
        <w:t>Procurement</w:t>
      </w:r>
      <w:r>
        <w:rPr>
          <w:sz w:val="20"/>
        </w:rPr>
        <w:t>: the first stage of the procurement process to contract with a Technology Delivery Partner started in February 2019 when the Bank published an Official Journal of the European Union (OJEU) notice for expressions of interest. Bids have now been received and are under assessment. The Bank is satisfied with the number of bids received. The next formal stage of the procurement process</w:t>
      </w:r>
      <w:r>
        <w:rPr>
          <w:spacing w:val="-25"/>
          <w:sz w:val="20"/>
        </w:rPr>
        <w:t> </w:t>
      </w:r>
      <w:r>
        <w:rPr>
          <w:sz w:val="20"/>
        </w:rPr>
        <w:t>is</w:t>
      </w:r>
    </w:p>
    <w:p>
      <w:pPr>
        <w:pStyle w:val="BodyText"/>
        <w:spacing w:line="276" w:lineRule="auto"/>
        <w:ind w:left="667" w:right="131"/>
      </w:pPr>
      <w:r>
        <w:rPr/>
        <w:t>‘Invitation to Participate’, scheduled for June, at which point the Bank will provide descriptions of the new RTGS service to shortlisted bidders. The successful bidder is expected to be appointed by May 2020.</w:t>
      </w:r>
    </w:p>
    <w:p>
      <w:pPr>
        <w:pStyle w:val="BodyText"/>
        <w:rPr>
          <w:sz w:val="23"/>
        </w:rPr>
      </w:pPr>
    </w:p>
    <w:p>
      <w:pPr>
        <w:pStyle w:val="ListParagraph"/>
        <w:numPr>
          <w:ilvl w:val="0"/>
          <w:numId w:val="1"/>
        </w:numPr>
        <w:tabs>
          <w:tab w:pos="667" w:val="left" w:leader="none"/>
          <w:tab w:pos="668" w:val="left" w:leader="none"/>
        </w:tabs>
        <w:spacing w:line="276" w:lineRule="auto" w:before="0" w:after="0"/>
        <w:ind w:left="667" w:right="161" w:hanging="428"/>
        <w:jc w:val="left"/>
        <w:rPr>
          <w:sz w:val="20"/>
        </w:rPr>
      </w:pPr>
      <w:r>
        <w:rPr>
          <w:sz w:val="20"/>
        </w:rPr>
        <w:t>As part of developing requirements to share with bidders, the Bank recently held workshops on APIs and Synchronisation. Both workshops were attended by a diverse range of firms and provided valuable</w:t>
      </w:r>
      <w:r>
        <w:rPr>
          <w:spacing w:val="7"/>
          <w:sz w:val="20"/>
        </w:rPr>
        <w:t> </w:t>
      </w:r>
      <w:r>
        <w:rPr>
          <w:sz w:val="20"/>
        </w:rPr>
        <w:t>input</w:t>
      </w:r>
    </w:p>
    <w:p>
      <w:pPr>
        <w:spacing w:after="0" w:line="276" w:lineRule="auto"/>
        <w:jc w:val="left"/>
        <w:rPr>
          <w:sz w:val="20"/>
        </w:rPr>
        <w:sectPr>
          <w:headerReference w:type="default" r:id="rId5"/>
          <w:footerReference w:type="default" r:id="rId6"/>
          <w:type w:val="continuous"/>
          <w:pgSz w:w="11910" w:h="16840"/>
          <w:pgMar w:header="497" w:footer="859" w:top="1360" w:bottom="1040" w:left="1200" w:right="1360"/>
          <w:pgNumType w:start="1"/>
        </w:sectPr>
      </w:pPr>
    </w:p>
    <w:p>
      <w:pPr>
        <w:pStyle w:val="BodyText"/>
        <w:spacing w:line="276" w:lineRule="auto" w:before="80"/>
        <w:ind w:left="667" w:right="102"/>
      </w:pPr>
      <w:r>
        <w:rPr/>
        <w:t>to inform the Bank’s approach – a full summary of the workshops will be published on the Bank’s website in the summer. There was a discussion about the importance of balancing the ‘openness’ of APIs with security risk. The Bank agreed, stating that security considerations were paramount in our approach, and clarified that it was considering APIs between the Bank and Direct Participants, rather than bilaterally between Direct Participants. It was suggested that the Bank engage with Open Banking to further understand their approach.</w:t>
      </w:r>
    </w:p>
    <w:p>
      <w:pPr>
        <w:pStyle w:val="BodyText"/>
        <w:rPr>
          <w:sz w:val="23"/>
        </w:rPr>
      </w:pPr>
    </w:p>
    <w:p>
      <w:pPr>
        <w:pStyle w:val="ListParagraph"/>
        <w:numPr>
          <w:ilvl w:val="0"/>
          <w:numId w:val="1"/>
        </w:numPr>
        <w:tabs>
          <w:tab w:pos="668" w:val="left" w:leader="none"/>
        </w:tabs>
        <w:spacing w:line="276" w:lineRule="auto" w:before="0" w:after="0"/>
        <w:ind w:left="667" w:right="136" w:hanging="428"/>
        <w:jc w:val="left"/>
        <w:rPr>
          <w:sz w:val="20"/>
        </w:rPr>
      </w:pPr>
      <w:r>
        <w:rPr>
          <w:b/>
          <w:sz w:val="20"/>
        </w:rPr>
        <w:t>Transition State One / Enablers: </w:t>
      </w:r>
      <w:r>
        <w:rPr>
          <w:sz w:val="20"/>
        </w:rPr>
        <w:t>will initiate projects which enable early delivery of benefits for either the Bank or Direct Participants or deliver foundational change to facilitate later delivery stages. With the exception of in-flight change (the timelines for which are being communicated via normal BAU channels), the Bank is not expecting this phase to result in any technical change for Direct Participants. There may be some limited process change and the Bank is committed to providing sufficient notice for</w:t>
      </w:r>
      <w:r>
        <w:rPr>
          <w:spacing w:val="-23"/>
          <w:sz w:val="20"/>
        </w:rPr>
        <w:t> </w:t>
      </w:r>
      <w:r>
        <w:rPr>
          <w:sz w:val="20"/>
        </w:rPr>
        <w:t>this.</w:t>
      </w:r>
    </w:p>
    <w:p>
      <w:pPr>
        <w:pStyle w:val="BodyText"/>
        <w:spacing w:before="4"/>
        <w:rPr>
          <w:sz w:val="16"/>
        </w:rPr>
      </w:pPr>
    </w:p>
    <w:p>
      <w:pPr>
        <w:pStyle w:val="Heading1"/>
      </w:pPr>
      <w:r>
        <w:rPr/>
        <w:t>Item 3: Pay.UK update</w:t>
      </w:r>
    </w:p>
    <w:p>
      <w:pPr>
        <w:pStyle w:val="BodyText"/>
        <w:spacing w:before="5"/>
        <w:rPr>
          <w:b/>
          <w:sz w:val="19"/>
        </w:rPr>
      </w:pPr>
    </w:p>
    <w:p>
      <w:pPr>
        <w:pStyle w:val="ListParagraph"/>
        <w:numPr>
          <w:ilvl w:val="0"/>
          <w:numId w:val="1"/>
        </w:numPr>
        <w:tabs>
          <w:tab w:pos="668" w:val="left" w:leader="none"/>
        </w:tabs>
        <w:spacing w:line="276" w:lineRule="auto" w:before="0" w:after="0"/>
        <w:ind w:left="667" w:right="104" w:hanging="360"/>
        <w:jc w:val="left"/>
        <w:rPr>
          <w:sz w:val="20"/>
        </w:rPr>
      </w:pPr>
      <w:r>
        <w:rPr>
          <w:sz w:val="20"/>
        </w:rPr>
        <w:t>Pay.UK provided an update on the New Payments Architecture (NPA) Programme. The first stage of the procurement process was complete with bidders shortlisted. The next stage of procurement ‘Request for Information’ was due to start at the end of April. Transition options for both FPS and Bacs migrations were in</w:t>
      </w:r>
      <w:r>
        <w:rPr>
          <w:spacing w:val="-1"/>
          <w:sz w:val="20"/>
        </w:rPr>
        <w:t> </w:t>
      </w:r>
      <w:r>
        <w:rPr>
          <w:sz w:val="20"/>
        </w:rPr>
        <w:t>development.</w:t>
      </w:r>
    </w:p>
    <w:p>
      <w:pPr>
        <w:pStyle w:val="BodyText"/>
        <w:rPr>
          <w:sz w:val="23"/>
        </w:rPr>
      </w:pPr>
    </w:p>
    <w:p>
      <w:pPr>
        <w:pStyle w:val="ListParagraph"/>
        <w:numPr>
          <w:ilvl w:val="0"/>
          <w:numId w:val="1"/>
        </w:numPr>
        <w:tabs>
          <w:tab w:pos="668" w:val="left" w:leader="none"/>
        </w:tabs>
        <w:spacing w:line="276" w:lineRule="auto" w:before="0" w:after="0"/>
        <w:ind w:left="667" w:right="680" w:hanging="360"/>
        <w:jc w:val="left"/>
        <w:rPr>
          <w:sz w:val="20"/>
        </w:rPr>
      </w:pPr>
      <w:r>
        <w:rPr>
          <w:sz w:val="20"/>
        </w:rPr>
        <w:t>It was noted that both the RTGS Renewal and NPA Programmes will impact many of the same stakeholders. Both the Bank and Pay.UK noted the value and importance of ongoing collaboration between</w:t>
      </w:r>
      <w:r>
        <w:rPr>
          <w:spacing w:val="-1"/>
          <w:sz w:val="20"/>
        </w:rPr>
        <w:t> </w:t>
      </w:r>
      <w:r>
        <w:rPr>
          <w:sz w:val="20"/>
        </w:rPr>
        <w:t>teams.</w:t>
      </w:r>
    </w:p>
    <w:p>
      <w:pPr>
        <w:pStyle w:val="BodyText"/>
        <w:spacing w:before="6"/>
        <w:rPr>
          <w:sz w:val="16"/>
        </w:rPr>
      </w:pPr>
    </w:p>
    <w:p>
      <w:pPr>
        <w:pStyle w:val="Heading1"/>
      </w:pPr>
      <w:r>
        <w:rPr/>
        <w:t>Item 4: Approach to monitoring and assuring participant readiness</w:t>
      </w:r>
    </w:p>
    <w:p>
      <w:pPr>
        <w:pStyle w:val="BodyText"/>
        <w:spacing w:before="4"/>
        <w:rPr>
          <w:b/>
          <w:sz w:val="19"/>
        </w:rPr>
      </w:pPr>
    </w:p>
    <w:p>
      <w:pPr>
        <w:pStyle w:val="ListParagraph"/>
        <w:numPr>
          <w:ilvl w:val="0"/>
          <w:numId w:val="1"/>
        </w:numPr>
        <w:tabs>
          <w:tab w:pos="668" w:val="left" w:leader="none"/>
        </w:tabs>
        <w:spacing w:line="276" w:lineRule="auto" w:before="0" w:after="0"/>
        <w:ind w:left="667" w:right="288" w:hanging="360"/>
        <w:jc w:val="left"/>
        <w:rPr>
          <w:sz w:val="20"/>
        </w:rPr>
      </w:pPr>
      <w:r>
        <w:rPr>
          <w:sz w:val="20"/>
        </w:rPr>
        <w:t>In September 2018, the Bank sought EAB’s views on the approach to transitioning to the new RTGS service. The Bank was now seeking more detailed input from EAB, specifically on the level of assurance and monitoring the Bank should complete on readiness of external parties. The Bank noted that as CHAPS PSO, it has an obligation to ensure the readiness process for Direct Participants is fit for purpose and does not introduce risk into the CHAPS</w:t>
      </w:r>
      <w:r>
        <w:rPr>
          <w:spacing w:val="-4"/>
          <w:sz w:val="20"/>
        </w:rPr>
        <w:t> </w:t>
      </w:r>
      <w:r>
        <w:rPr>
          <w:sz w:val="20"/>
        </w:rPr>
        <w:t>system.</w:t>
      </w:r>
    </w:p>
    <w:p>
      <w:pPr>
        <w:pStyle w:val="BodyText"/>
        <w:spacing w:before="1"/>
        <w:rPr>
          <w:sz w:val="23"/>
        </w:rPr>
      </w:pPr>
    </w:p>
    <w:p>
      <w:pPr>
        <w:pStyle w:val="ListParagraph"/>
        <w:numPr>
          <w:ilvl w:val="0"/>
          <w:numId w:val="1"/>
        </w:numPr>
        <w:tabs>
          <w:tab w:pos="668" w:val="left" w:leader="none"/>
        </w:tabs>
        <w:spacing w:line="240" w:lineRule="auto" w:before="0" w:after="0"/>
        <w:ind w:left="667" w:right="0" w:hanging="361"/>
        <w:jc w:val="left"/>
        <w:rPr>
          <w:sz w:val="20"/>
        </w:rPr>
      </w:pPr>
      <w:r>
        <w:rPr>
          <w:sz w:val="20"/>
        </w:rPr>
        <w:t>There was a wide ranging discussion on this topic, key points made by EAB</w:t>
      </w:r>
      <w:r>
        <w:rPr>
          <w:spacing w:val="-12"/>
          <w:sz w:val="20"/>
        </w:rPr>
        <w:t> </w:t>
      </w:r>
      <w:r>
        <w:rPr>
          <w:sz w:val="20"/>
        </w:rPr>
        <w:t>included:</w:t>
      </w:r>
    </w:p>
    <w:p>
      <w:pPr>
        <w:pStyle w:val="BodyText"/>
        <w:spacing w:before="4"/>
        <w:rPr>
          <w:sz w:val="19"/>
        </w:rPr>
      </w:pPr>
    </w:p>
    <w:p>
      <w:pPr>
        <w:pStyle w:val="ListParagraph"/>
        <w:numPr>
          <w:ilvl w:val="1"/>
          <w:numId w:val="1"/>
        </w:numPr>
        <w:tabs>
          <w:tab w:pos="960" w:val="left" w:leader="none"/>
          <w:tab w:pos="961" w:val="left" w:leader="none"/>
        </w:tabs>
        <w:spacing w:line="240" w:lineRule="auto" w:before="0" w:after="0"/>
        <w:ind w:left="960" w:right="0" w:hanging="361"/>
        <w:jc w:val="left"/>
        <w:rPr>
          <w:sz w:val="20"/>
        </w:rPr>
      </w:pPr>
      <w:r>
        <w:rPr>
          <w:sz w:val="20"/>
        </w:rPr>
        <w:t>Some delivery events will require all CHAPS Direct Participants, and a wider range of firms, to</w:t>
      </w:r>
      <w:r>
        <w:rPr>
          <w:spacing w:val="-21"/>
          <w:sz w:val="20"/>
        </w:rPr>
        <w:t> </w:t>
      </w:r>
      <w:r>
        <w:rPr>
          <w:sz w:val="20"/>
        </w:rPr>
        <w:t>be</w:t>
      </w:r>
    </w:p>
    <w:p>
      <w:pPr>
        <w:pStyle w:val="BodyText"/>
        <w:spacing w:line="276" w:lineRule="auto" w:before="37"/>
        <w:ind w:left="960" w:right="153"/>
      </w:pPr>
      <w:r>
        <w:rPr/>
        <w:t>“ready” at the same time. If a problem arose during a delivery event, this has the potential to impact the financial system. Given this, there was a strong view that the Bank should take an active approach to assessing readiness and that this would be helpful and welcomed. This was particularly driven by: recent experiences of ICS migration; the breadth of firms that </w:t>
      </w:r>
      <w:r>
        <w:rPr>
          <w:spacing w:val="2"/>
        </w:rPr>
        <w:t>are </w:t>
      </w:r>
      <w:r>
        <w:rPr/>
        <w:t>now CHAPS Direct Participants</w:t>
      </w:r>
      <w:r>
        <w:rPr>
          <w:spacing w:val="-3"/>
        </w:rPr>
        <w:t> </w:t>
      </w:r>
      <w:r>
        <w:rPr/>
        <w:t>and</w:t>
      </w:r>
      <w:r>
        <w:rPr>
          <w:spacing w:val="-2"/>
        </w:rPr>
        <w:t> </w:t>
      </w:r>
      <w:r>
        <w:rPr/>
        <w:t>that</w:t>
      </w:r>
      <w:r>
        <w:rPr>
          <w:spacing w:val="-2"/>
        </w:rPr>
        <w:t> </w:t>
      </w:r>
      <w:r>
        <w:rPr/>
        <w:t>it</w:t>
      </w:r>
      <w:r>
        <w:rPr>
          <w:spacing w:val="-1"/>
        </w:rPr>
        <w:t> </w:t>
      </w:r>
      <w:r>
        <w:rPr/>
        <w:t>would</w:t>
      </w:r>
      <w:r>
        <w:rPr>
          <w:spacing w:val="-4"/>
        </w:rPr>
        <w:t> </w:t>
      </w:r>
      <w:r>
        <w:rPr/>
        <w:t>help</w:t>
      </w:r>
      <w:r>
        <w:rPr>
          <w:spacing w:val="-2"/>
        </w:rPr>
        <w:t> </w:t>
      </w:r>
      <w:r>
        <w:rPr/>
        <w:t>firms</w:t>
      </w:r>
      <w:r>
        <w:rPr>
          <w:spacing w:val="-3"/>
        </w:rPr>
        <w:t> </w:t>
      </w:r>
      <w:r>
        <w:rPr/>
        <w:t>get</w:t>
      </w:r>
      <w:r>
        <w:rPr>
          <w:spacing w:val="-2"/>
        </w:rPr>
        <w:t> </w:t>
      </w:r>
      <w:r>
        <w:rPr/>
        <w:t>the</w:t>
      </w:r>
      <w:r>
        <w:rPr>
          <w:spacing w:val="-2"/>
        </w:rPr>
        <w:t> </w:t>
      </w:r>
      <w:r>
        <w:rPr/>
        <w:t>right</w:t>
      </w:r>
      <w:r>
        <w:rPr>
          <w:spacing w:val="-2"/>
        </w:rPr>
        <w:t> </w:t>
      </w:r>
      <w:r>
        <w:rPr/>
        <w:t>traction</w:t>
      </w:r>
      <w:r>
        <w:rPr>
          <w:spacing w:val="-2"/>
        </w:rPr>
        <w:t> </w:t>
      </w:r>
      <w:r>
        <w:rPr/>
        <w:t>and</w:t>
      </w:r>
      <w:r>
        <w:rPr>
          <w:spacing w:val="-2"/>
        </w:rPr>
        <w:t> </w:t>
      </w:r>
      <w:r>
        <w:rPr/>
        <w:t>oversight</w:t>
      </w:r>
      <w:r>
        <w:rPr>
          <w:spacing w:val="-1"/>
        </w:rPr>
        <w:t> </w:t>
      </w:r>
      <w:r>
        <w:rPr/>
        <w:t>of</w:t>
      </w:r>
      <w:r>
        <w:rPr>
          <w:spacing w:val="-4"/>
        </w:rPr>
        <w:t> </w:t>
      </w:r>
      <w:r>
        <w:rPr/>
        <w:t>the</w:t>
      </w:r>
      <w:r>
        <w:rPr>
          <w:spacing w:val="-3"/>
        </w:rPr>
        <w:t> </w:t>
      </w:r>
      <w:r>
        <w:rPr/>
        <w:t>Programme</w:t>
      </w:r>
      <w:r>
        <w:rPr>
          <w:spacing w:val="-2"/>
        </w:rPr>
        <w:t> </w:t>
      </w:r>
      <w:r>
        <w:rPr/>
        <w:t>within their own</w:t>
      </w:r>
      <w:r>
        <w:rPr>
          <w:spacing w:val="-1"/>
        </w:rPr>
        <w:t> </w:t>
      </w:r>
      <w:r>
        <w:rPr/>
        <w:t>organisations.</w:t>
      </w:r>
    </w:p>
    <w:p>
      <w:pPr>
        <w:pStyle w:val="BodyText"/>
        <w:spacing w:before="4"/>
        <w:rPr>
          <w:sz w:val="16"/>
        </w:rPr>
      </w:pPr>
    </w:p>
    <w:p>
      <w:pPr>
        <w:pStyle w:val="ListParagraph"/>
        <w:numPr>
          <w:ilvl w:val="1"/>
          <w:numId w:val="1"/>
        </w:numPr>
        <w:tabs>
          <w:tab w:pos="960" w:val="left" w:leader="none"/>
          <w:tab w:pos="961" w:val="left" w:leader="none"/>
        </w:tabs>
        <w:spacing w:line="276" w:lineRule="auto" w:before="0" w:after="0"/>
        <w:ind w:left="960" w:right="155" w:hanging="360"/>
        <w:jc w:val="left"/>
        <w:rPr>
          <w:sz w:val="20"/>
        </w:rPr>
      </w:pPr>
      <w:r>
        <w:rPr>
          <w:sz w:val="20"/>
        </w:rPr>
        <w:t>Accountability for readiness rests firmly with Direct Participants and their customers. While the Bank must have appropriate oversight, it should not be (either in reality or perception) accountable for readiness of external parties. However, there is a need for collective responsibility and co-ordination and the Bank has a role in incentivising firms to deliver the change</w:t>
      </w:r>
      <w:r>
        <w:rPr>
          <w:spacing w:val="-9"/>
          <w:sz w:val="20"/>
        </w:rPr>
        <w:t> </w:t>
      </w:r>
      <w:r>
        <w:rPr>
          <w:sz w:val="20"/>
        </w:rPr>
        <w:t>safely.</w:t>
      </w:r>
    </w:p>
    <w:p>
      <w:pPr>
        <w:pStyle w:val="BodyText"/>
        <w:spacing w:before="7"/>
        <w:rPr>
          <w:sz w:val="16"/>
        </w:rPr>
      </w:pPr>
    </w:p>
    <w:p>
      <w:pPr>
        <w:pStyle w:val="ListParagraph"/>
        <w:numPr>
          <w:ilvl w:val="1"/>
          <w:numId w:val="1"/>
        </w:numPr>
        <w:tabs>
          <w:tab w:pos="960" w:val="left" w:leader="none"/>
          <w:tab w:pos="961" w:val="left" w:leader="none"/>
        </w:tabs>
        <w:spacing w:line="276" w:lineRule="auto" w:before="0" w:after="0"/>
        <w:ind w:left="960" w:right="103" w:hanging="360"/>
        <w:jc w:val="left"/>
        <w:rPr>
          <w:sz w:val="20"/>
        </w:rPr>
      </w:pPr>
      <w:r>
        <w:rPr>
          <w:sz w:val="20"/>
        </w:rPr>
        <w:t>A clear readiness and reporting framework should be developed – for example the current framework for on-boarding to CHAPS is robust and drives a consistent approach. While a structured approach is needed, there must be the opportunity to apply</w:t>
      </w:r>
      <w:r>
        <w:rPr>
          <w:spacing w:val="-3"/>
          <w:sz w:val="20"/>
        </w:rPr>
        <w:t> </w:t>
      </w:r>
      <w:r>
        <w:rPr>
          <w:sz w:val="20"/>
        </w:rPr>
        <w:t>judgement.</w:t>
      </w:r>
    </w:p>
    <w:p>
      <w:pPr>
        <w:spacing w:after="0" w:line="276" w:lineRule="auto"/>
        <w:jc w:val="left"/>
        <w:rPr>
          <w:sz w:val="20"/>
        </w:rPr>
        <w:sectPr>
          <w:pgSz w:w="11910" w:h="16840"/>
          <w:pgMar w:header="497" w:footer="859" w:top="1360" w:bottom="1040" w:left="1200" w:right="1360"/>
        </w:sectPr>
      </w:pPr>
    </w:p>
    <w:p>
      <w:pPr>
        <w:pStyle w:val="ListParagraph"/>
        <w:numPr>
          <w:ilvl w:val="1"/>
          <w:numId w:val="1"/>
        </w:numPr>
        <w:tabs>
          <w:tab w:pos="961" w:val="left" w:leader="none"/>
        </w:tabs>
        <w:spacing w:line="276" w:lineRule="auto" w:before="80" w:after="0"/>
        <w:ind w:left="960" w:right="740" w:hanging="360"/>
        <w:jc w:val="both"/>
        <w:rPr>
          <w:sz w:val="20"/>
        </w:rPr>
      </w:pPr>
      <w:r>
        <w:rPr>
          <w:sz w:val="20"/>
        </w:rPr>
        <w:t>The approach taken should be proportionate to the risks faced which will vary across different delivery events. For example for some delivery events, the Bank should consider the systemic importance of firms where a lower risk tolerance might be</w:t>
      </w:r>
      <w:r>
        <w:rPr>
          <w:spacing w:val="-5"/>
          <w:sz w:val="20"/>
        </w:rPr>
        <w:t> </w:t>
      </w:r>
      <w:r>
        <w:rPr>
          <w:sz w:val="20"/>
        </w:rPr>
        <w:t>applied.</w:t>
      </w:r>
    </w:p>
    <w:p>
      <w:pPr>
        <w:pStyle w:val="BodyText"/>
        <w:spacing w:before="4"/>
        <w:rPr>
          <w:sz w:val="16"/>
        </w:rPr>
      </w:pPr>
    </w:p>
    <w:p>
      <w:pPr>
        <w:pStyle w:val="ListParagraph"/>
        <w:numPr>
          <w:ilvl w:val="1"/>
          <w:numId w:val="1"/>
        </w:numPr>
        <w:tabs>
          <w:tab w:pos="960" w:val="left" w:leader="none"/>
          <w:tab w:pos="961" w:val="left" w:leader="none"/>
        </w:tabs>
        <w:spacing w:line="276" w:lineRule="auto" w:before="0" w:after="0"/>
        <w:ind w:left="960" w:right="623" w:hanging="360"/>
        <w:jc w:val="left"/>
        <w:rPr>
          <w:sz w:val="20"/>
        </w:rPr>
      </w:pPr>
      <w:r>
        <w:rPr>
          <w:sz w:val="20"/>
        </w:rPr>
        <w:t>Transparency would be vital – both from the Bank and participants. The Bank needs to create a culture of early escalation of issues and there must be an obligation for firms to</w:t>
      </w:r>
      <w:r>
        <w:rPr>
          <w:spacing w:val="-22"/>
          <w:sz w:val="20"/>
        </w:rPr>
        <w:t> </w:t>
      </w:r>
      <w:r>
        <w:rPr>
          <w:sz w:val="20"/>
        </w:rPr>
        <w:t>escalate.</w:t>
      </w:r>
    </w:p>
    <w:p>
      <w:pPr>
        <w:pStyle w:val="BodyText"/>
        <w:spacing w:before="6"/>
        <w:rPr>
          <w:sz w:val="16"/>
        </w:rPr>
      </w:pPr>
    </w:p>
    <w:p>
      <w:pPr>
        <w:pStyle w:val="ListParagraph"/>
        <w:numPr>
          <w:ilvl w:val="1"/>
          <w:numId w:val="1"/>
        </w:numPr>
        <w:tabs>
          <w:tab w:pos="960" w:val="left" w:leader="none"/>
          <w:tab w:pos="961" w:val="left" w:leader="none"/>
        </w:tabs>
        <w:spacing w:line="276" w:lineRule="auto" w:before="0" w:after="0"/>
        <w:ind w:left="960" w:right="375" w:hanging="360"/>
        <w:jc w:val="left"/>
        <w:rPr>
          <w:sz w:val="20"/>
        </w:rPr>
      </w:pPr>
      <w:r>
        <w:rPr>
          <w:sz w:val="20"/>
        </w:rPr>
        <w:t>Existence of the Senior Managers Regime should be used to drive ownership and accountability. It would be important to agree and work with those individuals with SMR</w:t>
      </w:r>
      <w:r>
        <w:rPr>
          <w:spacing w:val="-6"/>
          <w:sz w:val="20"/>
        </w:rPr>
        <w:t> </w:t>
      </w:r>
      <w:r>
        <w:rPr>
          <w:sz w:val="20"/>
        </w:rPr>
        <w:t>responsibility.</w:t>
      </w:r>
    </w:p>
    <w:p>
      <w:pPr>
        <w:pStyle w:val="BodyText"/>
        <w:spacing w:before="4"/>
        <w:rPr>
          <w:sz w:val="16"/>
        </w:rPr>
      </w:pPr>
    </w:p>
    <w:p>
      <w:pPr>
        <w:pStyle w:val="ListParagraph"/>
        <w:numPr>
          <w:ilvl w:val="1"/>
          <w:numId w:val="1"/>
        </w:numPr>
        <w:tabs>
          <w:tab w:pos="960" w:val="left" w:leader="none"/>
          <w:tab w:pos="961" w:val="left" w:leader="none"/>
        </w:tabs>
        <w:spacing w:line="276" w:lineRule="auto" w:before="0" w:after="0"/>
        <w:ind w:left="960" w:right="101" w:hanging="360"/>
        <w:jc w:val="left"/>
        <w:rPr>
          <w:sz w:val="20"/>
        </w:rPr>
      </w:pPr>
      <w:r>
        <w:rPr>
          <w:sz w:val="20"/>
        </w:rPr>
        <w:t>Industry-wide governance was an important consideration – both Bank and industry-wide governance would need to be</w:t>
      </w:r>
      <w:r>
        <w:rPr>
          <w:spacing w:val="-1"/>
          <w:sz w:val="20"/>
        </w:rPr>
        <w:t> </w:t>
      </w:r>
      <w:r>
        <w:rPr>
          <w:sz w:val="20"/>
        </w:rPr>
        <w:t>agile.</w:t>
      </w:r>
    </w:p>
    <w:p>
      <w:pPr>
        <w:pStyle w:val="BodyText"/>
        <w:spacing w:before="4"/>
        <w:rPr>
          <w:sz w:val="16"/>
        </w:rPr>
      </w:pPr>
    </w:p>
    <w:p>
      <w:pPr>
        <w:pStyle w:val="ListParagraph"/>
        <w:numPr>
          <w:ilvl w:val="1"/>
          <w:numId w:val="1"/>
        </w:numPr>
        <w:tabs>
          <w:tab w:pos="960" w:val="left" w:leader="none"/>
          <w:tab w:pos="961" w:val="left" w:leader="none"/>
        </w:tabs>
        <w:spacing w:line="276" w:lineRule="auto" w:before="0" w:after="0"/>
        <w:ind w:left="960" w:right="515" w:hanging="360"/>
        <w:jc w:val="left"/>
        <w:rPr>
          <w:sz w:val="20"/>
        </w:rPr>
      </w:pPr>
      <w:r>
        <w:rPr>
          <w:sz w:val="20"/>
        </w:rPr>
        <w:t>There must be a clear view on whether change introduced through the Programme is optional or mandatory for firms to</w:t>
      </w:r>
      <w:r>
        <w:rPr>
          <w:spacing w:val="-1"/>
          <w:sz w:val="20"/>
        </w:rPr>
        <w:t> </w:t>
      </w:r>
      <w:r>
        <w:rPr>
          <w:sz w:val="20"/>
        </w:rPr>
        <w:t>adopt.</w:t>
      </w:r>
    </w:p>
    <w:p>
      <w:pPr>
        <w:pStyle w:val="BodyText"/>
        <w:spacing w:before="5"/>
        <w:rPr>
          <w:sz w:val="16"/>
        </w:rPr>
      </w:pPr>
    </w:p>
    <w:p>
      <w:pPr>
        <w:pStyle w:val="ListParagraph"/>
        <w:numPr>
          <w:ilvl w:val="1"/>
          <w:numId w:val="1"/>
        </w:numPr>
        <w:tabs>
          <w:tab w:pos="960" w:val="left" w:leader="none"/>
          <w:tab w:pos="961" w:val="left" w:leader="none"/>
        </w:tabs>
        <w:spacing w:line="276" w:lineRule="auto" w:before="0" w:after="0"/>
        <w:ind w:left="960" w:right="592" w:hanging="360"/>
        <w:jc w:val="left"/>
        <w:rPr>
          <w:sz w:val="20"/>
        </w:rPr>
      </w:pPr>
      <w:r>
        <w:rPr>
          <w:sz w:val="20"/>
        </w:rPr>
        <w:t>Clear,</w:t>
      </w:r>
      <w:r>
        <w:rPr>
          <w:spacing w:val="-3"/>
          <w:sz w:val="20"/>
        </w:rPr>
        <w:t> </w:t>
      </w:r>
      <w:r>
        <w:rPr>
          <w:sz w:val="20"/>
        </w:rPr>
        <w:t>agreed</w:t>
      </w:r>
      <w:r>
        <w:rPr>
          <w:spacing w:val="-2"/>
          <w:sz w:val="20"/>
        </w:rPr>
        <w:t> </w:t>
      </w:r>
      <w:r>
        <w:rPr>
          <w:sz w:val="20"/>
        </w:rPr>
        <w:t>go-live</w:t>
      </w:r>
      <w:r>
        <w:rPr>
          <w:spacing w:val="-2"/>
          <w:sz w:val="20"/>
        </w:rPr>
        <w:t> </w:t>
      </w:r>
      <w:r>
        <w:rPr>
          <w:sz w:val="20"/>
        </w:rPr>
        <w:t>criteria</w:t>
      </w:r>
      <w:r>
        <w:rPr>
          <w:spacing w:val="1"/>
          <w:sz w:val="20"/>
        </w:rPr>
        <w:t> </w:t>
      </w:r>
      <w:r>
        <w:rPr>
          <w:sz w:val="20"/>
        </w:rPr>
        <w:t>would</w:t>
      </w:r>
      <w:r>
        <w:rPr>
          <w:spacing w:val="-2"/>
          <w:sz w:val="20"/>
        </w:rPr>
        <w:t> </w:t>
      </w:r>
      <w:r>
        <w:rPr>
          <w:sz w:val="20"/>
        </w:rPr>
        <w:t>be</w:t>
      </w:r>
      <w:r>
        <w:rPr>
          <w:spacing w:val="-4"/>
          <w:sz w:val="20"/>
        </w:rPr>
        <w:t> </w:t>
      </w:r>
      <w:r>
        <w:rPr>
          <w:sz w:val="20"/>
        </w:rPr>
        <w:t>important</w:t>
      </w:r>
      <w:r>
        <w:rPr>
          <w:spacing w:val="-2"/>
          <w:sz w:val="20"/>
        </w:rPr>
        <w:t> </w:t>
      </w:r>
      <w:r>
        <w:rPr>
          <w:sz w:val="20"/>
        </w:rPr>
        <w:t>as</w:t>
      </w:r>
      <w:r>
        <w:rPr>
          <w:spacing w:val="-3"/>
          <w:sz w:val="20"/>
        </w:rPr>
        <w:t> </w:t>
      </w:r>
      <w:r>
        <w:rPr>
          <w:sz w:val="20"/>
        </w:rPr>
        <w:t>would</w:t>
      </w:r>
      <w:r>
        <w:rPr>
          <w:spacing w:val="-3"/>
          <w:sz w:val="20"/>
        </w:rPr>
        <w:t> </w:t>
      </w:r>
      <w:r>
        <w:rPr>
          <w:sz w:val="20"/>
        </w:rPr>
        <w:t>sight</w:t>
      </w:r>
      <w:r>
        <w:rPr>
          <w:spacing w:val="-2"/>
          <w:sz w:val="20"/>
        </w:rPr>
        <w:t> </w:t>
      </w:r>
      <w:r>
        <w:rPr>
          <w:sz w:val="20"/>
        </w:rPr>
        <w:t>of</w:t>
      </w:r>
      <w:r>
        <w:rPr>
          <w:spacing w:val="-4"/>
          <w:sz w:val="20"/>
        </w:rPr>
        <w:t> </w:t>
      </w:r>
      <w:r>
        <w:rPr>
          <w:sz w:val="20"/>
        </w:rPr>
        <w:t>the</w:t>
      </w:r>
      <w:r>
        <w:rPr>
          <w:spacing w:val="-4"/>
          <w:sz w:val="20"/>
        </w:rPr>
        <w:t> </w:t>
      </w:r>
      <w:r>
        <w:rPr>
          <w:sz w:val="20"/>
        </w:rPr>
        <w:t>Bank’s</w:t>
      </w:r>
      <w:r>
        <w:rPr>
          <w:spacing w:val="-4"/>
          <w:sz w:val="20"/>
        </w:rPr>
        <w:t> </w:t>
      </w:r>
      <w:r>
        <w:rPr>
          <w:sz w:val="20"/>
        </w:rPr>
        <w:t>detailed</w:t>
      </w:r>
      <w:r>
        <w:rPr>
          <w:spacing w:val="-2"/>
          <w:sz w:val="20"/>
        </w:rPr>
        <w:t> </w:t>
      </w:r>
      <w:r>
        <w:rPr>
          <w:sz w:val="20"/>
        </w:rPr>
        <w:t>transition playbook which would then drive participants’ own</w:t>
      </w:r>
      <w:r>
        <w:rPr>
          <w:spacing w:val="-1"/>
          <w:sz w:val="20"/>
        </w:rPr>
        <w:t> </w:t>
      </w:r>
      <w:r>
        <w:rPr>
          <w:sz w:val="20"/>
        </w:rPr>
        <w:t>planning.</w:t>
      </w:r>
    </w:p>
    <w:p>
      <w:pPr>
        <w:pStyle w:val="BodyText"/>
        <w:spacing w:before="6"/>
        <w:rPr>
          <w:sz w:val="16"/>
        </w:rPr>
      </w:pPr>
    </w:p>
    <w:p>
      <w:pPr>
        <w:pStyle w:val="ListParagraph"/>
        <w:numPr>
          <w:ilvl w:val="1"/>
          <w:numId w:val="1"/>
        </w:numPr>
        <w:tabs>
          <w:tab w:pos="960" w:val="left" w:leader="none"/>
          <w:tab w:pos="961" w:val="left" w:leader="none"/>
        </w:tabs>
        <w:spacing w:line="276" w:lineRule="auto" w:before="0" w:after="0"/>
        <w:ind w:left="960" w:right="145" w:hanging="360"/>
        <w:jc w:val="left"/>
        <w:rPr>
          <w:sz w:val="20"/>
        </w:rPr>
      </w:pPr>
      <w:r>
        <w:rPr>
          <w:sz w:val="20"/>
        </w:rPr>
        <w:t>Understanding</w:t>
      </w:r>
      <w:r>
        <w:rPr>
          <w:spacing w:val="-4"/>
          <w:sz w:val="20"/>
        </w:rPr>
        <w:t> </w:t>
      </w:r>
      <w:r>
        <w:rPr>
          <w:sz w:val="20"/>
        </w:rPr>
        <w:t>the</w:t>
      </w:r>
      <w:r>
        <w:rPr>
          <w:spacing w:val="-4"/>
          <w:sz w:val="20"/>
        </w:rPr>
        <w:t> </w:t>
      </w:r>
      <w:r>
        <w:rPr>
          <w:sz w:val="20"/>
        </w:rPr>
        <w:t>level</w:t>
      </w:r>
      <w:r>
        <w:rPr>
          <w:spacing w:val="-3"/>
          <w:sz w:val="20"/>
        </w:rPr>
        <w:t> </w:t>
      </w:r>
      <w:r>
        <w:rPr>
          <w:sz w:val="20"/>
        </w:rPr>
        <w:t>of</w:t>
      </w:r>
      <w:r>
        <w:rPr>
          <w:spacing w:val="-5"/>
          <w:sz w:val="20"/>
        </w:rPr>
        <w:t> </w:t>
      </w:r>
      <w:r>
        <w:rPr>
          <w:sz w:val="20"/>
        </w:rPr>
        <w:t>testing</w:t>
      </w:r>
      <w:r>
        <w:rPr>
          <w:spacing w:val="-4"/>
          <w:sz w:val="20"/>
        </w:rPr>
        <w:t> </w:t>
      </w:r>
      <w:r>
        <w:rPr>
          <w:sz w:val="20"/>
        </w:rPr>
        <w:t>and</w:t>
      </w:r>
      <w:r>
        <w:rPr>
          <w:spacing w:val="-3"/>
          <w:sz w:val="20"/>
        </w:rPr>
        <w:t> </w:t>
      </w:r>
      <w:r>
        <w:rPr>
          <w:sz w:val="20"/>
        </w:rPr>
        <w:t>assurance</w:t>
      </w:r>
      <w:r>
        <w:rPr>
          <w:spacing w:val="-5"/>
          <w:sz w:val="20"/>
        </w:rPr>
        <w:t> </w:t>
      </w:r>
      <w:r>
        <w:rPr>
          <w:sz w:val="20"/>
        </w:rPr>
        <w:t>delivered</w:t>
      </w:r>
      <w:r>
        <w:rPr>
          <w:spacing w:val="-3"/>
          <w:sz w:val="20"/>
        </w:rPr>
        <w:t> </w:t>
      </w:r>
      <w:r>
        <w:rPr>
          <w:sz w:val="20"/>
        </w:rPr>
        <w:t>by</w:t>
      </w:r>
      <w:r>
        <w:rPr>
          <w:spacing w:val="-3"/>
          <w:sz w:val="20"/>
        </w:rPr>
        <w:t> </w:t>
      </w:r>
      <w:r>
        <w:rPr>
          <w:sz w:val="20"/>
        </w:rPr>
        <w:t>the</w:t>
      </w:r>
      <w:r>
        <w:rPr>
          <w:spacing w:val="-4"/>
          <w:sz w:val="20"/>
        </w:rPr>
        <w:t> </w:t>
      </w:r>
      <w:r>
        <w:rPr>
          <w:sz w:val="20"/>
        </w:rPr>
        <w:t>Bank’s</w:t>
      </w:r>
      <w:r>
        <w:rPr>
          <w:spacing w:val="-5"/>
          <w:sz w:val="20"/>
        </w:rPr>
        <w:t> </w:t>
      </w:r>
      <w:r>
        <w:rPr>
          <w:sz w:val="20"/>
        </w:rPr>
        <w:t>Technology</w:t>
      </w:r>
      <w:r>
        <w:rPr>
          <w:spacing w:val="-3"/>
          <w:sz w:val="20"/>
        </w:rPr>
        <w:t> </w:t>
      </w:r>
      <w:r>
        <w:rPr>
          <w:sz w:val="20"/>
        </w:rPr>
        <w:t>Delivery</w:t>
      </w:r>
      <w:r>
        <w:rPr>
          <w:spacing w:val="-3"/>
          <w:sz w:val="20"/>
        </w:rPr>
        <w:t> </w:t>
      </w:r>
      <w:r>
        <w:rPr>
          <w:sz w:val="20"/>
        </w:rPr>
        <w:t>Partner would be an important consideration for firms when developing their own</w:t>
      </w:r>
      <w:r>
        <w:rPr>
          <w:spacing w:val="-7"/>
          <w:sz w:val="20"/>
        </w:rPr>
        <w:t> </w:t>
      </w:r>
      <w:r>
        <w:rPr>
          <w:sz w:val="20"/>
        </w:rPr>
        <w:t>approach.</w:t>
      </w:r>
    </w:p>
    <w:p>
      <w:pPr>
        <w:pStyle w:val="BodyText"/>
        <w:spacing w:before="4"/>
        <w:rPr>
          <w:sz w:val="16"/>
        </w:rPr>
      </w:pPr>
    </w:p>
    <w:p>
      <w:pPr>
        <w:pStyle w:val="ListParagraph"/>
        <w:numPr>
          <w:ilvl w:val="1"/>
          <w:numId w:val="1"/>
        </w:numPr>
        <w:tabs>
          <w:tab w:pos="960" w:val="left" w:leader="none"/>
          <w:tab w:pos="961" w:val="left" w:leader="none"/>
        </w:tabs>
        <w:spacing w:line="276" w:lineRule="auto" w:before="0" w:after="0"/>
        <w:ind w:left="960" w:right="169" w:hanging="360"/>
        <w:jc w:val="left"/>
        <w:rPr>
          <w:sz w:val="20"/>
        </w:rPr>
      </w:pPr>
      <w:r>
        <w:rPr>
          <w:sz w:val="20"/>
        </w:rPr>
        <w:t>The Bank should work closely with supervisors - both to drive the importance of effectively managing the change across organisations and minimising duplicative assurance / information</w:t>
      </w:r>
      <w:r>
        <w:rPr>
          <w:spacing w:val="-19"/>
          <w:sz w:val="20"/>
        </w:rPr>
        <w:t> </w:t>
      </w:r>
      <w:r>
        <w:rPr>
          <w:sz w:val="20"/>
        </w:rPr>
        <w:t>requests.</w:t>
      </w:r>
    </w:p>
    <w:p>
      <w:pPr>
        <w:pStyle w:val="BodyText"/>
        <w:spacing w:before="4"/>
        <w:rPr>
          <w:sz w:val="16"/>
        </w:rPr>
      </w:pPr>
    </w:p>
    <w:p>
      <w:pPr>
        <w:pStyle w:val="ListParagraph"/>
        <w:numPr>
          <w:ilvl w:val="1"/>
          <w:numId w:val="1"/>
        </w:numPr>
        <w:tabs>
          <w:tab w:pos="960" w:val="left" w:leader="none"/>
          <w:tab w:pos="961" w:val="left" w:leader="none"/>
        </w:tabs>
        <w:spacing w:line="240" w:lineRule="auto" w:before="0" w:after="0"/>
        <w:ind w:left="960" w:right="0" w:hanging="361"/>
        <w:jc w:val="left"/>
        <w:rPr>
          <w:sz w:val="20"/>
        </w:rPr>
      </w:pPr>
      <w:r>
        <w:rPr>
          <w:sz w:val="20"/>
        </w:rPr>
        <w:t>Assurance for a migration event must be proportionate to the risk and represent value for</w:t>
      </w:r>
      <w:r>
        <w:rPr>
          <w:spacing w:val="-19"/>
          <w:sz w:val="20"/>
        </w:rPr>
        <w:t> </w:t>
      </w:r>
      <w:r>
        <w:rPr>
          <w:sz w:val="20"/>
        </w:rPr>
        <w:t>money.</w:t>
      </w:r>
    </w:p>
    <w:p>
      <w:pPr>
        <w:pStyle w:val="BodyText"/>
        <w:spacing w:before="6"/>
        <w:rPr>
          <w:sz w:val="19"/>
        </w:rPr>
      </w:pPr>
    </w:p>
    <w:p>
      <w:pPr>
        <w:pStyle w:val="ListParagraph"/>
        <w:numPr>
          <w:ilvl w:val="0"/>
          <w:numId w:val="1"/>
        </w:numPr>
        <w:tabs>
          <w:tab w:pos="601" w:val="left" w:leader="none"/>
        </w:tabs>
        <w:spacing w:line="276" w:lineRule="auto" w:before="0" w:after="0"/>
        <w:ind w:left="600" w:right="193" w:hanging="360"/>
        <w:jc w:val="both"/>
        <w:rPr>
          <w:sz w:val="20"/>
        </w:rPr>
      </w:pPr>
      <w:r>
        <w:rPr>
          <w:sz w:val="20"/>
        </w:rPr>
        <w:t>Following input from EAB, next steps would be to take the approach through the Bank’s governance.</w:t>
      </w:r>
      <w:r>
        <w:rPr>
          <w:spacing w:val="1"/>
          <w:sz w:val="20"/>
        </w:rPr>
        <w:t> </w:t>
      </w:r>
      <w:r>
        <w:rPr>
          <w:sz w:val="20"/>
        </w:rPr>
        <w:t>The agreed approach would be factored into detailed transition and readiness planning and firms would have early sight of actions</w:t>
      </w:r>
      <w:r>
        <w:rPr>
          <w:spacing w:val="-5"/>
          <w:sz w:val="20"/>
        </w:rPr>
        <w:t> </w:t>
      </w:r>
      <w:r>
        <w:rPr>
          <w:sz w:val="20"/>
        </w:rPr>
        <w:t>required.</w:t>
      </w:r>
    </w:p>
    <w:p>
      <w:pPr>
        <w:pStyle w:val="BodyText"/>
      </w:pPr>
    </w:p>
    <w:p>
      <w:pPr>
        <w:pStyle w:val="BodyText"/>
        <w:rPr>
          <w:sz w:val="17"/>
        </w:rPr>
      </w:pPr>
    </w:p>
    <w:p>
      <w:pPr>
        <w:pStyle w:val="Heading1"/>
        <w:spacing w:before="1"/>
      </w:pPr>
      <w:r>
        <w:rPr/>
        <w:t>Item 5: ISO 20022</w:t>
      </w:r>
    </w:p>
    <w:p>
      <w:pPr>
        <w:pStyle w:val="BodyText"/>
        <w:spacing w:before="6"/>
        <w:rPr>
          <w:b/>
          <w:sz w:val="19"/>
        </w:rPr>
      </w:pPr>
    </w:p>
    <w:p>
      <w:pPr>
        <w:pStyle w:val="ListParagraph"/>
        <w:numPr>
          <w:ilvl w:val="0"/>
          <w:numId w:val="1"/>
        </w:numPr>
        <w:tabs>
          <w:tab w:pos="601" w:val="left" w:leader="none"/>
        </w:tabs>
        <w:spacing w:line="276" w:lineRule="auto" w:before="0" w:after="0"/>
        <w:ind w:left="600" w:right="206" w:hanging="360"/>
        <w:jc w:val="both"/>
        <w:rPr>
          <w:sz w:val="20"/>
        </w:rPr>
      </w:pPr>
      <w:r>
        <w:rPr>
          <w:sz w:val="20"/>
        </w:rPr>
        <w:t>An update on ISO 20022 was provided. Publication of the CHAPS technical specifications and ‘like for like’ market guidance remained on track to be published by the end of</w:t>
      </w:r>
      <w:r>
        <w:rPr>
          <w:spacing w:val="-10"/>
          <w:sz w:val="20"/>
        </w:rPr>
        <w:t> </w:t>
      </w:r>
      <w:r>
        <w:rPr>
          <w:sz w:val="20"/>
        </w:rPr>
        <w:t>2019.</w:t>
      </w:r>
    </w:p>
    <w:p>
      <w:pPr>
        <w:pStyle w:val="BodyText"/>
        <w:rPr>
          <w:sz w:val="23"/>
        </w:rPr>
      </w:pPr>
    </w:p>
    <w:p>
      <w:pPr>
        <w:pStyle w:val="ListParagraph"/>
        <w:numPr>
          <w:ilvl w:val="0"/>
          <w:numId w:val="1"/>
        </w:numPr>
        <w:tabs>
          <w:tab w:pos="601" w:val="left" w:leader="none"/>
        </w:tabs>
        <w:spacing w:line="276" w:lineRule="auto" w:before="0" w:after="0"/>
        <w:ind w:left="600" w:right="140" w:hanging="360"/>
        <w:jc w:val="left"/>
        <w:rPr>
          <w:sz w:val="20"/>
        </w:rPr>
      </w:pPr>
      <w:r>
        <w:rPr>
          <w:sz w:val="20"/>
        </w:rPr>
        <w:t>The Standards Advisory Panel (SAP) had its first meeting. The Chair of SAP noted it was a diverse and engaged group which would have a positive impact and drive wider external engagement. The first meeting</w:t>
      </w:r>
      <w:r>
        <w:rPr>
          <w:spacing w:val="-3"/>
          <w:sz w:val="20"/>
        </w:rPr>
        <w:t> </w:t>
      </w:r>
      <w:r>
        <w:rPr>
          <w:sz w:val="20"/>
        </w:rPr>
        <w:t>had</w:t>
      </w:r>
      <w:r>
        <w:rPr>
          <w:spacing w:val="-1"/>
          <w:sz w:val="20"/>
        </w:rPr>
        <w:t> </w:t>
      </w:r>
      <w:r>
        <w:rPr>
          <w:sz w:val="20"/>
        </w:rPr>
        <w:t>agreed</w:t>
      </w:r>
      <w:r>
        <w:rPr>
          <w:spacing w:val="-2"/>
          <w:sz w:val="20"/>
        </w:rPr>
        <w:t> </w:t>
      </w:r>
      <w:r>
        <w:rPr>
          <w:sz w:val="20"/>
        </w:rPr>
        <w:t>the</w:t>
      </w:r>
      <w:r>
        <w:rPr>
          <w:spacing w:val="-3"/>
          <w:sz w:val="20"/>
        </w:rPr>
        <w:t> </w:t>
      </w:r>
      <w:r>
        <w:rPr>
          <w:sz w:val="20"/>
        </w:rPr>
        <w:t>scope,</w:t>
      </w:r>
      <w:r>
        <w:rPr>
          <w:spacing w:val="-2"/>
          <w:sz w:val="20"/>
        </w:rPr>
        <w:t> </w:t>
      </w:r>
      <w:r>
        <w:rPr>
          <w:sz w:val="20"/>
        </w:rPr>
        <w:t>purpose</w:t>
      </w:r>
      <w:r>
        <w:rPr>
          <w:spacing w:val="-2"/>
          <w:sz w:val="20"/>
        </w:rPr>
        <w:t> </w:t>
      </w:r>
      <w:r>
        <w:rPr>
          <w:sz w:val="20"/>
        </w:rPr>
        <w:t>and</w:t>
      </w:r>
      <w:r>
        <w:rPr>
          <w:spacing w:val="-2"/>
          <w:sz w:val="20"/>
        </w:rPr>
        <w:t> </w:t>
      </w:r>
      <w:r>
        <w:rPr>
          <w:sz w:val="20"/>
        </w:rPr>
        <w:t>forward</w:t>
      </w:r>
      <w:r>
        <w:rPr>
          <w:spacing w:val="-2"/>
          <w:sz w:val="20"/>
        </w:rPr>
        <w:t> </w:t>
      </w:r>
      <w:r>
        <w:rPr>
          <w:sz w:val="20"/>
        </w:rPr>
        <w:t>agenda</w:t>
      </w:r>
      <w:r>
        <w:rPr>
          <w:spacing w:val="-2"/>
          <w:sz w:val="20"/>
        </w:rPr>
        <w:t> </w:t>
      </w:r>
      <w:r>
        <w:rPr>
          <w:sz w:val="20"/>
        </w:rPr>
        <w:t>for</w:t>
      </w:r>
      <w:r>
        <w:rPr>
          <w:spacing w:val="-2"/>
          <w:sz w:val="20"/>
        </w:rPr>
        <w:t> </w:t>
      </w:r>
      <w:r>
        <w:rPr>
          <w:sz w:val="20"/>
        </w:rPr>
        <w:t>SAP,</w:t>
      </w:r>
      <w:r>
        <w:rPr>
          <w:spacing w:val="-1"/>
          <w:sz w:val="20"/>
        </w:rPr>
        <w:t> </w:t>
      </w:r>
      <w:r>
        <w:rPr>
          <w:sz w:val="20"/>
        </w:rPr>
        <w:t>it</w:t>
      </w:r>
      <w:r>
        <w:rPr>
          <w:spacing w:val="-2"/>
          <w:sz w:val="20"/>
        </w:rPr>
        <w:t> </w:t>
      </w:r>
      <w:r>
        <w:rPr>
          <w:sz w:val="20"/>
        </w:rPr>
        <w:t>will</w:t>
      </w:r>
      <w:r>
        <w:rPr>
          <w:spacing w:val="-3"/>
          <w:sz w:val="20"/>
        </w:rPr>
        <w:t> </w:t>
      </w:r>
      <w:r>
        <w:rPr>
          <w:sz w:val="20"/>
        </w:rPr>
        <w:t>meet</w:t>
      </w:r>
      <w:r>
        <w:rPr>
          <w:spacing w:val="-2"/>
          <w:sz w:val="20"/>
        </w:rPr>
        <w:t> </w:t>
      </w:r>
      <w:r>
        <w:rPr>
          <w:sz w:val="20"/>
        </w:rPr>
        <w:t>again</w:t>
      </w:r>
      <w:r>
        <w:rPr>
          <w:spacing w:val="-2"/>
          <w:sz w:val="20"/>
        </w:rPr>
        <w:t> </w:t>
      </w:r>
      <w:r>
        <w:rPr>
          <w:sz w:val="20"/>
        </w:rPr>
        <w:t>at the</w:t>
      </w:r>
      <w:r>
        <w:rPr>
          <w:spacing w:val="-2"/>
          <w:sz w:val="20"/>
        </w:rPr>
        <w:t> </w:t>
      </w:r>
      <w:r>
        <w:rPr>
          <w:sz w:val="20"/>
        </w:rPr>
        <w:t>end</w:t>
      </w:r>
      <w:r>
        <w:rPr>
          <w:spacing w:val="-2"/>
          <w:sz w:val="20"/>
        </w:rPr>
        <w:t> </w:t>
      </w:r>
      <w:r>
        <w:rPr>
          <w:sz w:val="20"/>
        </w:rPr>
        <w:t>of</w:t>
      </w:r>
      <w:r>
        <w:rPr>
          <w:spacing w:val="-4"/>
          <w:sz w:val="20"/>
        </w:rPr>
        <w:t> </w:t>
      </w:r>
      <w:r>
        <w:rPr>
          <w:sz w:val="20"/>
        </w:rPr>
        <w:t>April.</w:t>
      </w:r>
    </w:p>
    <w:p>
      <w:pPr>
        <w:pStyle w:val="BodyText"/>
        <w:rPr>
          <w:sz w:val="23"/>
        </w:rPr>
      </w:pPr>
    </w:p>
    <w:p>
      <w:pPr>
        <w:pStyle w:val="ListParagraph"/>
        <w:numPr>
          <w:ilvl w:val="0"/>
          <w:numId w:val="1"/>
        </w:numPr>
        <w:tabs>
          <w:tab w:pos="601" w:val="left" w:leader="none"/>
        </w:tabs>
        <w:spacing w:line="276" w:lineRule="auto" w:before="0" w:after="0"/>
        <w:ind w:left="600" w:right="139" w:hanging="360"/>
        <w:jc w:val="left"/>
        <w:rPr>
          <w:sz w:val="20"/>
        </w:rPr>
      </w:pPr>
      <w:r>
        <w:rPr>
          <w:sz w:val="20"/>
        </w:rPr>
        <w:t>In April, the Bank ran an ISO 20022 schema workshop to validate draft schemas with representatives from Direct Participants. This provided valuable input and further workshops will be held in the</w:t>
      </w:r>
      <w:r>
        <w:rPr>
          <w:spacing w:val="-25"/>
          <w:sz w:val="20"/>
        </w:rPr>
        <w:t> </w:t>
      </w:r>
      <w:r>
        <w:rPr>
          <w:sz w:val="20"/>
        </w:rPr>
        <w:t>summer.</w:t>
      </w:r>
    </w:p>
    <w:p>
      <w:pPr>
        <w:pStyle w:val="BodyText"/>
        <w:rPr>
          <w:sz w:val="23"/>
        </w:rPr>
      </w:pPr>
    </w:p>
    <w:p>
      <w:pPr>
        <w:pStyle w:val="ListParagraph"/>
        <w:numPr>
          <w:ilvl w:val="0"/>
          <w:numId w:val="1"/>
        </w:numPr>
        <w:tabs>
          <w:tab w:pos="601" w:val="left" w:leader="none"/>
        </w:tabs>
        <w:spacing w:line="276" w:lineRule="auto" w:before="0" w:after="0"/>
        <w:ind w:left="600" w:right="159" w:hanging="360"/>
        <w:jc w:val="left"/>
        <w:rPr>
          <w:sz w:val="20"/>
        </w:rPr>
      </w:pPr>
      <w:r>
        <w:rPr>
          <w:sz w:val="20"/>
        </w:rPr>
        <w:t>The Bank noted an upcoming meeting with a range of peer central banks to review draft schemas in more detail – this reflected the Bank’s ongoing focus on harmonising messaging standards as far as</w:t>
      </w:r>
      <w:r>
        <w:rPr>
          <w:spacing w:val="-29"/>
          <w:sz w:val="20"/>
        </w:rPr>
        <w:t> </w:t>
      </w:r>
      <w:r>
        <w:rPr>
          <w:sz w:val="20"/>
        </w:rPr>
        <w:t>practicable.</w:t>
      </w:r>
    </w:p>
    <w:p>
      <w:pPr>
        <w:pStyle w:val="BodyText"/>
        <w:spacing w:before="1"/>
        <w:rPr>
          <w:sz w:val="23"/>
        </w:rPr>
      </w:pPr>
    </w:p>
    <w:p>
      <w:pPr>
        <w:pStyle w:val="Heading1"/>
      </w:pPr>
      <w:r>
        <w:rPr/>
        <w:t>AOB</w:t>
      </w:r>
    </w:p>
    <w:p>
      <w:pPr>
        <w:pStyle w:val="BodyText"/>
        <w:spacing w:before="10"/>
        <w:rPr>
          <w:b/>
          <w:sz w:val="25"/>
        </w:rPr>
      </w:pPr>
    </w:p>
    <w:p>
      <w:pPr>
        <w:pStyle w:val="ListParagraph"/>
        <w:numPr>
          <w:ilvl w:val="0"/>
          <w:numId w:val="1"/>
        </w:numPr>
        <w:tabs>
          <w:tab w:pos="601" w:val="left" w:leader="none"/>
        </w:tabs>
        <w:spacing w:line="276" w:lineRule="auto" w:before="0" w:after="0"/>
        <w:ind w:left="600" w:right="206" w:hanging="360"/>
        <w:jc w:val="left"/>
        <w:rPr>
          <w:sz w:val="20"/>
        </w:rPr>
      </w:pPr>
      <w:r>
        <w:rPr>
          <w:sz w:val="20"/>
        </w:rPr>
        <w:t>The Bank informed members the next EAB will include an initial discussion on RTGS tariff recovery principles. Members were asked to notify the Bank if there are further items they would like to include in the agenda and to confirm attendance at the</w:t>
      </w:r>
      <w:r>
        <w:rPr>
          <w:spacing w:val="-6"/>
          <w:sz w:val="20"/>
        </w:rPr>
        <w:t> </w:t>
      </w:r>
      <w:r>
        <w:rPr>
          <w:sz w:val="20"/>
        </w:rPr>
        <w:t>meeting.</w:t>
      </w:r>
    </w:p>
    <w:sectPr>
      <w:pgSz w:w="11910" w:h="16840"/>
      <w:pgMar w:header="497" w:footer="859" w:top="1360" w:bottom="1040" w:left="12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7.119995pt;margin-top:787.976013pt;width:11.6pt;height:13.05pt;mso-position-horizontal-relative:page;mso-position-vertical-relative:page;z-index:-251807744" type="#_x0000_t202" filled="false" stroked="false">
          <v:textbox inset="0,0,0,0">
            <w:txbxContent>
              <w:p>
                <w:pPr>
                  <w:spacing w:line="245" w:lineRule="exact" w:before="0"/>
                  <w:ind w:left="6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07712">
          <wp:simplePos x="0" y="0"/>
          <wp:positionH relativeFrom="page">
            <wp:posOffset>914400</wp:posOffset>
          </wp:positionH>
          <wp:positionV relativeFrom="page">
            <wp:posOffset>315594</wp:posOffset>
          </wp:positionV>
          <wp:extent cx="2336800" cy="4489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336800" cy="4489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5" w:hanging="425"/>
        <w:jc w:val="right"/>
      </w:pPr>
      <w:rPr>
        <w:rFonts w:hint="default" w:ascii="Calibri" w:hAnsi="Calibri" w:eastAsia="Calibri" w:cs="Calibri"/>
        <w:spacing w:val="-1"/>
        <w:w w:val="99"/>
        <w:sz w:val="20"/>
        <w:szCs w:val="20"/>
        <w:lang w:val="en-gb" w:eastAsia="en-gb" w:bidi="en-gb"/>
      </w:rPr>
    </w:lvl>
    <w:lvl w:ilvl="1">
      <w:start w:val="0"/>
      <w:numFmt w:val="bullet"/>
      <w:lvlText w:val="•"/>
      <w:lvlJc w:val="left"/>
      <w:pPr>
        <w:ind w:left="960" w:hanging="360"/>
      </w:pPr>
      <w:rPr>
        <w:rFonts w:hint="default" w:ascii="Arial" w:hAnsi="Arial" w:eastAsia="Arial" w:cs="Arial"/>
        <w:w w:val="99"/>
        <w:sz w:val="20"/>
        <w:szCs w:val="20"/>
        <w:lang w:val="en-gb" w:eastAsia="en-gb" w:bidi="en-gb"/>
      </w:rPr>
    </w:lvl>
    <w:lvl w:ilvl="2">
      <w:start w:val="0"/>
      <w:numFmt w:val="bullet"/>
      <w:lvlText w:val="•"/>
      <w:lvlJc w:val="left"/>
      <w:pPr>
        <w:ind w:left="1891" w:hanging="360"/>
      </w:pPr>
      <w:rPr>
        <w:rFonts w:hint="default"/>
        <w:lang w:val="en-gb" w:eastAsia="en-gb" w:bidi="en-gb"/>
      </w:rPr>
    </w:lvl>
    <w:lvl w:ilvl="3">
      <w:start w:val="0"/>
      <w:numFmt w:val="bullet"/>
      <w:lvlText w:val="•"/>
      <w:lvlJc w:val="left"/>
      <w:pPr>
        <w:ind w:left="2823" w:hanging="360"/>
      </w:pPr>
      <w:rPr>
        <w:rFonts w:hint="default"/>
        <w:lang w:val="en-gb" w:eastAsia="en-gb" w:bidi="en-gb"/>
      </w:rPr>
    </w:lvl>
    <w:lvl w:ilvl="4">
      <w:start w:val="0"/>
      <w:numFmt w:val="bullet"/>
      <w:lvlText w:val="•"/>
      <w:lvlJc w:val="left"/>
      <w:pPr>
        <w:ind w:left="3755" w:hanging="360"/>
      </w:pPr>
      <w:rPr>
        <w:rFonts w:hint="default"/>
        <w:lang w:val="en-gb" w:eastAsia="en-gb" w:bidi="en-gb"/>
      </w:rPr>
    </w:lvl>
    <w:lvl w:ilvl="5">
      <w:start w:val="0"/>
      <w:numFmt w:val="bullet"/>
      <w:lvlText w:val="•"/>
      <w:lvlJc w:val="left"/>
      <w:pPr>
        <w:ind w:left="4687" w:hanging="360"/>
      </w:pPr>
      <w:rPr>
        <w:rFonts w:hint="default"/>
        <w:lang w:val="en-gb" w:eastAsia="en-gb" w:bidi="en-gb"/>
      </w:rPr>
    </w:lvl>
    <w:lvl w:ilvl="6">
      <w:start w:val="0"/>
      <w:numFmt w:val="bullet"/>
      <w:lvlText w:val="•"/>
      <w:lvlJc w:val="left"/>
      <w:pPr>
        <w:ind w:left="5619" w:hanging="360"/>
      </w:pPr>
      <w:rPr>
        <w:rFonts w:hint="default"/>
        <w:lang w:val="en-gb" w:eastAsia="en-gb" w:bidi="en-gb"/>
      </w:rPr>
    </w:lvl>
    <w:lvl w:ilvl="7">
      <w:start w:val="0"/>
      <w:numFmt w:val="bullet"/>
      <w:lvlText w:val="•"/>
      <w:lvlJc w:val="left"/>
      <w:pPr>
        <w:ind w:left="6550" w:hanging="360"/>
      </w:pPr>
      <w:rPr>
        <w:rFonts w:hint="default"/>
        <w:lang w:val="en-gb" w:eastAsia="en-gb" w:bidi="en-gb"/>
      </w:rPr>
    </w:lvl>
    <w:lvl w:ilvl="8">
      <w:start w:val="0"/>
      <w:numFmt w:val="bullet"/>
      <w:lvlText w:val="•"/>
      <w:lvlJc w:val="left"/>
      <w:pPr>
        <w:ind w:left="7482"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0"/>
      <w:szCs w:val="20"/>
      <w:lang w:val="en-gb" w:eastAsia="en-gb" w:bidi="en-gb"/>
    </w:rPr>
  </w:style>
  <w:style w:styleId="Heading1" w:type="paragraph">
    <w:name w:val="Heading 1"/>
    <w:basedOn w:val="Normal"/>
    <w:uiPriority w:val="1"/>
    <w:qFormat/>
    <w:pPr>
      <w:ind w:left="240"/>
      <w:outlineLvl w:val="1"/>
    </w:pPr>
    <w:rPr>
      <w:rFonts w:ascii="Calibri" w:hAnsi="Calibri" w:eastAsia="Calibri" w:cs="Calibri"/>
      <w:b/>
      <w:bCs/>
      <w:sz w:val="20"/>
      <w:szCs w:val="20"/>
      <w:lang w:val="en-gb" w:eastAsia="en-gb" w:bidi="en-gb"/>
    </w:rPr>
  </w:style>
  <w:style w:styleId="ListParagraph" w:type="paragraph">
    <w:name w:val="List Paragraph"/>
    <w:basedOn w:val="Normal"/>
    <w:uiPriority w:val="1"/>
    <w:qFormat/>
    <w:pPr>
      <w:ind w:left="960" w:hanging="360"/>
    </w:pPr>
    <w:rPr>
      <w:rFonts w:ascii="Calibri" w:hAnsi="Calibri" w:eastAsia="Calibri" w:cs="Calibri"/>
      <w:lang w:val="en-gb" w:eastAsia="en-gb" w:bidi="en-gb"/>
    </w:rPr>
  </w:style>
  <w:style w:styleId="TableParagraph" w:type="paragraph">
    <w:name w:val="Table Paragraph"/>
    <w:basedOn w:val="Normal"/>
    <w:uiPriority w:val="1"/>
    <w:qFormat/>
    <w:pPr>
      <w:ind w:left="74"/>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Board Minutes</dc:title>
  <dcterms:created xsi:type="dcterms:W3CDTF">2020-06-01T02:19:03Z</dcterms:created>
  <dcterms:modified xsi:type="dcterms:W3CDTF">2020-06-01T02:19:03Z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LastSaved">
    <vt:filetime>2020-06-01T00:00:00Z</vt:filetime>
  </property>
</Properties>
</file>