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56" w:lineRule="auto" w:before="46" w:after="41"/>
        <w:ind w:left="240" w:right="4345" w:firstLine="0"/>
        <w:jc w:val="left"/>
        <w:rPr>
          <w:b/>
          <w:sz w:val="22"/>
        </w:rPr>
      </w:pPr>
      <w:r>
        <w:rPr>
          <w:b/>
          <w:color w:val="5C2047"/>
          <w:sz w:val="22"/>
        </w:rPr>
        <w:t>RTGS Renewal Programme – External Advisory Body </w:t>
      </w:r>
      <w:r>
        <w:rPr>
          <w:b/>
          <w:color w:val="6B7D86"/>
          <w:sz w:val="22"/>
        </w:rPr>
        <w:t>Tuesday 18 June 2019</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7523"/>
      </w:tblGrid>
      <w:tr>
        <w:trPr>
          <w:trHeight w:val="2530" w:hRule="atLeast"/>
        </w:trPr>
        <w:tc>
          <w:tcPr>
            <w:tcW w:w="1162" w:type="dxa"/>
          </w:tcPr>
          <w:p>
            <w:pPr>
              <w:pStyle w:val="TableParagraph"/>
              <w:spacing w:line="203" w:lineRule="exact"/>
              <w:ind w:left="0" w:right="72"/>
              <w:jc w:val="right"/>
              <w:rPr>
                <w:sz w:val="20"/>
              </w:rPr>
            </w:pPr>
            <w:r>
              <w:rPr>
                <w:sz w:val="20"/>
              </w:rPr>
              <w:t>Attendees:</w:t>
            </w:r>
          </w:p>
        </w:tc>
        <w:tc>
          <w:tcPr>
            <w:tcW w:w="7523" w:type="dxa"/>
          </w:tcPr>
          <w:p>
            <w:pPr>
              <w:pStyle w:val="TableParagraph"/>
              <w:spacing w:line="202" w:lineRule="exact"/>
              <w:rPr>
                <w:b/>
                <w:sz w:val="20"/>
              </w:rPr>
            </w:pPr>
            <w:r>
              <w:rPr>
                <w:b/>
                <w:sz w:val="20"/>
              </w:rPr>
              <w:t>Bank of England</w:t>
            </w:r>
          </w:p>
          <w:p>
            <w:pPr>
              <w:pStyle w:val="TableParagraph"/>
              <w:spacing w:line="243" w:lineRule="exact"/>
              <w:rPr>
                <w:b/>
                <w:sz w:val="20"/>
              </w:rPr>
            </w:pPr>
            <w:r>
              <w:rPr>
                <w:b/>
                <w:sz w:val="20"/>
              </w:rPr>
              <w:t>Atom Bank</w:t>
            </w:r>
          </w:p>
          <w:p>
            <w:pPr>
              <w:pStyle w:val="TableParagraph"/>
              <w:ind w:right="5314"/>
              <w:rPr>
                <w:b/>
                <w:sz w:val="20"/>
              </w:rPr>
            </w:pPr>
            <w:r>
              <w:rPr>
                <w:b/>
                <w:sz w:val="20"/>
              </w:rPr>
              <w:t>Bank of New York Mellon Barclays</w:t>
            </w:r>
          </w:p>
          <w:p>
            <w:pPr>
              <w:pStyle w:val="TableParagraph"/>
              <w:spacing w:before="2"/>
              <w:ind w:right="7155"/>
              <w:rPr>
                <w:b/>
                <w:sz w:val="20"/>
              </w:rPr>
            </w:pPr>
            <w:r>
              <w:rPr>
                <w:b/>
                <w:sz w:val="20"/>
              </w:rPr>
              <w:t>Citi </w:t>
            </w:r>
            <w:r>
              <w:rPr>
                <w:b/>
                <w:w w:val="95"/>
                <w:sz w:val="20"/>
              </w:rPr>
              <w:t>EUI</w:t>
            </w:r>
          </w:p>
          <w:p>
            <w:pPr>
              <w:pStyle w:val="TableParagraph"/>
              <w:ind w:right="5629"/>
              <w:rPr>
                <w:b/>
                <w:sz w:val="20"/>
              </w:rPr>
            </w:pPr>
            <w:r>
              <w:rPr>
                <w:b/>
                <w:sz w:val="20"/>
              </w:rPr>
              <w:t>Lloyds Banking Group Pay.UK</w:t>
            </w:r>
          </w:p>
          <w:p>
            <w:pPr>
              <w:pStyle w:val="TableParagraph"/>
              <w:rPr>
                <w:b/>
                <w:sz w:val="20"/>
              </w:rPr>
            </w:pPr>
            <w:r>
              <w:rPr>
                <w:b/>
                <w:sz w:val="20"/>
              </w:rPr>
              <w:t>PSR</w:t>
            </w:r>
          </w:p>
        </w:tc>
      </w:tr>
      <w:tr>
        <w:trPr>
          <w:trHeight w:val="577" w:hRule="atLeast"/>
        </w:trPr>
        <w:tc>
          <w:tcPr>
            <w:tcW w:w="1162" w:type="dxa"/>
          </w:tcPr>
          <w:p>
            <w:pPr>
              <w:pStyle w:val="TableParagraph"/>
              <w:spacing w:before="7"/>
              <w:ind w:left="0"/>
              <w:rPr>
                <w:b/>
                <w:sz w:val="27"/>
              </w:rPr>
            </w:pPr>
          </w:p>
          <w:p>
            <w:pPr>
              <w:pStyle w:val="TableParagraph"/>
              <w:spacing w:line="220" w:lineRule="exact"/>
              <w:ind w:left="0" w:right="112"/>
              <w:jc w:val="right"/>
              <w:rPr>
                <w:sz w:val="20"/>
              </w:rPr>
            </w:pPr>
            <w:r>
              <w:rPr>
                <w:w w:val="95"/>
                <w:sz w:val="20"/>
              </w:rPr>
              <w:t>Apologies:</w:t>
            </w:r>
          </w:p>
        </w:tc>
        <w:tc>
          <w:tcPr>
            <w:tcW w:w="7523" w:type="dxa"/>
          </w:tcPr>
          <w:p>
            <w:pPr>
              <w:pStyle w:val="TableParagraph"/>
              <w:spacing w:before="7"/>
              <w:ind w:left="0"/>
              <w:rPr>
                <w:b/>
                <w:sz w:val="27"/>
              </w:rPr>
            </w:pPr>
          </w:p>
          <w:p>
            <w:pPr>
              <w:pStyle w:val="TableParagraph"/>
              <w:spacing w:line="220" w:lineRule="exact"/>
              <w:rPr>
                <w:b/>
                <w:sz w:val="20"/>
              </w:rPr>
            </w:pPr>
            <w:r>
              <w:rPr>
                <w:b/>
                <w:sz w:val="20"/>
              </w:rPr>
              <w:t>Chair of CHAPS Strategic Advisory Forum &amp; Independent Challenge, PaySafe, World Pay</w:t>
            </w:r>
          </w:p>
        </w:tc>
      </w:tr>
    </w:tbl>
    <w:p>
      <w:pPr>
        <w:pStyle w:val="BodyText"/>
        <w:rPr>
          <w:b/>
          <w:sz w:val="22"/>
        </w:rPr>
      </w:pPr>
    </w:p>
    <w:p>
      <w:pPr>
        <w:pStyle w:val="BodyText"/>
        <w:spacing w:before="6"/>
        <w:rPr>
          <w:b/>
          <w:sz w:val="18"/>
        </w:rPr>
      </w:pPr>
    </w:p>
    <w:p>
      <w:pPr>
        <w:pStyle w:val="Heading1"/>
      </w:pPr>
      <w:r>
        <w:rPr/>
        <w:t>Welcome and introductions</w:t>
      </w:r>
    </w:p>
    <w:p>
      <w:pPr>
        <w:pStyle w:val="BodyText"/>
        <w:spacing w:before="4"/>
        <w:rPr>
          <w:b/>
          <w:sz w:val="19"/>
        </w:rPr>
      </w:pPr>
    </w:p>
    <w:p>
      <w:pPr>
        <w:pStyle w:val="ListParagraph"/>
        <w:numPr>
          <w:ilvl w:val="0"/>
          <w:numId w:val="1"/>
        </w:numPr>
        <w:tabs>
          <w:tab w:pos="665" w:val="left" w:leader="none"/>
          <w:tab w:pos="666" w:val="left" w:leader="none"/>
        </w:tabs>
        <w:spacing w:line="240" w:lineRule="auto" w:before="0" w:after="0"/>
        <w:ind w:left="665" w:right="0" w:hanging="426"/>
        <w:jc w:val="left"/>
        <w:rPr>
          <w:sz w:val="20"/>
        </w:rPr>
      </w:pPr>
      <w:r>
        <w:rPr>
          <w:sz w:val="20"/>
        </w:rPr>
        <w:t>The Chair welcomed EAB members to the meeting and noted</w:t>
      </w:r>
      <w:r>
        <w:rPr>
          <w:spacing w:val="1"/>
          <w:sz w:val="20"/>
        </w:rPr>
        <w:t> </w:t>
      </w:r>
      <w:r>
        <w:rPr>
          <w:sz w:val="20"/>
        </w:rPr>
        <w:t>apologies.</w:t>
      </w:r>
    </w:p>
    <w:p>
      <w:pPr>
        <w:pStyle w:val="BodyText"/>
        <w:rPr>
          <w:sz w:val="26"/>
        </w:rPr>
      </w:pPr>
    </w:p>
    <w:p>
      <w:pPr>
        <w:pStyle w:val="ListParagraph"/>
        <w:numPr>
          <w:ilvl w:val="0"/>
          <w:numId w:val="1"/>
        </w:numPr>
        <w:tabs>
          <w:tab w:pos="665" w:val="left" w:leader="none"/>
          <w:tab w:pos="666" w:val="left" w:leader="none"/>
        </w:tabs>
        <w:spacing w:line="276" w:lineRule="auto" w:before="0" w:after="0"/>
        <w:ind w:left="665" w:right="497" w:hanging="425"/>
        <w:jc w:val="left"/>
        <w:rPr>
          <w:sz w:val="20"/>
        </w:rPr>
      </w:pPr>
      <w:r>
        <w:rPr>
          <w:sz w:val="20"/>
        </w:rPr>
        <w:t>The Chair noted that the EUI representative would be retiring in the summer and thanked him for his contribution. A replacement member would be</w:t>
      </w:r>
      <w:r>
        <w:rPr>
          <w:spacing w:val="1"/>
          <w:sz w:val="20"/>
        </w:rPr>
        <w:t> </w:t>
      </w:r>
      <w:r>
        <w:rPr>
          <w:sz w:val="20"/>
        </w:rPr>
        <w:t>considered.</w:t>
      </w:r>
    </w:p>
    <w:p>
      <w:pPr>
        <w:pStyle w:val="BodyText"/>
        <w:rPr>
          <w:sz w:val="23"/>
        </w:rPr>
      </w:pPr>
    </w:p>
    <w:p>
      <w:pPr>
        <w:pStyle w:val="ListParagraph"/>
        <w:numPr>
          <w:ilvl w:val="0"/>
          <w:numId w:val="1"/>
        </w:numPr>
        <w:tabs>
          <w:tab w:pos="665" w:val="left" w:leader="none"/>
          <w:tab w:pos="666" w:val="left" w:leader="none"/>
        </w:tabs>
        <w:spacing w:line="276" w:lineRule="auto" w:before="0" w:after="0"/>
        <w:ind w:left="665" w:right="679" w:hanging="425"/>
        <w:jc w:val="left"/>
        <w:rPr>
          <w:sz w:val="20"/>
        </w:rPr>
      </w:pPr>
      <w:r>
        <w:rPr>
          <w:sz w:val="20"/>
        </w:rPr>
        <w:t>The</w:t>
      </w:r>
      <w:r>
        <w:rPr>
          <w:spacing w:val="-3"/>
          <w:sz w:val="20"/>
        </w:rPr>
        <w:t> </w:t>
      </w:r>
      <w:r>
        <w:rPr>
          <w:sz w:val="20"/>
        </w:rPr>
        <w:t>Chair</w:t>
      </w:r>
      <w:r>
        <w:rPr>
          <w:spacing w:val="-2"/>
          <w:sz w:val="20"/>
        </w:rPr>
        <w:t> </w:t>
      </w:r>
      <w:r>
        <w:rPr>
          <w:sz w:val="20"/>
        </w:rPr>
        <w:t>asked</w:t>
      </w:r>
      <w:r>
        <w:rPr>
          <w:spacing w:val="-2"/>
          <w:sz w:val="20"/>
        </w:rPr>
        <w:t> </w:t>
      </w:r>
      <w:r>
        <w:rPr>
          <w:sz w:val="20"/>
        </w:rPr>
        <w:t>if</w:t>
      </w:r>
      <w:r>
        <w:rPr>
          <w:spacing w:val="-2"/>
          <w:sz w:val="20"/>
        </w:rPr>
        <w:t> </w:t>
      </w:r>
      <w:r>
        <w:rPr>
          <w:sz w:val="20"/>
        </w:rPr>
        <w:t>there</w:t>
      </w:r>
      <w:r>
        <w:rPr>
          <w:spacing w:val="-1"/>
          <w:sz w:val="20"/>
        </w:rPr>
        <w:t> </w:t>
      </w:r>
      <w:r>
        <w:rPr>
          <w:sz w:val="20"/>
        </w:rPr>
        <w:t>was</w:t>
      </w:r>
      <w:r>
        <w:rPr>
          <w:spacing w:val="-3"/>
          <w:sz w:val="20"/>
        </w:rPr>
        <w:t> </w:t>
      </w:r>
      <w:r>
        <w:rPr>
          <w:sz w:val="20"/>
        </w:rPr>
        <w:t>any</w:t>
      </w:r>
      <w:r>
        <w:rPr>
          <w:spacing w:val="-2"/>
          <w:sz w:val="20"/>
        </w:rPr>
        <w:t> </w:t>
      </w:r>
      <w:r>
        <w:rPr>
          <w:sz w:val="20"/>
        </w:rPr>
        <w:t>potential</w:t>
      </w:r>
      <w:r>
        <w:rPr>
          <w:spacing w:val="-1"/>
          <w:sz w:val="20"/>
        </w:rPr>
        <w:t> </w:t>
      </w:r>
      <w:r>
        <w:rPr>
          <w:sz w:val="20"/>
        </w:rPr>
        <w:t>conflict</w:t>
      </w:r>
      <w:r>
        <w:rPr>
          <w:spacing w:val="-2"/>
          <w:sz w:val="20"/>
        </w:rPr>
        <w:t> </w:t>
      </w:r>
      <w:r>
        <w:rPr>
          <w:sz w:val="20"/>
        </w:rPr>
        <w:t>of</w:t>
      </w:r>
      <w:r>
        <w:rPr>
          <w:spacing w:val="-4"/>
          <w:sz w:val="20"/>
        </w:rPr>
        <w:t> </w:t>
      </w:r>
      <w:r>
        <w:rPr>
          <w:sz w:val="20"/>
        </w:rPr>
        <w:t>interest.</w:t>
      </w:r>
      <w:r>
        <w:rPr>
          <w:spacing w:val="-2"/>
          <w:sz w:val="20"/>
        </w:rPr>
        <w:t> </w:t>
      </w:r>
      <w:r>
        <w:rPr>
          <w:sz w:val="20"/>
        </w:rPr>
        <w:t>No</w:t>
      </w:r>
      <w:r>
        <w:rPr>
          <w:spacing w:val="-2"/>
          <w:sz w:val="20"/>
        </w:rPr>
        <w:t> </w:t>
      </w:r>
      <w:r>
        <w:rPr>
          <w:sz w:val="20"/>
        </w:rPr>
        <w:t>members</w:t>
      </w:r>
      <w:r>
        <w:rPr>
          <w:spacing w:val="-4"/>
          <w:sz w:val="20"/>
        </w:rPr>
        <w:t> </w:t>
      </w:r>
      <w:r>
        <w:rPr>
          <w:sz w:val="20"/>
        </w:rPr>
        <w:t>declared</w:t>
      </w:r>
      <w:r>
        <w:rPr>
          <w:spacing w:val="-2"/>
          <w:sz w:val="20"/>
        </w:rPr>
        <w:t> </w:t>
      </w:r>
      <w:r>
        <w:rPr>
          <w:sz w:val="20"/>
        </w:rPr>
        <w:t>any</w:t>
      </w:r>
      <w:r>
        <w:rPr>
          <w:spacing w:val="-1"/>
          <w:sz w:val="20"/>
        </w:rPr>
        <w:t> </w:t>
      </w:r>
      <w:r>
        <w:rPr>
          <w:sz w:val="20"/>
        </w:rPr>
        <w:t>conflict</w:t>
      </w:r>
      <w:r>
        <w:rPr>
          <w:spacing w:val="-2"/>
          <w:sz w:val="20"/>
        </w:rPr>
        <w:t> </w:t>
      </w:r>
      <w:r>
        <w:rPr>
          <w:sz w:val="20"/>
        </w:rPr>
        <w:t>of interest.</w:t>
      </w:r>
    </w:p>
    <w:p>
      <w:pPr>
        <w:pStyle w:val="BodyText"/>
        <w:rPr>
          <w:sz w:val="23"/>
        </w:rPr>
      </w:pPr>
    </w:p>
    <w:p>
      <w:pPr>
        <w:pStyle w:val="ListParagraph"/>
        <w:numPr>
          <w:ilvl w:val="0"/>
          <w:numId w:val="1"/>
        </w:numPr>
        <w:tabs>
          <w:tab w:pos="665" w:val="left" w:leader="none"/>
          <w:tab w:pos="666" w:val="left" w:leader="none"/>
        </w:tabs>
        <w:spacing w:line="240" w:lineRule="auto" w:before="0" w:after="0"/>
        <w:ind w:left="665" w:right="0" w:hanging="426"/>
        <w:jc w:val="left"/>
        <w:rPr>
          <w:sz w:val="20"/>
        </w:rPr>
      </w:pPr>
      <w:r>
        <w:rPr>
          <w:sz w:val="20"/>
        </w:rPr>
        <w:t>The record of the previous meeting had been agreed and published on the Bank’s</w:t>
      </w:r>
      <w:r>
        <w:rPr>
          <w:spacing w:val="-16"/>
          <w:sz w:val="20"/>
        </w:rPr>
        <w:t> </w:t>
      </w:r>
      <w:r>
        <w:rPr>
          <w:sz w:val="20"/>
        </w:rPr>
        <w:t>website.</w:t>
      </w:r>
    </w:p>
    <w:p>
      <w:pPr>
        <w:pStyle w:val="BodyText"/>
        <w:spacing w:before="5"/>
        <w:rPr>
          <w:sz w:val="19"/>
        </w:rPr>
      </w:pPr>
    </w:p>
    <w:p>
      <w:pPr>
        <w:pStyle w:val="Heading1"/>
      </w:pPr>
      <w:r>
        <w:rPr/>
        <w:t>Item 1: Review of actions from previous meetings</w:t>
      </w:r>
    </w:p>
    <w:p>
      <w:pPr>
        <w:pStyle w:val="BodyText"/>
        <w:spacing w:before="6"/>
        <w:rPr>
          <w:b/>
          <w:sz w:val="19"/>
        </w:rPr>
      </w:pPr>
    </w:p>
    <w:p>
      <w:pPr>
        <w:pStyle w:val="ListParagraph"/>
        <w:numPr>
          <w:ilvl w:val="0"/>
          <w:numId w:val="1"/>
        </w:numPr>
        <w:tabs>
          <w:tab w:pos="667" w:val="left" w:leader="none"/>
          <w:tab w:pos="668" w:val="left" w:leader="none"/>
        </w:tabs>
        <w:spacing w:line="240" w:lineRule="auto" w:before="0" w:after="0"/>
        <w:ind w:left="667" w:right="0" w:hanging="428"/>
        <w:jc w:val="left"/>
        <w:rPr>
          <w:sz w:val="20"/>
        </w:rPr>
      </w:pPr>
      <w:r>
        <w:rPr>
          <w:sz w:val="20"/>
        </w:rPr>
        <w:t>There were no open actions to be</w:t>
      </w:r>
      <w:r>
        <w:rPr>
          <w:spacing w:val="-4"/>
          <w:sz w:val="20"/>
        </w:rPr>
        <w:t> </w:t>
      </w:r>
      <w:r>
        <w:rPr>
          <w:sz w:val="20"/>
        </w:rPr>
        <w:t>discussed.</w:t>
      </w:r>
    </w:p>
    <w:p>
      <w:pPr>
        <w:pStyle w:val="BodyText"/>
        <w:spacing w:before="4"/>
        <w:rPr>
          <w:sz w:val="19"/>
        </w:rPr>
      </w:pPr>
    </w:p>
    <w:p>
      <w:pPr>
        <w:pStyle w:val="Heading1"/>
      </w:pPr>
      <w:r>
        <w:rPr/>
        <w:t>Item 2: RTGS Renewal Programme Update</w:t>
      </w:r>
    </w:p>
    <w:p>
      <w:pPr>
        <w:pStyle w:val="BodyText"/>
        <w:spacing w:before="4"/>
        <w:rPr>
          <w:b/>
          <w:sz w:val="19"/>
        </w:rPr>
      </w:pPr>
    </w:p>
    <w:p>
      <w:pPr>
        <w:pStyle w:val="ListParagraph"/>
        <w:numPr>
          <w:ilvl w:val="0"/>
          <w:numId w:val="1"/>
        </w:numPr>
        <w:tabs>
          <w:tab w:pos="667" w:val="left" w:leader="none"/>
          <w:tab w:pos="668" w:val="left" w:leader="none"/>
        </w:tabs>
        <w:spacing w:line="276" w:lineRule="auto" w:before="0" w:after="0"/>
        <w:ind w:left="667" w:right="454" w:hanging="428"/>
        <w:jc w:val="left"/>
        <w:rPr>
          <w:sz w:val="20"/>
        </w:rPr>
      </w:pPr>
      <w:r>
        <w:rPr>
          <w:sz w:val="20"/>
        </w:rPr>
        <w:t>An update on the Programme was provided. The Programme was in the ‘Design, Enable and Procure’ phase and was on track against the published</w:t>
      </w:r>
      <w:r>
        <w:rPr>
          <w:spacing w:val="-1"/>
          <w:sz w:val="20"/>
        </w:rPr>
        <w:t> </w:t>
      </w:r>
      <w:r>
        <w:rPr>
          <w:sz w:val="20"/>
        </w:rPr>
        <w:t>plan.</w:t>
      </w:r>
    </w:p>
    <w:p>
      <w:pPr>
        <w:pStyle w:val="BodyText"/>
        <w:rPr>
          <w:sz w:val="23"/>
        </w:rPr>
      </w:pPr>
    </w:p>
    <w:p>
      <w:pPr>
        <w:pStyle w:val="ListParagraph"/>
        <w:numPr>
          <w:ilvl w:val="0"/>
          <w:numId w:val="1"/>
        </w:numPr>
        <w:tabs>
          <w:tab w:pos="667" w:val="left" w:leader="none"/>
          <w:tab w:pos="668" w:val="left" w:leader="none"/>
        </w:tabs>
        <w:spacing w:line="276" w:lineRule="auto" w:before="0" w:after="0"/>
        <w:ind w:left="667" w:right="172" w:hanging="428"/>
        <w:jc w:val="left"/>
        <w:rPr>
          <w:sz w:val="20"/>
        </w:rPr>
      </w:pPr>
      <w:r>
        <w:rPr>
          <w:b/>
          <w:sz w:val="20"/>
        </w:rPr>
        <w:t>Procurement</w:t>
      </w:r>
      <w:r>
        <w:rPr>
          <w:sz w:val="20"/>
        </w:rPr>
        <w:t>: procurement continues to progress to plan. Potential suppliers have been shortlisted and in early June, the Programme issued the “Invitation to Participate” to shortlisted bidders – a major milestone for the Programme. Contextual material and high level requirements were issued, bidders will respond to these and a further down select will complete by October. The Programme remains on track to appoint the bidder by May</w:t>
      </w:r>
      <w:r>
        <w:rPr>
          <w:spacing w:val="-3"/>
          <w:sz w:val="20"/>
        </w:rPr>
        <w:t> </w:t>
      </w:r>
      <w:r>
        <w:rPr>
          <w:sz w:val="20"/>
        </w:rPr>
        <w:t>2020.</w:t>
      </w:r>
    </w:p>
    <w:p>
      <w:pPr>
        <w:pStyle w:val="BodyText"/>
        <w:spacing w:before="1"/>
        <w:rPr>
          <w:sz w:val="23"/>
        </w:rPr>
      </w:pPr>
    </w:p>
    <w:p>
      <w:pPr>
        <w:pStyle w:val="ListParagraph"/>
        <w:numPr>
          <w:ilvl w:val="0"/>
          <w:numId w:val="1"/>
        </w:numPr>
        <w:tabs>
          <w:tab w:pos="667" w:val="left" w:leader="none"/>
          <w:tab w:pos="668" w:val="left" w:leader="none"/>
        </w:tabs>
        <w:spacing w:line="276" w:lineRule="auto" w:before="0" w:after="0"/>
        <w:ind w:left="667" w:right="295" w:hanging="428"/>
        <w:jc w:val="left"/>
        <w:rPr>
          <w:sz w:val="20"/>
        </w:rPr>
      </w:pPr>
      <w:r>
        <w:rPr>
          <w:sz w:val="20"/>
        </w:rPr>
        <w:t>An update on </w:t>
      </w:r>
      <w:r>
        <w:rPr>
          <w:b/>
          <w:sz w:val="20"/>
        </w:rPr>
        <w:t>industry engagement </w:t>
      </w:r>
      <w:r>
        <w:rPr>
          <w:sz w:val="20"/>
        </w:rPr>
        <w:t>was provided, including reporting on the industry event held on 10 June</w:t>
      </w:r>
      <w:r>
        <w:rPr>
          <w:spacing w:val="-4"/>
          <w:sz w:val="20"/>
        </w:rPr>
        <w:t> </w:t>
      </w:r>
      <w:r>
        <w:rPr>
          <w:sz w:val="20"/>
        </w:rPr>
        <w:t>where</w:t>
      </w:r>
      <w:r>
        <w:rPr>
          <w:spacing w:val="-3"/>
          <w:sz w:val="20"/>
        </w:rPr>
        <w:t> </w:t>
      </w:r>
      <w:r>
        <w:rPr>
          <w:sz w:val="20"/>
        </w:rPr>
        <w:t>the</w:t>
      </w:r>
      <w:r>
        <w:rPr>
          <w:spacing w:val="-4"/>
          <w:sz w:val="20"/>
        </w:rPr>
        <w:t> </w:t>
      </w:r>
      <w:r>
        <w:rPr>
          <w:sz w:val="20"/>
        </w:rPr>
        <w:t>Bank</w:t>
      </w:r>
      <w:r>
        <w:rPr>
          <w:spacing w:val="-2"/>
          <w:sz w:val="20"/>
        </w:rPr>
        <w:t> </w:t>
      </w:r>
      <w:r>
        <w:rPr>
          <w:sz w:val="20"/>
        </w:rPr>
        <w:t>provided</w:t>
      </w:r>
      <w:r>
        <w:rPr>
          <w:spacing w:val="-2"/>
          <w:sz w:val="20"/>
        </w:rPr>
        <w:t> </w:t>
      </w:r>
      <w:r>
        <w:rPr>
          <w:sz w:val="20"/>
        </w:rPr>
        <w:t>a</w:t>
      </w:r>
      <w:r>
        <w:rPr>
          <w:spacing w:val="-3"/>
          <w:sz w:val="20"/>
        </w:rPr>
        <w:t> </w:t>
      </w:r>
      <w:r>
        <w:rPr>
          <w:sz w:val="20"/>
        </w:rPr>
        <w:t>Programme</w:t>
      </w:r>
      <w:r>
        <w:rPr>
          <w:spacing w:val="-3"/>
          <w:sz w:val="20"/>
        </w:rPr>
        <w:t> </w:t>
      </w:r>
      <w:r>
        <w:rPr>
          <w:sz w:val="20"/>
        </w:rPr>
        <w:t>update</w:t>
      </w:r>
      <w:r>
        <w:rPr>
          <w:spacing w:val="-4"/>
          <w:sz w:val="20"/>
        </w:rPr>
        <w:t> </w:t>
      </w:r>
      <w:r>
        <w:rPr>
          <w:sz w:val="20"/>
        </w:rPr>
        <w:t>and</w:t>
      </w:r>
      <w:r>
        <w:rPr>
          <w:spacing w:val="-2"/>
          <w:sz w:val="20"/>
        </w:rPr>
        <w:t> </w:t>
      </w:r>
      <w:r>
        <w:rPr>
          <w:sz w:val="20"/>
        </w:rPr>
        <w:t>hosted</w:t>
      </w:r>
      <w:r>
        <w:rPr>
          <w:spacing w:val="-2"/>
          <w:sz w:val="20"/>
        </w:rPr>
        <w:t> </w:t>
      </w:r>
      <w:r>
        <w:rPr>
          <w:sz w:val="20"/>
        </w:rPr>
        <w:t>a</w:t>
      </w:r>
      <w:r>
        <w:rPr>
          <w:spacing w:val="-3"/>
          <w:sz w:val="20"/>
        </w:rPr>
        <w:t> </w:t>
      </w:r>
      <w:r>
        <w:rPr>
          <w:sz w:val="20"/>
        </w:rPr>
        <w:t>question</w:t>
      </w:r>
      <w:r>
        <w:rPr>
          <w:spacing w:val="-2"/>
          <w:sz w:val="20"/>
        </w:rPr>
        <w:t> </w:t>
      </w:r>
      <w:r>
        <w:rPr>
          <w:sz w:val="20"/>
        </w:rPr>
        <w:t>and</w:t>
      </w:r>
      <w:r>
        <w:rPr>
          <w:spacing w:val="-3"/>
          <w:sz w:val="20"/>
        </w:rPr>
        <w:t> </w:t>
      </w:r>
      <w:r>
        <w:rPr>
          <w:sz w:val="20"/>
        </w:rPr>
        <w:t>answer session</w:t>
      </w:r>
      <w:r>
        <w:rPr>
          <w:spacing w:val="-2"/>
          <w:sz w:val="20"/>
        </w:rPr>
        <w:t> </w:t>
      </w:r>
      <w:r>
        <w:rPr>
          <w:sz w:val="20"/>
        </w:rPr>
        <w:t>across</w:t>
      </w:r>
      <w:r>
        <w:rPr>
          <w:spacing w:val="-4"/>
          <w:sz w:val="20"/>
        </w:rPr>
        <w:t> </w:t>
      </w:r>
      <w:r>
        <w:rPr>
          <w:sz w:val="20"/>
        </w:rPr>
        <w:t>a wide range of topics. </w:t>
      </w:r>
      <w:r>
        <w:rPr>
          <w:b/>
          <w:sz w:val="20"/>
        </w:rPr>
        <w:t>LEI adoption </w:t>
      </w:r>
      <w:r>
        <w:rPr>
          <w:sz w:val="20"/>
        </w:rPr>
        <w:t>remains strategically important to the Bank and engagement with government departments</w:t>
      </w:r>
      <w:r>
        <w:rPr>
          <w:spacing w:val="-2"/>
          <w:sz w:val="20"/>
        </w:rPr>
        <w:t> </w:t>
      </w:r>
      <w:r>
        <w:rPr>
          <w:sz w:val="20"/>
        </w:rPr>
        <w:t>continues.</w:t>
      </w:r>
    </w:p>
    <w:p>
      <w:pPr>
        <w:pStyle w:val="BodyText"/>
        <w:rPr>
          <w:sz w:val="23"/>
        </w:rPr>
      </w:pPr>
    </w:p>
    <w:p>
      <w:pPr>
        <w:pStyle w:val="ListParagraph"/>
        <w:numPr>
          <w:ilvl w:val="0"/>
          <w:numId w:val="1"/>
        </w:numPr>
        <w:tabs>
          <w:tab w:pos="667" w:val="left" w:leader="none"/>
          <w:tab w:pos="668" w:val="left" w:leader="none"/>
        </w:tabs>
        <w:spacing w:line="276" w:lineRule="auto" w:before="0" w:after="0"/>
        <w:ind w:left="667" w:right="139" w:hanging="428"/>
        <w:jc w:val="left"/>
        <w:rPr>
          <w:sz w:val="20"/>
        </w:rPr>
      </w:pPr>
      <w:r>
        <w:rPr>
          <w:sz w:val="20"/>
        </w:rPr>
        <w:t>The Bank updated on plans for the </w:t>
      </w:r>
      <w:r>
        <w:rPr>
          <w:b/>
          <w:sz w:val="20"/>
        </w:rPr>
        <w:t>transition to ISO 20022 in CHAPS. </w:t>
      </w:r>
      <w:r>
        <w:rPr>
          <w:sz w:val="20"/>
        </w:rPr>
        <w:t>The Bank plans to publish final ‘like for like’ schemas by the end of 2019, with ‘like for like’ implementation taking place in H1 2022 and the ‘enhanced’ message being introduced in H1 2023. The Bank is currently refining its approach</w:t>
      </w:r>
      <w:r>
        <w:rPr>
          <w:spacing w:val="-17"/>
          <w:sz w:val="20"/>
        </w:rPr>
        <w:t> </w:t>
      </w:r>
      <w:r>
        <w:rPr>
          <w:sz w:val="20"/>
        </w:rPr>
        <w:t>to</w:t>
      </w:r>
    </w:p>
    <w:p>
      <w:pPr>
        <w:spacing w:after="0" w:line="276" w:lineRule="auto"/>
        <w:jc w:val="left"/>
        <w:rPr>
          <w:sz w:val="20"/>
        </w:rPr>
        <w:sectPr>
          <w:headerReference w:type="default" r:id="rId5"/>
          <w:footerReference w:type="default" r:id="rId6"/>
          <w:type w:val="continuous"/>
          <w:pgSz w:w="11910" w:h="16840"/>
          <w:pgMar w:header="497" w:footer="859" w:top="1380" w:bottom="1040" w:left="1200" w:right="1340"/>
          <w:pgNumType w:start="1"/>
        </w:sectPr>
      </w:pPr>
    </w:p>
    <w:p>
      <w:pPr>
        <w:pStyle w:val="BodyText"/>
        <w:spacing w:line="276" w:lineRule="auto" w:before="49"/>
        <w:ind w:left="667"/>
      </w:pPr>
      <w:r>
        <w:rPr/>
        <w:t>transition, including mitigation for the planned ‘big bang’ cutover and early testing. The Bank expects to discuss proposals at September EAB.</w:t>
      </w:r>
    </w:p>
    <w:p>
      <w:pPr>
        <w:pStyle w:val="BodyText"/>
        <w:rPr>
          <w:sz w:val="23"/>
        </w:rPr>
      </w:pPr>
    </w:p>
    <w:p>
      <w:pPr>
        <w:pStyle w:val="ListParagraph"/>
        <w:numPr>
          <w:ilvl w:val="0"/>
          <w:numId w:val="1"/>
        </w:numPr>
        <w:tabs>
          <w:tab w:pos="668" w:val="left" w:leader="none"/>
        </w:tabs>
        <w:spacing w:line="276" w:lineRule="auto" w:before="0" w:after="0"/>
        <w:ind w:left="667" w:right="240" w:hanging="428"/>
        <w:jc w:val="left"/>
        <w:rPr>
          <w:sz w:val="20"/>
        </w:rPr>
      </w:pPr>
      <w:r>
        <w:rPr>
          <w:sz w:val="20"/>
        </w:rPr>
        <w:t>There was a discussion on how Swift’s recent proposals on ISO 20022 implementation would impact the Bank’s own plans – as well as ISO 20022 implementations by other central banks. Swift proposals were under active consideration by the Bank team and discussions were planned with Swift on this topic. The Bank’s ongoing engagement with other central banks on this topic was discussed – including the Bank’s commitment to drive, as far as practicable, alignment in messaging standards across other jurisdictions. </w:t>
      </w:r>
      <w:r>
        <w:rPr>
          <w:b/>
          <w:sz w:val="20"/>
        </w:rPr>
        <w:t>Action</w:t>
      </w:r>
      <w:r>
        <w:rPr>
          <w:sz w:val="20"/>
        </w:rPr>
        <w:t>: It was proposed that a wider discussion on this topic could take place at Sibos in September 2019, the Bank will consider next</w:t>
      </w:r>
      <w:r>
        <w:rPr>
          <w:spacing w:val="-2"/>
          <w:sz w:val="20"/>
        </w:rPr>
        <w:t> </w:t>
      </w:r>
      <w:r>
        <w:rPr>
          <w:sz w:val="20"/>
        </w:rPr>
        <w:t>steps.</w:t>
      </w:r>
    </w:p>
    <w:p>
      <w:pPr>
        <w:pStyle w:val="BodyText"/>
        <w:rPr>
          <w:sz w:val="23"/>
        </w:rPr>
      </w:pPr>
    </w:p>
    <w:p>
      <w:pPr>
        <w:pStyle w:val="ListParagraph"/>
        <w:numPr>
          <w:ilvl w:val="0"/>
          <w:numId w:val="1"/>
        </w:numPr>
        <w:tabs>
          <w:tab w:pos="668" w:val="left" w:leader="none"/>
        </w:tabs>
        <w:spacing w:line="240" w:lineRule="auto" w:before="0" w:after="0"/>
        <w:ind w:left="667" w:right="0" w:hanging="428"/>
        <w:jc w:val="left"/>
        <w:rPr>
          <w:sz w:val="20"/>
        </w:rPr>
      </w:pPr>
      <w:r>
        <w:rPr>
          <w:sz w:val="20"/>
        </w:rPr>
        <w:t>Following discussion and valuable input at April EAB, the Programme has taken the approach</w:t>
      </w:r>
      <w:r>
        <w:rPr>
          <w:spacing w:val="-14"/>
          <w:sz w:val="20"/>
        </w:rPr>
        <w:t> </w:t>
      </w:r>
      <w:r>
        <w:rPr>
          <w:sz w:val="20"/>
        </w:rPr>
        <w:t>to</w:t>
      </w:r>
    </w:p>
    <w:p>
      <w:pPr>
        <w:spacing w:before="37"/>
        <w:ind w:left="667" w:right="0" w:firstLine="0"/>
        <w:jc w:val="left"/>
        <w:rPr>
          <w:sz w:val="20"/>
        </w:rPr>
      </w:pPr>
      <w:r>
        <w:rPr>
          <w:b/>
          <w:sz w:val="20"/>
        </w:rPr>
        <w:t>participant readiness and monitoring </w:t>
      </w:r>
      <w:r>
        <w:rPr>
          <w:sz w:val="20"/>
        </w:rPr>
        <w:t>to the RTGS Renewal Committee</w:t>
      </w:r>
      <w:r>
        <w:rPr>
          <w:sz w:val="20"/>
          <w:vertAlign w:val="superscript"/>
        </w:rPr>
        <w:t>1</w:t>
      </w:r>
      <w:r>
        <w:rPr>
          <w:sz w:val="20"/>
          <w:vertAlign w:val="baseline"/>
        </w:rPr>
        <w:t>. It will be discussed by the RTGS</w:t>
      </w:r>
    </w:p>
    <w:p>
      <w:pPr>
        <w:pStyle w:val="BodyText"/>
        <w:spacing w:before="37"/>
        <w:ind w:left="667"/>
      </w:pPr>
      <w:r>
        <w:rPr/>
        <w:t>/ CHAPS Board</w:t>
      </w:r>
      <w:r>
        <w:rPr>
          <w:vertAlign w:val="superscript"/>
        </w:rPr>
        <w:t>2</w:t>
      </w:r>
      <w:r>
        <w:rPr>
          <w:vertAlign w:val="baseline"/>
        </w:rPr>
        <w:t> in July, and the agreed approach will be taken forward into more detailed planning.</w:t>
      </w:r>
    </w:p>
    <w:p>
      <w:pPr>
        <w:pStyle w:val="BodyText"/>
        <w:spacing w:before="4"/>
        <w:rPr>
          <w:sz w:val="19"/>
        </w:rPr>
      </w:pPr>
    </w:p>
    <w:p>
      <w:pPr>
        <w:pStyle w:val="Heading1"/>
      </w:pPr>
      <w:r>
        <w:rPr/>
        <w:t>Item 3: Pay.UK update</w:t>
      </w:r>
    </w:p>
    <w:p>
      <w:pPr>
        <w:pStyle w:val="BodyText"/>
        <w:spacing w:before="4"/>
        <w:rPr>
          <w:b/>
          <w:sz w:val="19"/>
        </w:rPr>
      </w:pPr>
    </w:p>
    <w:p>
      <w:pPr>
        <w:pStyle w:val="ListParagraph"/>
        <w:numPr>
          <w:ilvl w:val="0"/>
          <w:numId w:val="1"/>
        </w:numPr>
        <w:tabs>
          <w:tab w:pos="668" w:val="left" w:leader="none"/>
        </w:tabs>
        <w:spacing w:line="240" w:lineRule="auto" w:before="0" w:after="0"/>
        <w:ind w:left="667" w:right="0" w:hanging="361"/>
        <w:jc w:val="left"/>
        <w:rPr>
          <w:sz w:val="20"/>
        </w:rPr>
      </w:pPr>
      <w:r>
        <w:rPr>
          <w:sz w:val="20"/>
        </w:rPr>
        <w:t>Pay.UK provided an update on the New Payments Architecture (NPA) Programme. The next stage</w:t>
      </w:r>
      <w:r>
        <w:rPr>
          <w:spacing w:val="-21"/>
          <w:sz w:val="20"/>
        </w:rPr>
        <w:t> </w:t>
      </w:r>
      <w:r>
        <w:rPr>
          <w:sz w:val="20"/>
        </w:rPr>
        <w:t>of</w:t>
      </w:r>
    </w:p>
    <w:p>
      <w:pPr>
        <w:pStyle w:val="BodyText"/>
        <w:spacing w:line="276" w:lineRule="auto" w:before="37"/>
        <w:ind w:left="667"/>
      </w:pPr>
      <w:r>
        <w:rPr/>
        <w:t>procurement ‘Request for Information’ was issued at the end of May. Vendors have been down selected and “joint solutioning” will commence shortly, resulting in a conceptual design being developed by late summer. The overall NPA procurement timeline is being refined now there is more information on the scope of procurement and regulatory expectations.</w:t>
      </w:r>
    </w:p>
    <w:p>
      <w:pPr>
        <w:pStyle w:val="BodyText"/>
        <w:rPr>
          <w:sz w:val="23"/>
        </w:rPr>
      </w:pPr>
    </w:p>
    <w:p>
      <w:pPr>
        <w:pStyle w:val="ListParagraph"/>
        <w:numPr>
          <w:ilvl w:val="0"/>
          <w:numId w:val="1"/>
        </w:numPr>
        <w:tabs>
          <w:tab w:pos="668" w:val="left" w:leader="none"/>
        </w:tabs>
        <w:spacing w:line="276" w:lineRule="auto" w:before="0" w:after="0"/>
        <w:ind w:left="667" w:right="336" w:hanging="360"/>
        <w:jc w:val="left"/>
        <w:rPr>
          <w:sz w:val="20"/>
        </w:rPr>
      </w:pPr>
      <w:r>
        <w:rPr>
          <w:sz w:val="20"/>
        </w:rPr>
        <w:t>Industry</w:t>
      </w:r>
      <w:r>
        <w:rPr>
          <w:spacing w:val="-2"/>
          <w:sz w:val="20"/>
        </w:rPr>
        <w:t> </w:t>
      </w:r>
      <w:r>
        <w:rPr>
          <w:sz w:val="20"/>
        </w:rPr>
        <w:t>dialogue</w:t>
      </w:r>
      <w:r>
        <w:rPr>
          <w:spacing w:val="-3"/>
          <w:sz w:val="20"/>
        </w:rPr>
        <w:t> </w:t>
      </w:r>
      <w:r>
        <w:rPr>
          <w:sz w:val="20"/>
        </w:rPr>
        <w:t>would</w:t>
      </w:r>
      <w:r>
        <w:rPr>
          <w:spacing w:val="-2"/>
          <w:sz w:val="20"/>
        </w:rPr>
        <w:t> </w:t>
      </w:r>
      <w:r>
        <w:rPr>
          <w:sz w:val="20"/>
        </w:rPr>
        <w:t>continue</w:t>
      </w:r>
      <w:r>
        <w:rPr>
          <w:spacing w:val="-3"/>
          <w:sz w:val="20"/>
        </w:rPr>
        <w:t> </w:t>
      </w:r>
      <w:r>
        <w:rPr>
          <w:sz w:val="20"/>
        </w:rPr>
        <w:t>throughout</w:t>
      </w:r>
      <w:r>
        <w:rPr>
          <w:spacing w:val="-2"/>
          <w:sz w:val="20"/>
        </w:rPr>
        <w:t> </w:t>
      </w:r>
      <w:r>
        <w:rPr>
          <w:sz w:val="20"/>
        </w:rPr>
        <w:t>this</w:t>
      </w:r>
      <w:r>
        <w:rPr>
          <w:spacing w:val="-4"/>
          <w:sz w:val="20"/>
        </w:rPr>
        <w:t> </w:t>
      </w:r>
      <w:r>
        <w:rPr>
          <w:sz w:val="20"/>
        </w:rPr>
        <w:t>period,</w:t>
      </w:r>
      <w:r>
        <w:rPr>
          <w:spacing w:val="-2"/>
          <w:sz w:val="20"/>
        </w:rPr>
        <w:t> </w:t>
      </w:r>
      <w:r>
        <w:rPr>
          <w:sz w:val="20"/>
        </w:rPr>
        <w:t>focused</w:t>
      </w:r>
      <w:r>
        <w:rPr>
          <w:spacing w:val="-2"/>
          <w:sz w:val="20"/>
        </w:rPr>
        <w:t> </w:t>
      </w:r>
      <w:r>
        <w:rPr>
          <w:sz w:val="20"/>
        </w:rPr>
        <w:t>on</w:t>
      </w:r>
      <w:r>
        <w:rPr>
          <w:spacing w:val="-2"/>
          <w:sz w:val="20"/>
        </w:rPr>
        <w:t> </w:t>
      </w:r>
      <w:r>
        <w:rPr>
          <w:sz w:val="20"/>
        </w:rPr>
        <w:t>a</w:t>
      </w:r>
      <w:r>
        <w:rPr>
          <w:spacing w:val="-2"/>
          <w:sz w:val="20"/>
        </w:rPr>
        <w:t> </w:t>
      </w:r>
      <w:r>
        <w:rPr>
          <w:sz w:val="20"/>
        </w:rPr>
        <w:t>number</w:t>
      </w:r>
      <w:r>
        <w:rPr>
          <w:spacing w:val="-2"/>
          <w:sz w:val="20"/>
        </w:rPr>
        <w:t> </w:t>
      </w:r>
      <w:r>
        <w:rPr>
          <w:sz w:val="20"/>
        </w:rPr>
        <w:t>of</w:t>
      </w:r>
      <w:r>
        <w:rPr>
          <w:spacing w:val="-4"/>
          <w:sz w:val="20"/>
        </w:rPr>
        <w:t> </w:t>
      </w:r>
      <w:r>
        <w:rPr>
          <w:sz w:val="20"/>
        </w:rPr>
        <w:t>core</w:t>
      </w:r>
      <w:r>
        <w:rPr>
          <w:spacing w:val="-3"/>
          <w:sz w:val="20"/>
        </w:rPr>
        <w:t> </w:t>
      </w:r>
      <w:r>
        <w:rPr>
          <w:sz w:val="20"/>
        </w:rPr>
        <w:t>pillars</w:t>
      </w:r>
      <w:r>
        <w:rPr>
          <w:spacing w:val="-4"/>
          <w:sz w:val="20"/>
        </w:rPr>
        <w:t> </w:t>
      </w:r>
      <w:r>
        <w:rPr>
          <w:sz w:val="20"/>
        </w:rPr>
        <w:t>including infrastructure renewal, ISO 20022 and resilience. An imminent next step was issuing a FPS transition questionnaire to seek industry feedback and input on the proposed</w:t>
      </w:r>
      <w:r>
        <w:rPr>
          <w:spacing w:val="-10"/>
          <w:sz w:val="20"/>
        </w:rPr>
        <w:t> </w:t>
      </w:r>
      <w:r>
        <w:rPr>
          <w:sz w:val="20"/>
        </w:rPr>
        <w:t>approach.</w:t>
      </w:r>
    </w:p>
    <w:p>
      <w:pPr>
        <w:pStyle w:val="BodyText"/>
        <w:rPr>
          <w:sz w:val="23"/>
        </w:rPr>
      </w:pPr>
    </w:p>
    <w:p>
      <w:pPr>
        <w:pStyle w:val="ListParagraph"/>
        <w:numPr>
          <w:ilvl w:val="0"/>
          <w:numId w:val="1"/>
        </w:numPr>
        <w:tabs>
          <w:tab w:pos="668" w:val="left" w:leader="none"/>
        </w:tabs>
        <w:spacing w:line="276" w:lineRule="auto" w:before="0" w:after="0"/>
        <w:ind w:left="667" w:right="283" w:hanging="360"/>
        <w:jc w:val="left"/>
        <w:rPr>
          <w:sz w:val="20"/>
        </w:rPr>
      </w:pPr>
      <w:r>
        <w:rPr>
          <w:sz w:val="20"/>
        </w:rPr>
        <w:t>High level similarities and differences between the two programmes’ approach to transition were discussed along with the rationale. While each organisation may take a different approach, there were firm reasons for this, and both the Bank and Pay.UK remained committed to ongoing collaboration to minimise industry impact and</w:t>
      </w:r>
      <w:r>
        <w:rPr>
          <w:spacing w:val="-1"/>
          <w:sz w:val="20"/>
        </w:rPr>
        <w:t> </w:t>
      </w:r>
      <w:r>
        <w:rPr>
          <w:sz w:val="20"/>
        </w:rPr>
        <w:t>burden.</w:t>
      </w:r>
    </w:p>
    <w:p>
      <w:pPr>
        <w:pStyle w:val="BodyText"/>
        <w:spacing w:before="7"/>
        <w:rPr>
          <w:sz w:val="16"/>
        </w:rPr>
      </w:pPr>
    </w:p>
    <w:p>
      <w:pPr>
        <w:pStyle w:val="Heading1"/>
      </w:pPr>
      <w:r>
        <w:rPr/>
        <w:t>Item 4: Approach to RTGS Cost Recovery</w:t>
      </w:r>
    </w:p>
    <w:p>
      <w:pPr>
        <w:pStyle w:val="BodyText"/>
        <w:spacing w:before="4"/>
        <w:rPr>
          <w:b/>
          <w:sz w:val="19"/>
        </w:rPr>
      </w:pPr>
    </w:p>
    <w:p>
      <w:pPr>
        <w:pStyle w:val="ListParagraph"/>
        <w:numPr>
          <w:ilvl w:val="0"/>
          <w:numId w:val="1"/>
        </w:numPr>
        <w:tabs>
          <w:tab w:pos="601" w:val="left" w:leader="none"/>
        </w:tabs>
        <w:spacing w:line="276" w:lineRule="auto" w:before="0" w:after="0"/>
        <w:ind w:left="600" w:right="173" w:hanging="360"/>
        <w:jc w:val="left"/>
        <w:rPr>
          <w:sz w:val="20"/>
        </w:rPr>
      </w:pPr>
      <w:r>
        <w:rPr>
          <w:sz w:val="20"/>
        </w:rPr>
        <w:t>In advance of an industry-wide consultation planned for later in 2019, the Bank was seeking early input from EAB on high level key principles for cost recovery following Renewal. This would be used to inform our thinking in advance of the consultation. The Chair noted that the Bank’s legal team had carefully considered whether there were any sensitivities in raising this topic with EAB in advance of the consultation,</w:t>
      </w:r>
      <w:r>
        <w:rPr>
          <w:spacing w:val="-2"/>
          <w:sz w:val="20"/>
        </w:rPr>
        <w:t> </w:t>
      </w:r>
      <w:r>
        <w:rPr>
          <w:sz w:val="20"/>
        </w:rPr>
        <w:t>but</w:t>
      </w:r>
      <w:r>
        <w:rPr>
          <w:spacing w:val="-2"/>
          <w:sz w:val="20"/>
        </w:rPr>
        <w:t> </w:t>
      </w:r>
      <w:r>
        <w:rPr>
          <w:sz w:val="20"/>
        </w:rPr>
        <w:t>were</w:t>
      </w:r>
      <w:r>
        <w:rPr>
          <w:spacing w:val="-3"/>
          <w:sz w:val="20"/>
        </w:rPr>
        <w:t> </w:t>
      </w:r>
      <w:r>
        <w:rPr>
          <w:sz w:val="20"/>
        </w:rPr>
        <w:t>content</w:t>
      </w:r>
      <w:r>
        <w:rPr>
          <w:spacing w:val="-2"/>
          <w:sz w:val="20"/>
        </w:rPr>
        <w:t> </w:t>
      </w:r>
      <w:r>
        <w:rPr>
          <w:sz w:val="20"/>
        </w:rPr>
        <w:t>(a)</w:t>
      </w:r>
      <w:r>
        <w:rPr>
          <w:spacing w:val="-3"/>
          <w:sz w:val="20"/>
        </w:rPr>
        <w:t> </w:t>
      </w:r>
      <w:r>
        <w:rPr>
          <w:sz w:val="20"/>
        </w:rPr>
        <w:t>that</w:t>
      </w:r>
      <w:r>
        <w:rPr>
          <w:spacing w:val="-1"/>
          <w:sz w:val="20"/>
        </w:rPr>
        <w:t> </w:t>
      </w:r>
      <w:r>
        <w:rPr>
          <w:sz w:val="20"/>
        </w:rPr>
        <w:t>given</w:t>
      </w:r>
      <w:r>
        <w:rPr>
          <w:spacing w:val="-2"/>
          <w:sz w:val="20"/>
        </w:rPr>
        <w:t> </w:t>
      </w:r>
      <w:r>
        <w:rPr>
          <w:sz w:val="20"/>
        </w:rPr>
        <w:t>this</w:t>
      </w:r>
      <w:r>
        <w:rPr>
          <w:spacing w:val="-4"/>
          <w:sz w:val="20"/>
        </w:rPr>
        <w:t> </w:t>
      </w:r>
      <w:r>
        <w:rPr>
          <w:sz w:val="20"/>
        </w:rPr>
        <w:t>was</w:t>
      </w:r>
      <w:r>
        <w:rPr>
          <w:spacing w:val="-4"/>
          <w:sz w:val="20"/>
        </w:rPr>
        <w:t> </w:t>
      </w:r>
      <w:r>
        <w:rPr>
          <w:sz w:val="20"/>
        </w:rPr>
        <w:t>a</w:t>
      </w:r>
      <w:r>
        <w:rPr>
          <w:spacing w:val="-1"/>
          <w:sz w:val="20"/>
        </w:rPr>
        <w:t> </w:t>
      </w:r>
      <w:r>
        <w:rPr>
          <w:sz w:val="20"/>
        </w:rPr>
        <w:t>high</w:t>
      </w:r>
      <w:r>
        <w:rPr>
          <w:spacing w:val="-1"/>
          <w:sz w:val="20"/>
        </w:rPr>
        <w:t> </w:t>
      </w:r>
      <w:r>
        <w:rPr>
          <w:sz w:val="20"/>
        </w:rPr>
        <w:t>level</w:t>
      </w:r>
      <w:r>
        <w:rPr>
          <w:spacing w:val="-2"/>
          <w:sz w:val="20"/>
        </w:rPr>
        <w:t> </w:t>
      </w:r>
      <w:r>
        <w:rPr>
          <w:sz w:val="20"/>
        </w:rPr>
        <w:t>principles</w:t>
      </w:r>
      <w:r>
        <w:rPr>
          <w:spacing w:val="-4"/>
          <w:sz w:val="20"/>
        </w:rPr>
        <w:t> </w:t>
      </w:r>
      <w:r>
        <w:rPr>
          <w:sz w:val="20"/>
        </w:rPr>
        <w:t>based</w:t>
      </w:r>
      <w:r>
        <w:rPr>
          <w:spacing w:val="-2"/>
          <w:sz w:val="20"/>
        </w:rPr>
        <w:t> </w:t>
      </w:r>
      <w:r>
        <w:rPr>
          <w:sz w:val="20"/>
        </w:rPr>
        <w:t>discussion,</w:t>
      </w:r>
      <w:r>
        <w:rPr>
          <w:spacing w:val="-2"/>
          <w:sz w:val="20"/>
        </w:rPr>
        <w:t> </w:t>
      </w:r>
      <w:r>
        <w:rPr>
          <w:sz w:val="20"/>
        </w:rPr>
        <w:t>and</w:t>
      </w:r>
      <w:r>
        <w:rPr>
          <w:spacing w:val="-1"/>
          <w:sz w:val="20"/>
        </w:rPr>
        <w:t> </w:t>
      </w:r>
      <w:r>
        <w:rPr>
          <w:sz w:val="20"/>
        </w:rPr>
        <w:t>(b)</w:t>
      </w:r>
      <w:r>
        <w:rPr>
          <w:spacing w:val="-3"/>
          <w:sz w:val="20"/>
        </w:rPr>
        <w:t> </w:t>
      </w:r>
      <w:r>
        <w:rPr>
          <w:sz w:val="20"/>
        </w:rPr>
        <w:t>that the Bank was primarily seeking initial market input rather than disclosing information about its future policy, there were none</w:t>
      </w:r>
      <w:r>
        <w:rPr>
          <w:spacing w:val="-4"/>
          <w:sz w:val="20"/>
        </w:rPr>
        <w:t> </w:t>
      </w:r>
      <w:r>
        <w:rPr>
          <w:sz w:val="20"/>
        </w:rPr>
        <w:t>arising.</w:t>
      </w:r>
    </w:p>
    <w:p>
      <w:pPr>
        <w:pStyle w:val="BodyText"/>
        <w:rPr>
          <w:sz w:val="23"/>
        </w:rPr>
      </w:pPr>
    </w:p>
    <w:p>
      <w:pPr>
        <w:pStyle w:val="ListParagraph"/>
        <w:numPr>
          <w:ilvl w:val="0"/>
          <w:numId w:val="1"/>
        </w:numPr>
        <w:tabs>
          <w:tab w:pos="668" w:val="left" w:leader="none"/>
        </w:tabs>
        <w:spacing w:line="276" w:lineRule="auto" w:before="0" w:after="0"/>
        <w:ind w:left="667" w:right="507" w:hanging="360"/>
        <w:jc w:val="left"/>
        <w:rPr>
          <w:sz w:val="20"/>
        </w:rPr>
      </w:pPr>
      <w:r>
        <w:rPr>
          <w:sz w:val="20"/>
        </w:rPr>
        <w:t>Key principles of the current approach were set out and it was noted that it was fairly simple in comparison to other domestic and international schemes. At a high level, the Bank set out what was expected to change due to Renewal and commitments made in the Blueprint. In particular, the Bank noted that costs would increase for a period while Programme costs were recovered; RTGS</w:t>
      </w:r>
      <w:r>
        <w:rPr>
          <w:spacing w:val="-18"/>
          <w:sz w:val="20"/>
        </w:rPr>
        <w:t> </w:t>
      </w:r>
      <w:r>
        <w:rPr>
          <w:sz w:val="20"/>
        </w:rPr>
        <w:t>would</w:t>
      </w:r>
    </w:p>
    <w:p>
      <w:pPr>
        <w:pStyle w:val="BodyText"/>
        <w:rPr>
          <w:sz w:val="24"/>
        </w:rPr>
      </w:pPr>
      <w:r>
        <w:rPr/>
        <w:pict>
          <v:shape style="position:absolute;margin-left:72.024002pt;margin-top:17.031069pt;width:144.050pt;height:.1pt;mso-position-horizontal-relative:page;mso-position-vertical-relative:paragraph;z-index:-251658240;mso-wrap-distance-left:0;mso-wrap-distance-right:0" coordorigin="1440,341" coordsize="2881,0" path="m1440,341l4321,341e" filled="false" stroked="true" strokeweight=".71997pt" strokecolor="#000000">
            <v:path arrowok="t"/>
            <v:stroke dashstyle="solid"/>
            <w10:wrap type="topAndBottom"/>
          </v:shape>
        </w:pict>
      </w:r>
    </w:p>
    <w:p>
      <w:pPr>
        <w:pStyle w:val="BodyText"/>
        <w:spacing w:before="69"/>
        <w:ind w:left="240"/>
      </w:pPr>
      <w:r>
        <w:rPr>
          <w:position w:val="7"/>
          <w:sz w:val="13"/>
        </w:rPr>
        <w:t>1 </w:t>
      </w:r>
      <w:hyperlink r:id="rId7">
        <w:r>
          <w:rPr>
            <w:color w:val="006FC0"/>
            <w:u w:val="single" w:color="006FC0"/>
          </w:rPr>
          <w:t>https://www.bankofengland.co.uk/-/media/boe/files/about/legislation/matters-reserved-to-</w:t>
        </w:r>
      </w:hyperlink>
      <w:r>
        <w:rPr>
          <w:color w:val="006FC0"/>
        </w:rPr>
        <w:t> </w:t>
      </w:r>
      <w:hyperlink r:id="rId7">
        <w:r>
          <w:rPr>
            <w:color w:val="006FC0"/>
            <w:u w:val="single" w:color="006FC0"/>
          </w:rPr>
          <w:t>court.pdf?la=en&amp;hash=2F9C60E0157D682145FD6EFB9014B4AEE745E15D</w:t>
        </w:r>
      </w:hyperlink>
    </w:p>
    <w:p>
      <w:pPr>
        <w:pStyle w:val="BodyText"/>
        <w:spacing w:before="8"/>
        <w:rPr>
          <w:sz w:val="13"/>
        </w:rPr>
      </w:pPr>
    </w:p>
    <w:p>
      <w:pPr>
        <w:pStyle w:val="BodyText"/>
        <w:spacing w:before="74"/>
        <w:ind w:left="240"/>
      </w:pPr>
      <w:r>
        <w:rPr>
          <w:position w:val="7"/>
          <w:sz w:val="13"/>
        </w:rPr>
        <w:t>2 </w:t>
      </w:r>
      <w:hyperlink r:id="rId8">
        <w:r>
          <w:rPr>
            <w:color w:val="006FC0"/>
            <w:u w:val="single" w:color="006FC0"/>
          </w:rPr>
          <w:t>https://www.bankofengland.co.uk/payment-and-settlement</w:t>
        </w:r>
      </w:hyperlink>
    </w:p>
    <w:p>
      <w:pPr>
        <w:spacing w:after="0"/>
        <w:sectPr>
          <w:pgSz w:w="11910" w:h="16840"/>
          <w:pgMar w:header="497" w:footer="859" w:top="1380" w:bottom="1040" w:left="1200" w:right="1340"/>
        </w:sectPr>
      </w:pPr>
    </w:p>
    <w:p>
      <w:pPr>
        <w:pStyle w:val="BodyText"/>
        <w:spacing w:line="276" w:lineRule="auto" w:before="49"/>
        <w:ind w:left="667" w:right="127"/>
      </w:pPr>
      <w:r>
        <w:rPr/>
        <w:t>continue to be operated on a full cost recovery basis via the tariff; costs will be recovered from future users in arrears from completion of the build and amortised Programme costs are expected to be recovered over a longer period than at present.</w:t>
      </w:r>
    </w:p>
    <w:p>
      <w:pPr>
        <w:pStyle w:val="BodyText"/>
        <w:rPr>
          <w:sz w:val="23"/>
        </w:rPr>
      </w:pPr>
    </w:p>
    <w:p>
      <w:pPr>
        <w:pStyle w:val="ListParagraph"/>
        <w:numPr>
          <w:ilvl w:val="0"/>
          <w:numId w:val="1"/>
        </w:numPr>
        <w:tabs>
          <w:tab w:pos="668" w:val="left" w:leader="none"/>
        </w:tabs>
        <w:spacing w:line="276" w:lineRule="auto" w:before="0" w:after="0"/>
        <w:ind w:left="667" w:right="385" w:hanging="360"/>
        <w:jc w:val="left"/>
        <w:rPr>
          <w:sz w:val="20"/>
        </w:rPr>
      </w:pPr>
      <w:r>
        <w:rPr>
          <w:sz w:val="20"/>
        </w:rPr>
        <w:t>Given Renewal would necessitate some changes, this was a good opportunity to review the overall approach to the tariff. The Bank set out a number of areas where it was seeking early input; high level principles; the basis for usage fees and fixed access fees. The themes emerging across all three areas were similar. In particular EAB said they</w:t>
      </w:r>
      <w:r>
        <w:rPr>
          <w:spacing w:val="-3"/>
          <w:sz w:val="20"/>
        </w:rPr>
        <w:t> </w:t>
      </w:r>
      <w:r>
        <w:rPr>
          <w:sz w:val="20"/>
        </w:rPr>
        <w:t>valued:</w:t>
      </w:r>
    </w:p>
    <w:p>
      <w:pPr>
        <w:pStyle w:val="BodyText"/>
        <w:spacing w:before="11"/>
        <w:rPr>
          <w:sz w:val="22"/>
        </w:rPr>
      </w:pPr>
    </w:p>
    <w:p>
      <w:pPr>
        <w:pStyle w:val="ListParagraph"/>
        <w:numPr>
          <w:ilvl w:val="1"/>
          <w:numId w:val="1"/>
        </w:numPr>
        <w:tabs>
          <w:tab w:pos="1320" w:val="left" w:leader="none"/>
          <w:tab w:pos="1321" w:val="left" w:leader="none"/>
        </w:tabs>
        <w:spacing w:line="276" w:lineRule="auto" w:before="1" w:after="0"/>
        <w:ind w:left="1320" w:right="134" w:hanging="360"/>
        <w:jc w:val="left"/>
        <w:rPr>
          <w:sz w:val="20"/>
        </w:rPr>
      </w:pPr>
      <w:r>
        <w:rPr>
          <w:b/>
          <w:sz w:val="20"/>
        </w:rPr>
        <w:t>Stability: </w:t>
      </w:r>
      <w:r>
        <w:rPr>
          <w:sz w:val="20"/>
        </w:rPr>
        <w:t>visibility of the expected tariff over a multi-year horizon was important for both budget planning and customer management. While it was noted that this might lead to a slight over recovery, this was considered preferable to</w:t>
      </w:r>
      <w:r>
        <w:rPr>
          <w:spacing w:val="-3"/>
          <w:sz w:val="20"/>
        </w:rPr>
        <w:t> </w:t>
      </w:r>
      <w:r>
        <w:rPr>
          <w:sz w:val="20"/>
        </w:rPr>
        <w:t>volatility;</w:t>
      </w:r>
    </w:p>
    <w:p>
      <w:pPr>
        <w:pStyle w:val="ListParagraph"/>
        <w:numPr>
          <w:ilvl w:val="1"/>
          <w:numId w:val="1"/>
        </w:numPr>
        <w:tabs>
          <w:tab w:pos="1320" w:val="left" w:leader="none"/>
          <w:tab w:pos="1321" w:val="left" w:leader="none"/>
        </w:tabs>
        <w:spacing w:line="276" w:lineRule="auto" w:before="0" w:after="0"/>
        <w:ind w:left="1320" w:right="116" w:hanging="360"/>
        <w:jc w:val="left"/>
        <w:rPr>
          <w:sz w:val="20"/>
        </w:rPr>
      </w:pPr>
      <w:r>
        <w:rPr>
          <w:b/>
          <w:sz w:val="20"/>
        </w:rPr>
        <w:t>Transparency and fairness: </w:t>
      </w:r>
      <w:r>
        <w:rPr>
          <w:sz w:val="20"/>
        </w:rPr>
        <w:t>the basis of tariff calculations should be transparent and equitable to all users of RTGS. Cross subsidisation across different schemes settled through RTGS should be minimised and any shared cost allocation easily explained;</w:t>
      </w:r>
    </w:p>
    <w:p>
      <w:pPr>
        <w:pStyle w:val="ListParagraph"/>
        <w:numPr>
          <w:ilvl w:val="1"/>
          <w:numId w:val="1"/>
        </w:numPr>
        <w:tabs>
          <w:tab w:pos="1320" w:val="left" w:leader="none"/>
          <w:tab w:pos="1321" w:val="left" w:leader="none"/>
        </w:tabs>
        <w:spacing w:line="276" w:lineRule="auto" w:before="0" w:after="0"/>
        <w:ind w:left="1320" w:right="225" w:hanging="360"/>
        <w:jc w:val="left"/>
        <w:rPr>
          <w:sz w:val="20"/>
        </w:rPr>
      </w:pPr>
      <w:r>
        <w:rPr>
          <w:b/>
          <w:sz w:val="20"/>
        </w:rPr>
        <w:t>‘Bundled pricing’: </w:t>
      </w:r>
      <w:r>
        <w:rPr>
          <w:sz w:val="20"/>
        </w:rPr>
        <w:t>the Renewal Programme will deliver new services such as APIs and the Bank could consider a more complex model where individual services or components are priced and charged for separately. EAB favoured simplicity, indicating costs for core services should be ‘bundled’ as far as possible but that the Bank could consider a separate charging model for additional services if only a subset of firms were using them. EAB felt this would be fairer, result in more predictable costs and more in line with pricing models demanded by</w:t>
      </w:r>
      <w:r>
        <w:rPr>
          <w:spacing w:val="-14"/>
          <w:sz w:val="20"/>
        </w:rPr>
        <w:t> </w:t>
      </w:r>
      <w:r>
        <w:rPr>
          <w:sz w:val="20"/>
        </w:rPr>
        <w:t>customers.</w:t>
      </w:r>
    </w:p>
    <w:p>
      <w:pPr>
        <w:pStyle w:val="ListParagraph"/>
        <w:numPr>
          <w:ilvl w:val="1"/>
          <w:numId w:val="1"/>
        </w:numPr>
        <w:tabs>
          <w:tab w:pos="1320" w:val="left" w:leader="none"/>
          <w:tab w:pos="1321" w:val="left" w:leader="none"/>
        </w:tabs>
        <w:spacing w:line="276" w:lineRule="auto" w:before="0" w:after="0"/>
        <w:ind w:left="1320" w:right="411" w:hanging="360"/>
        <w:jc w:val="left"/>
        <w:rPr>
          <w:sz w:val="20"/>
        </w:rPr>
      </w:pPr>
      <w:r>
        <w:rPr>
          <w:b/>
          <w:sz w:val="20"/>
        </w:rPr>
        <w:t>Volume vs value: </w:t>
      </w:r>
      <w:r>
        <w:rPr>
          <w:sz w:val="20"/>
        </w:rPr>
        <w:t>EAB expressed a preference to retain the current approach where per-item fees are charged by volume rather than value. Changing this model would lead to additional complexity in approach. It was, however, noted that the need for resilience was driven by the high values settled and that this was why some other FMIs include an element of value-based charging.</w:t>
      </w:r>
    </w:p>
    <w:p>
      <w:pPr>
        <w:pStyle w:val="ListParagraph"/>
        <w:numPr>
          <w:ilvl w:val="1"/>
          <w:numId w:val="1"/>
        </w:numPr>
        <w:tabs>
          <w:tab w:pos="1320" w:val="left" w:leader="none"/>
          <w:tab w:pos="1321" w:val="left" w:leader="none"/>
        </w:tabs>
        <w:spacing w:line="276" w:lineRule="auto" w:before="0" w:after="0"/>
        <w:ind w:left="1320" w:right="103" w:hanging="360"/>
        <w:jc w:val="left"/>
        <w:rPr>
          <w:sz w:val="20"/>
        </w:rPr>
      </w:pPr>
      <w:r>
        <w:rPr>
          <w:b/>
          <w:sz w:val="20"/>
        </w:rPr>
        <w:t>Business model alignment: </w:t>
      </w:r>
      <w:r>
        <w:rPr>
          <w:sz w:val="20"/>
        </w:rPr>
        <w:t>EAB felt that using the tariff structure to drive any changes in behaviour would be ineffective (for example reducing the number of CHAPS payments made later in the day.) The Bank’s guidance on best practice was more likely to have an impact on behaviour than introducing complex tariff arrangements. Further, such behaviours were frequently aligned with firms’ business models or the structure of the markets firms were operating</w:t>
      </w:r>
      <w:r>
        <w:rPr>
          <w:spacing w:val="-19"/>
          <w:sz w:val="20"/>
        </w:rPr>
        <w:t> </w:t>
      </w:r>
      <w:r>
        <w:rPr>
          <w:sz w:val="20"/>
        </w:rPr>
        <w:t>in.</w:t>
      </w:r>
    </w:p>
    <w:p>
      <w:pPr>
        <w:pStyle w:val="ListParagraph"/>
        <w:numPr>
          <w:ilvl w:val="1"/>
          <w:numId w:val="1"/>
        </w:numPr>
        <w:tabs>
          <w:tab w:pos="1320" w:val="left" w:leader="none"/>
          <w:tab w:pos="1321" w:val="left" w:leader="none"/>
        </w:tabs>
        <w:spacing w:line="276" w:lineRule="auto" w:before="0" w:after="0"/>
        <w:ind w:left="1320" w:right="165" w:hanging="360"/>
        <w:jc w:val="left"/>
        <w:rPr>
          <w:sz w:val="20"/>
        </w:rPr>
      </w:pPr>
      <w:r>
        <w:rPr>
          <w:b/>
          <w:sz w:val="20"/>
        </w:rPr>
        <w:t>On-boarding costs should be equitable for all: </w:t>
      </w:r>
      <w:r>
        <w:rPr>
          <w:sz w:val="20"/>
        </w:rPr>
        <w:t>there was consensus that the Bank should consider an ‘on-boarding fee’ for new joiners – stressing it would be more equitable if current participants did not bear the costs of on-boarding for new members. However, this must not be excessive or create an unwarranted barrier to entry. It was noted that in the long term, the fixed element of the tariff (annual participation fee) should contribute more to cost recovery given the anticipated rise in new entrants.</w:t>
      </w:r>
    </w:p>
    <w:p>
      <w:pPr>
        <w:pStyle w:val="BodyText"/>
        <w:rPr>
          <w:sz w:val="23"/>
        </w:rPr>
      </w:pPr>
    </w:p>
    <w:p>
      <w:pPr>
        <w:pStyle w:val="ListParagraph"/>
        <w:numPr>
          <w:ilvl w:val="0"/>
          <w:numId w:val="1"/>
        </w:numPr>
        <w:tabs>
          <w:tab w:pos="668" w:val="left" w:leader="none"/>
        </w:tabs>
        <w:spacing w:line="276" w:lineRule="auto" w:before="0" w:after="0"/>
        <w:ind w:left="667" w:right="193" w:hanging="360"/>
        <w:jc w:val="left"/>
        <w:rPr>
          <w:sz w:val="20"/>
        </w:rPr>
      </w:pPr>
      <w:r>
        <w:rPr>
          <w:sz w:val="20"/>
        </w:rPr>
        <w:t>EAB suggested the Bank develop use cases across different principles to test whether any changes would create a significant advantage or barriers to</w:t>
      </w:r>
      <w:r>
        <w:rPr>
          <w:spacing w:val="-2"/>
          <w:sz w:val="20"/>
        </w:rPr>
        <w:t> </w:t>
      </w:r>
      <w:r>
        <w:rPr>
          <w:sz w:val="20"/>
        </w:rPr>
        <w:t>entry.</w:t>
      </w:r>
    </w:p>
    <w:p>
      <w:pPr>
        <w:pStyle w:val="BodyText"/>
        <w:spacing w:before="4"/>
        <w:rPr>
          <w:sz w:val="16"/>
        </w:rPr>
      </w:pPr>
    </w:p>
    <w:p>
      <w:pPr>
        <w:pStyle w:val="Heading1"/>
      </w:pPr>
      <w:r>
        <w:rPr/>
        <w:t>Item 5: Synchronisation update</w:t>
      </w:r>
    </w:p>
    <w:p>
      <w:pPr>
        <w:pStyle w:val="BodyText"/>
        <w:spacing w:before="7"/>
        <w:rPr>
          <w:b/>
          <w:sz w:val="19"/>
        </w:rPr>
      </w:pPr>
    </w:p>
    <w:p>
      <w:pPr>
        <w:pStyle w:val="ListParagraph"/>
        <w:numPr>
          <w:ilvl w:val="0"/>
          <w:numId w:val="1"/>
        </w:numPr>
        <w:tabs>
          <w:tab w:pos="601" w:val="left" w:leader="none"/>
        </w:tabs>
        <w:spacing w:line="276" w:lineRule="auto" w:before="0" w:after="0"/>
        <w:ind w:left="600" w:right="245" w:hanging="360"/>
        <w:jc w:val="left"/>
        <w:rPr>
          <w:sz w:val="20"/>
        </w:rPr>
      </w:pPr>
      <w:r>
        <w:rPr>
          <w:sz w:val="20"/>
        </w:rPr>
        <w:t>An update was provided on the Bank’s work to explore introducing synchronisation functionality into the new RTGS service and the extensive industry engagement</w:t>
      </w:r>
      <w:r>
        <w:rPr>
          <w:spacing w:val="-4"/>
          <w:sz w:val="20"/>
        </w:rPr>
        <w:t> </w:t>
      </w:r>
      <w:r>
        <w:rPr>
          <w:sz w:val="20"/>
        </w:rPr>
        <w:t>undertaken.</w:t>
      </w:r>
    </w:p>
    <w:p>
      <w:pPr>
        <w:pStyle w:val="BodyText"/>
        <w:rPr>
          <w:sz w:val="23"/>
        </w:rPr>
      </w:pPr>
    </w:p>
    <w:p>
      <w:pPr>
        <w:pStyle w:val="ListParagraph"/>
        <w:numPr>
          <w:ilvl w:val="0"/>
          <w:numId w:val="1"/>
        </w:numPr>
        <w:tabs>
          <w:tab w:pos="601" w:val="left" w:leader="none"/>
        </w:tabs>
        <w:spacing w:line="276" w:lineRule="auto" w:before="0" w:after="0"/>
        <w:ind w:left="600" w:right="171" w:hanging="360"/>
        <w:jc w:val="left"/>
        <w:rPr>
          <w:sz w:val="20"/>
        </w:rPr>
      </w:pPr>
      <w:r>
        <w:rPr>
          <w:sz w:val="20"/>
        </w:rPr>
        <w:t>Through this engagement the Bank has shared more detail on the potential functionality, planned roles and responsibilities and approach to future engagement. Feedback through the engagement process has been</w:t>
      </w:r>
      <w:r>
        <w:rPr>
          <w:spacing w:val="-3"/>
          <w:sz w:val="20"/>
        </w:rPr>
        <w:t> </w:t>
      </w:r>
      <w:r>
        <w:rPr>
          <w:sz w:val="20"/>
        </w:rPr>
        <w:t>positive,</w:t>
      </w:r>
      <w:r>
        <w:rPr>
          <w:spacing w:val="-2"/>
          <w:sz w:val="20"/>
        </w:rPr>
        <w:t> </w:t>
      </w:r>
      <w:r>
        <w:rPr>
          <w:sz w:val="20"/>
        </w:rPr>
        <w:t>though</w:t>
      </w:r>
      <w:r>
        <w:rPr>
          <w:spacing w:val="-2"/>
          <w:sz w:val="20"/>
        </w:rPr>
        <w:t> </w:t>
      </w:r>
      <w:r>
        <w:rPr>
          <w:sz w:val="20"/>
        </w:rPr>
        <w:t>firms</w:t>
      </w:r>
      <w:r>
        <w:rPr>
          <w:spacing w:val="-4"/>
          <w:sz w:val="20"/>
        </w:rPr>
        <w:t> </w:t>
      </w:r>
      <w:r>
        <w:rPr>
          <w:sz w:val="20"/>
        </w:rPr>
        <w:t>and</w:t>
      </w:r>
      <w:r>
        <w:rPr>
          <w:spacing w:val="-2"/>
          <w:sz w:val="20"/>
        </w:rPr>
        <w:t> </w:t>
      </w:r>
      <w:r>
        <w:rPr>
          <w:sz w:val="20"/>
        </w:rPr>
        <w:t>requested</w:t>
      </w:r>
      <w:r>
        <w:rPr>
          <w:spacing w:val="-2"/>
          <w:sz w:val="20"/>
        </w:rPr>
        <w:t> </w:t>
      </w:r>
      <w:r>
        <w:rPr>
          <w:sz w:val="20"/>
        </w:rPr>
        <w:t>more</w:t>
      </w:r>
      <w:r>
        <w:rPr>
          <w:spacing w:val="-3"/>
          <w:sz w:val="20"/>
        </w:rPr>
        <w:t> </w:t>
      </w:r>
      <w:r>
        <w:rPr>
          <w:sz w:val="20"/>
        </w:rPr>
        <w:t>detail</w:t>
      </w:r>
      <w:r>
        <w:rPr>
          <w:spacing w:val="-2"/>
          <w:sz w:val="20"/>
        </w:rPr>
        <w:t> </w:t>
      </w:r>
      <w:r>
        <w:rPr>
          <w:sz w:val="20"/>
        </w:rPr>
        <w:t>on</w:t>
      </w:r>
      <w:r>
        <w:rPr>
          <w:spacing w:val="-2"/>
          <w:sz w:val="20"/>
        </w:rPr>
        <w:t> </w:t>
      </w:r>
      <w:r>
        <w:rPr>
          <w:sz w:val="20"/>
        </w:rPr>
        <w:t>both</w:t>
      </w:r>
      <w:r>
        <w:rPr>
          <w:spacing w:val="-1"/>
          <w:sz w:val="20"/>
        </w:rPr>
        <w:t> </w:t>
      </w:r>
      <w:r>
        <w:rPr>
          <w:sz w:val="20"/>
        </w:rPr>
        <w:t>the</w:t>
      </w:r>
      <w:r>
        <w:rPr>
          <w:spacing w:val="-3"/>
          <w:sz w:val="20"/>
        </w:rPr>
        <w:t> </w:t>
      </w:r>
      <w:r>
        <w:rPr>
          <w:sz w:val="20"/>
        </w:rPr>
        <w:t>technical</w:t>
      </w:r>
      <w:r>
        <w:rPr>
          <w:spacing w:val="-2"/>
          <w:sz w:val="20"/>
        </w:rPr>
        <w:t> </w:t>
      </w:r>
      <w:r>
        <w:rPr>
          <w:sz w:val="20"/>
        </w:rPr>
        <w:t>design</w:t>
      </w:r>
      <w:r>
        <w:rPr>
          <w:spacing w:val="-2"/>
          <w:sz w:val="20"/>
        </w:rPr>
        <w:t> </w:t>
      </w:r>
      <w:r>
        <w:rPr>
          <w:sz w:val="20"/>
        </w:rPr>
        <w:t>of</w:t>
      </w:r>
      <w:r>
        <w:rPr>
          <w:spacing w:val="-4"/>
          <w:sz w:val="20"/>
        </w:rPr>
        <w:t> </w:t>
      </w:r>
      <w:r>
        <w:rPr>
          <w:sz w:val="20"/>
        </w:rPr>
        <w:t>the</w:t>
      </w:r>
      <w:r>
        <w:rPr>
          <w:spacing w:val="-3"/>
          <w:sz w:val="20"/>
        </w:rPr>
        <w:t> </w:t>
      </w:r>
      <w:r>
        <w:rPr>
          <w:sz w:val="20"/>
        </w:rPr>
        <w:t>service</w:t>
      </w:r>
      <w:r>
        <w:rPr>
          <w:spacing w:val="-3"/>
          <w:sz w:val="20"/>
        </w:rPr>
        <w:t> </w:t>
      </w:r>
      <w:r>
        <w:rPr>
          <w:sz w:val="20"/>
        </w:rPr>
        <w:t>and</w:t>
      </w:r>
      <w:r>
        <w:rPr>
          <w:spacing w:val="-2"/>
          <w:sz w:val="20"/>
        </w:rPr>
        <w:t> </w:t>
      </w:r>
      <w:r>
        <w:rPr>
          <w:sz w:val="20"/>
        </w:rPr>
        <w:t>the</w:t>
      </w:r>
    </w:p>
    <w:p>
      <w:pPr>
        <w:spacing w:after="0" w:line="276" w:lineRule="auto"/>
        <w:jc w:val="left"/>
        <w:rPr>
          <w:sz w:val="20"/>
        </w:rPr>
        <w:sectPr>
          <w:pgSz w:w="11910" w:h="16840"/>
          <w:pgMar w:header="497" w:footer="859" w:top="1380" w:bottom="1040" w:left="1200" w:right="1340"/>
        </w:sectPr>
      </w:pPr>
    </w:p>
    <w:p>
      <w:pPr>
        <w:pStyle w:val="BodyText"/>
        <w:spacing w:line="276" w:lineRule="auto" w:before="49"/>
        <w:ind w:left="600"/>
      </w:pPr>
      <w:r>
        <w:rPr/>
        <w:t>Bank’s policies. In response, the Bank is considering developing a test system and has published further information on the Bank’s current thinking and policy stance on this topic</w:t>
      </w:r>
      <w:r>
        <w:rPr>
          <w:vertAlign w:val="superscript"/>
        </w:rPr>
        <w:t>3</w:t>
      </w:r>
      <w:r>
        <w:rPr>
          <w:vertAlign w:val="baseline"/>
        </w:rPr>
        <w:t>.</w:t>
      </w:r>
    </w:p>
    <w:p>
      <w:pPr>
        <w:pStyle w:val="BodyText"/>
        <w:rPr>
          <w:sz w:val="23"/>
        </w:rPr>
      </w:pPr>
    </w:p>
    <w:p>
      <w:pPr>
        <w:pStyle w:val="ListParagraph"/>
        <w:numPr>
          <w:ilvl w:val="0"/>
          <w:numId w:val="1"/>
        </w:numPr>
        <w:tabs>
          <w:tab w:pos="601" w:val="left" w:leader="none"/>
        </w:tabs>
        <w:spacing w:line="276" w:lineRule="auto" w:before="0" w:after="0"/>
        <w:ind w:left="600" w:right="179" w:hanging="360"/>
        <w:jc w:val="left"/>
        <w:rPr>
          <w:sz w:val="20"/>
        </w:rPr>
      </w:pPr>
      <w:r>
        <w:rPr>
          <w:sz w:val="20"/>
        </w:rPr>
        <w:t>EAB</w:t>
      </w:r>
      <w:r>
        <w:rPr>
          <w:spacing w:val="-4"/>
          <w:sz w:val="20"/>
        </w:rPr>
        <w:t> </w:t>
      </w:r>
      <w:r>
        <w:rPr>
          <w:sz w:val="20"/>
        </w:rPr>
        <w:t>were</w:t>
      </w:r>
      <w:r>
        <w:rPr>
          <w:spacing w:val="-3"/>
          <w:sz w:val="20"/>
        </w:rPr>
        <w:t> </w:t>
      </w:r>
      <w:r>
        <w:rPr>
          <w:sz w:val="20"/>
        </w:rPr>
        <w:t>asked</w:t>
      </w:r>
      <w:r>
        <w:rPr>
          <w:spacing w:val="-2"/>
          <w:sz w:val="20"/>
        </w:rPr>
        <w:t> </w:t>
      </w:r>
      <w:r>
        <w:rPr>
          <w:sz w:val="20"/>
        </w:rPr>
        <w:t>for</w:t>
      </w:r>
      <w:r>
        <w:rPr>
          <w:spacing w:val="-2"/>
          <w:sz w:val="20"/>
        </w:rPr>
        <w:t> </w:t>
      </w:r>
      <w:r>
        <w:rPr>
          <w:sz w:val="20"/>
        </w:rPr>
        <w:t>their</w:t>
      </w:r>
      <w:r>
        <w:rPr>
          <w:spacing w:val="-2"/>
          <w:sz w:val="20"/>
        </w:rPr>
        <w:t> </w:t>
      </w:r>
      <w:r>
        <w:rPr>
          <w:sz w:val="20"/>
        </w:rPr>
        <w:t>views</w:t>
      </w:r>
      <w:r>
        <w:rPr>
          <w:spacing w:val="-4"/>
          <w:sz w:val="20"/>
        </w:rPr>
        <w:t> </w:t>
      </w:r>
      <w:r>
        <w:rPr>
          <w:sz w:val="20"/>
        </w:rPr>
        <w:t>on</w:t>
      </w:r>
      <w:r>
        <w:rPr>
          <w:spacing w:val="-2"/>
          <w:sz w:val="20"/>
        </w:rPr>
        <w:t> </w:t>
      </w:r>
      <w:r>
        <w:rPr>
          <w:sz w:val="20"/>
        </w:rPr>
        <w:t>the</w:t>
      </w:r>
      <w:r>
        <w:rPr>
          <w:spacing w:val="-4"/>
          <w:sz w:val="20"/>
        </w:rPr>
        <w:t> </w:t>
      </w:r>
      <w:r>
        <w:rPr>
          <w:sz w:val="20"/>
        </w:rPr>
        <w:t>test</w:t>
      </w:r>
      <w:r>
        <w:rPr>
          <w:spacing w:val="-2"/>
          <w:sz w:val="20"/>
        </w:rPr>
        <w:t> </w:t>
      </w:r>
      <w:r>
        <w:rPr>
          <w:sz w:val="20"/>
        </w:rPr>
        <w:t>system</w:t>
      </w:r>
      <w:r>
        <w:rPr>
          <w:spacing w:val="-3"/>
          <w:sz w:val="20"/>
        </w:rPr>
        <w:t> </w:t>
      </w:r>
      <w:r>
        <w:rPr>
          <w:sz w:val="20"/>
        </w:rPr>
        <w:t>and</w:t>
      </w:r>
      <w:r>
        <w:rPr>
          <w:spacing w:val="-2"/>
          <w:sz w:val="20"/>
        </w:rPr>
        <w:t> </w:t>
      </w:r>
      <w:r>
        <w:rPr>
          <w:sz w:val="20"/>
        </w:rPr>
        <w:t>the</w:t>
      </w:r>
      <w:r>
        <w:rPr>
          <w:spacing w:val="-3"/>
          <w:sz w:val="20"/>
        </w:rPr>
        <w:t> </w:t>
      </w:r>
      <w:r>
        <w:rPr>
          <w:sz w:val="20"/>
        </w:rPr>
        <w:t>potential</w:t>
      </w:r>
      <w:r>
        <w:rPr>
          <w:spacing w:val="-2"/>
          <w:sz w:val="20"/>
        </w:rPr>
        <w:t> </w:t>
      </w:r>
      <w:r>
        <w:rPr>
          <w:sz w:val="20"/>
        </w:rPr>
        <w:t>for</w:t>
      </w:r>
      <w:r>
        <w:rPr>
          <w:spacing w:val="-2"/>
          <w:sz w:val="20"/>
        </w:rPr>
        <w:t> </w:t>
      </w:r>
      <w:r>
        <w:rPr>
          <w:sz w:val="20"/>
        </w:rPr>
        <w:t>synchronisation</w:t>
      </w:r>
      <w:r>
        <w:rPr>
          <w:spacing w:val="-2"/>
          <w:sz w:val="20"/>
        </w:rPr>
        <w:t> </w:t>
      </w:r>
      <w:r>
        <w:rPr>
          <w:sz w:val="20"/>
        </w:rPr>
        <w:t>functionality</w:t>
      </w:r>
      <w:r>
        <w:rPr>
          <w:spacing w:val="-2"/>
          <w:sz w:val="20"/>
        </w:rPr>
        <w:t> </w:t>
      </w:r>
      <w:r>
        <w:rPr>
          <w:sz w:val="20"/>
        </w:rPr>
        <w:t>now further thinking had been</w:t>
      </w:r>
      <w:r>
        <w:rPr>
          <w:spacing w:val="-1"/>
          <w:sz w:val="20"/>
        </w:rPr>
        <w:t> </w:t>
      </w:r>
      <w:r>
        <w:rPr>
          <w:sz w:val="20"/>
        </w:rPr>
        <w:t>undertaken.</w:t>
      </w:r>
    </w:p>
    <w:p>
      <w:pPr>
        <w:pStyle w:val="BodyText"/>
        <w:rPr>
          <w:sz w:val="23"/>
        </w:rPr>
      </w:pPr>
    </w:p>
    <w:p>
      <w:pPr>
        <w:pStyle w:val="ListParagraph"/>
        <w:numPr>
          <w:ilvl w:val="0"/>
          <w:numId w:val="1"/>
        </w:numPr>
        <w:tabs>
          <w:tab w:pos="601" w:val="left" w:leader="none"/>
        </w:tabs>
        <w:spacing w:line="276" w:lineRule="auto" w:before="0" w:after="0"/>
        <w:ind w:left="600" w:right="271" w:hanging="360"/>
        <w:jc w:val="left"/>
        <w:rPr>
          <w:sz w:val="20"/>
        </w:rPr>
      </w:pPr>
      <w:r>
        <w:rPr>
          <w:sz w:val="20"/>
        </w:rPr>
        <w:t>EAB felt more needed to be done to prove the business case for synchronisation and expressed some scepticism over whether it would deliver the benefits envisaged. They noted that previous initiatives in the housing sector had not gained traction and that similar functionality used in other countries had not, in their view, been particularly</w:t>
      </w:r>
      <w:r>
        <w:rPr>
          <w:spacing w:val="-1"/>
          <w:sz w:val="20"/>
        </w:rPr>
        <w:t> </w:t>
      </w:r>
      <w:r>
        <w:rPr>
          <w:sz w:val="20"/>
        </w:rPr>
        <w:t>successful.</w:t>
      </w:r>
    </w:p>
    <w:p>
      <w:pPr>
        <w:pStyle w:val="BodyText"/>
        <w:rPr>
          <w:sz w:val="23"/>
        </w:rPr>
      </w:pPr>
    </w:p>
    <w:p>
      <w:pPr>
        <w:pStyle w:val="ListParagraph"/>
        <w:numPr>
          <w:ilvl w:val="0"/>
          <w:numId w:val="1"/>
        </w:numPr>
        <w:tabs>
          <w:tab w:pos="601" w:val="left" w:leader="none"/>
        </w:tabs>
        <w:spacing w:line="240" w:lineRule="auto" w:before="0" w:after="0"/>
        <w:ind w:left="600" w:right="0" w:hanging="361"/>
        <w:jc w:val="left"/>
        <w:rPr>
          <w:sz w:val="20"/>
        </w:rPr>
      </w:pPr>
      <w:r>
        <w:rPr>
          <w:sz w:val="20"/>
        </w:rPr>
        <w:t>They</w:t>
      </w:r>
      <w:r>
        <w:rPr>
          <w:spacing w:val="-3"/>
          <w:sz w:val="20"/>
        </w:rPr>
        <w:t> </w:t>
      </w:r>
      <w:r>
        <w:rPr>
          <w:sz w:val="20"/>
        </w:rPr>
        <w:t>stressed</w:t>
      </w:r>
      <w:r>
        <w:rPr>
          <w:spacing w:val="-2"/>
          <w:sz w:val="20"/>
        </w:rPr>
        <w:t> </w:t>
      </w:r>
      <w:r>
        <w:rPr>
          <w:sz w:val="20"/>
        </w:rPr>
        <w:t>that</w:t>
      </w:r>
      <w:r>
        <w:rPr>
          <w:spacing w:val="-3"/>
          <w:sz w:val="20"/>
        </w:rPr>
        <w:t> </w:t>
      </w:r>
      <w:r>
        <w:rPr>
          <w:sz w:val="20"/>
        </w:rPr>
        <w:t>policy</w:t>
      </w:r>
      <w:r>
        <w:rPr>
          <w:spacing w:val="-2"/>
          <w:sz w:val="20"/>
        </w:rPr>
        <w:t> </w:t>
      </w:r>
      <w:r>
        <w:rPr>
          <w:sz w:val="20"/>
        </w:rPr>
        <w:t>and</w:t>
      </w:r>
      <w:r>
        <w:rPr>
          <w:spacing w:val="-4"/>
          <w:sz w:val="20"/>
        </w:rPr>
        <w:t> </w:t>
      </w:r>
      <w:r>
        <w:rPr>
          <w:sz w:val="20"/>
        </w:rPr>
        <w:t>legal</w:t>
      </w:r>
      <w:r>
        <w:rPr>
          <w:spacing w:val="-3"/>
          <w:sz w:val="20"/>
        </w:rPr>
        <w:t> </w:t>
      </w:r>
      <w:r>
        <w:rPr>
          <w:sz w:val="20"/>
        </w:rPr>
        <w:t>issues</w:t>
      </w:r>
      <w:r>
        <w:rPr>
          <w:spacing w:val="-4"/>
          <w:sz w:val="20"/>
        </w:rPr>
        <w:t> </w:t>
      </w:r>
      <w:r>
        <w:rPr>
          <w:sz w:val="20"/>
        </w:rPr>
        <w:t>surrounding</w:t>
      </w:r>
      <w:r>
        <w:rPr>
          <w:spacing w:val="-4"/>
          <w:sz w:val="20"/>
        </w:rPr>
        <w:t> </w:t>
      </w:r>
      <w:r>
        <w:rPr>
          <w:sz w:val="20"/>
        </w:rPr>
        <w:t>synchronised</w:t>
      </w:r>
      <w:r>
        <w:rPr>
          <w:spacing w:val="-2"/>
          <w:sz w:val="20"/>
        </w:rPr>
        <w:t> </w:t>
      </w:r>
      <w:r>
        <w:rPr>
          <w:sz w:val="20"/>
        </w:rPr>
        <w:t>settlement</w:t>
      </w:r>
      <w:r>
        <w:rPr>
          <w:spacing w:val="-2"/>
          <w:sz w:val="20"/>
        </w:rPr>
        <w:t> </w:t>
      </w:r>
      <w:r>
        <w:rPr>
          <w:sz w:val="20"/>
        </w:rPr>
        <w:t>would</w:t>
      </w:r>
      <w:r>
        <w:rPr>
          <w:spacing w:val="-3"/>
          <w:sz w:val="20"/>
        </w:rPr>
        <w:t> </w:t>
      </w:r>
      <w:r>
        <w:rPr>
          <w:sz w:val="20"/>
        </w:rPr>
        <w:t>be</w:t>
      </w:r>
      <w:r>
        <w:rPr>
          <w:spacing w:val="-1"/>
          <w:sz w:val="20"/>
        </w:rPr>
        <w:t> </w:t>
      </w:r>
      <w:r>
        <w:rPr>
          <w:sz w:val="20"/>
        </w:rPr>
        <w:t>complex</w:t>
      </w:r>
      <w:r>
        <w:rPr>
          <w:spacing w:val="-3"/>
          <w:sz w:val="20"/>
        </w:rPr>
        <w:t> </w:t>
      </w:r>
      <w:r>
        <w:rPr>
          <w:sz w:val="20"/>
        </w:rPr>
        <w:t>to</w:t>
      </w:r>
      <w:r>
        <w:rPr>
          <w:spacing w:val="-2"/>
          <w:sz w:val="20"/>
        </w:rPr>
        <w:t> </w:t>
      </w:r>
      <w:r>
        <w:rPr>
          <w:sz w:val="20"/>
        </w:rPr>
        <w:t>solve</w:t>
      </w:r>
    </w:p>
    <w:p>
      <w:pPr>
        <w:pStyle w:val="BodyText"/>
        <w:spacing w:line="276" w:lineRule="auto" w:before="37"/>
        <w:ind w:left="600" w:right="127"/>
      </w:pPr>
      <w:r>
        <w:rPr/>
        <w:t>– in particular legal certainty over the asset movement – but they noted these issues were outside what the Bank can address. Resolving these issues and developing a robust business case for the functionality would be an important factor in getting potential Synchronisation Operators to commit to investing in this service.</w:t>
      </w:r>
    </w:p>
    <w:p>
      <w:pPr>
        <w:pStyle w:val="BodyText"/>
        <w:spacing w:before="1"/>
        <w:rPr>
          <w:sz w:val="23"/>
        </w:rPr>
      </w:pPr>
    </w:p>
    <w:p>
      <w:pPr>
        <w:pStyle w:val="ListParagraph"/>
        <w:numPr>
          <w:ilvl w:val="0"/>
          <w:numId w:val="1"/>
        </w:numPr>
        <w:tabs>
          <w:tab w:pos="601" w:val="left" w:leader="none"/>
        </w:tabs>
        <w:spacing w:line="276" w:lineRule="auto" w:before="0" w:after="0"/>
        <w:ind w:left="600" w:right="675" w:hanging="360"/>
        <w:jc w:val="left"/>
        <w:rPr>
          <w:sz w:val="20"/>
        </w:rPr>
      </w:pPr>
      <w:r>
        <w:rPr>
          <w:sz w:val="20"/>
        </w:rPr>
        <w:t>EAB</w:t>
      </w:r>
      <w:r>
        <w:rPr>
          <w:spacing w:val="-4"/>
          <w:sz w:val="20"/>
        </w:rPr>
        <w:t> </w:t>
      </w:r>
      <w:r>
        <w:rPr>
          <w:sz w:val="20"/>
        </w:rPr>
        <w:t>felt</w:t>
      </w:r>
      <w:r>
        <w:rPr>
          <w:spacing w:val="-3"/>
          <w:sz w:val="20"/>
        </w:rPr>
        <w:t> </w:t>
      </w:r>
      <w:r>
        <w:rPr>
          <w:sz w:val="20"/>
        </w:rPr>
        <w:t>the</w:t>
      </w:r>
      <w:r>
        <w:rPr>
          <w:spacing w:val="-4"/>
          <w:sz w:val="20"/>
        </w:rPr>
        <w:t> </w:t>
      </w:r>
      <w:r>
        <w:rPr>
          <w:sz w:val="20"/>
        </w:rPr>
        <w:t>‘technical</w:t>
      </w:r>
      <w:r>
        <w:rPr>
          <w:spacing w:val="-2"/>
          <w:sz w:val="20"/>
        </w:rPr>
        <w:t> </w:t>
      </w:r>
      <w:r>
        <w:rPr>
          <w:sz w:val="20"/>
        </w:rPr>
        <w:t>capability’</w:t>
      </w:r>
      <w:r>
        <w:rPr>
          <w:spacing w:val="-3"/>
          <w:sz w:val="20"/>
        </w:rPr>
        <w:t> </w:t>
      </w:r>
      <w:r>
        <w:rPr>
          <w:sz w:val="20"/>
        </w:rPr>
        <w:t>to</w:t>
      </w:r>
      <w:r>
        <w:rPr>
          <w:spacing w:val="-3"/>
          <w:sz w:val="20"/>
        </w:rPr>
        <w:t> </w:t>
      </w:r>
      <w:r>
        <w:rPr>
          <w:sz w:val="20"/>
        </w:rPr>
        <w:t>deliver</w:t>
      </w:r>
      <w:r>
        <w:rPr>
          <w:spacing w:val="-3"/>
          <w:sz w:val="20"/>
        </w:rPr>
        <w:t> </w:t>
      </w:r>
      <w:r>
        <w:rPr>
          <w:sz w:val="20"/>
        </w:rPr>
        <w:t>synchronised</w:t>
      </w:r>
      <w:r>
        <w:rPr>
          <w:spacing w:val="-2"/>
          <w:sz w:val="20"/>
        </w:rPr>
        <w:t> </w:t>
      </w:r>
      <w:r>
        <w:rPr>
          <w:sz w:val="20"/>
        </w:rPr>
        <w:t>settlement</w:t>
      </w:r>
      <w:r>
        <w:rPr>
          <w:spacing w:val="-3"/>
          <w:sz w:val="20"/>
        </w:rPr>
        <w:t> </w:t>
      </w:r>
      <w:r>
        <w:rPr>
          <w:sz w:val="20"/>
        </w:rPr>
        <w:t>had</w:t>
      </w:r>
      <w:r>
        <w:rPr>
          <w:spacing w:val="-2"/>
          <w:sz w:val="20"/>
        </w:rPr>
        <w:t> </w:t>
      </w:r>
      <w:r>
        <w:rPr>
          <w:sz w:val="20"/>
        </w:rPr>
        <w:t>essentially</w:t>
      </w:r>
      <w:r>
        <w:rPr>
          <w:spacing w:val="-2"/>
          <w:sz w:val="20"/>
        </w:rPr>
        <w:t> </w:t>
      </w:r>
      <w:r>
        <w:rPr>
          <w:sz w:val="20"/>
        </w:rPr>
        <w:t>been</w:t>
      </w:r>
      <w:r>
        <w:rPr>
          <w:spacing w:val="-3"/>
          <w:sz w:val="20"/>
        </w:rPr>
        <w:t> </w:t>
      </w:r>
      <w:r>
        <w:rPr>
          <w:sz w:val="20"/>
        </w:rPr>
        <w:t>proven</w:t>
      </w:r>
      <w:r>
        <w:rPr>
          <w:spacing w:val="-2"/>
          <w:sz w:val="20"/>
        </w:rPr>
        <w:t> </w:t>
      </w:r>
      <w:r>
        <w:rPr>
          <w:sz w:val="20"/>
        </w:rPr>
        <w:t>by CREST. However, they could see value in the Bank operating a test system to provide a tangible demonstration of how the functionality could</w:t>
      </w:r>
      <w:r>
        <w:rPr>
          <w:spacing w:val="-5"/>
          <w:sz w:val="20"/>
        </w:rPr>
        <w:t> </w:t>
      </w:r>
      <w:r>
        <w:rPr>
          <w:sz w:val="20"/>
        </w:rPr>
        <w:t>work.</w:t>
      </w:r>
    </w:p>
    <w:p>
      <w:pPr>
        <w:pStyle w:val="BodyText"/>
        <w:rPr>
          <w:sz w:val="23"/>
        </w:rPr>
      </w:pPr>
    </w:p>
    <w:p>
      <w:pPr>
        <w:pStyle w:val="ListParagraph"/>
        <w:numPr>
          <w:ilvl w:val="0"/>
          <w:numId w:val="1"/>
        </w:numPr>
        <w:tabs>
          <w:tab w:pos="601" w:val="left" w:leader="none"/>
        </w:tabs>
        <w:spacing w:line="276" w:lineRule="auto" w:before="0" w:after="0"/>
        <w:ind w:left="600" w:right="258" w:hanging="360"/>
        <w:jc w:val="left"/>
        <w:rPr>
          <w:sz w:val="20"/>
        </w:rPr>
      </w:pPr>
      <w:r>
        <w:rPr>
          <w:sz w:val="20"/>
        </w:rPr>
        <w:t>The Bank acknowledged these concerns, and that this was already part of the forward work plan. However, it noted that there were a number of firms already innovating in this space across a range of different use cases, and that it considered that there was value in continuing to explore this. EAB agreed that the Bank should remain open-minded on this</w:t>
      </w:r>
      <w:r>
        <w:rPr>
          <w:spacing w:val="-4"/>
          <w:sz w:val="20"/>
        </w:rPr>
        <w:t> </w:t>
      </w:r>
      <w:r>
        <w:rPr>
          <w:sz w:val="20"/>
        </w:rPr>
        <w:t>topic.</w:t>
      </w:r>
    </w:p>
    <w:p>
      <w:pPr>
        <w:pStyle w:val="BodyText"/>
        <w:rPr>
          <w:sz w:val="23"/>
        </w:rPr>
      </w:pPr>
    </w:p>
    <w:p>
      <w:pPr>
        <w:pStyle w:val="Heading1"/>
      </w:pPr>
      <w:r>
        <w:rPr/>
        <w:t>AOB</w:t>
      </w:r>
    </w:p>
    <w:p>
      <w:pPr>
        <w:pStyle w:val="BodyText"/>
        <w:spacing w:before="1"/>
        <w:rPr>
          <w:b/>
          <w:sz w:val="26"/>
        </w:rPr>
      </w:pPr>
    </w:p>
    <w:p>
      <w:pPr>
        <w:pStyle w:val="ListParagraph"/>
        <w:numPr>
          <w:ilvl w:val="0"/>
          <w:numId w:val="1"/>
        </w:numPr>
        <w:tabs>
          <w:tab w:pos="601" w:val="left" w:leader="none"/>
        </w:tabs>
        <w:spacing w:line="276" w:lineRule="auto" w:before="0" w:after="0"/>
        <w:ind w:left="600" w:right="614" w:hanging="360"/>
        <w:jc w:val="left"/>
        <w:rPr>
          <w:sz w:val="20"/>
        </w:rPr>
      </w:pPr>
      <w:r>
        <w:rPr>
          <w:sz w:val="20"/>
        </w:rPr>
        <w:t>The Bank informed members that the next EAB will include an initial discussion on testing principles, including any early ISO 20022 testing. EAB’s views on future agenda items were</w:t>
      </w:r>
      <w:r>
        <w:rPr>
          <w:spacing w:val="-11"/>
          <w:sz w:val="20"/>
        </w:rPr>
        <w:t> </w:t>
      </w:r>
      <w:r>
        <w:rPr>
          <w:sz w:val="20"/>
        </w:rPr>
        <w:t>welcome.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1"/>
        </w:rPr>
      </w:pPr>
      <w:r>
        <w:rPr/>
        <w:pict>
          <v:shape style="position:absolute;margin-left:72.024002pt;margin-top:9.453023pt;width:144.050pt;height:.1pt;mso-position-horizontal-relative:page;mso-position-vertical-relative:paragraph;z-index:-251657216;mso-wrap-distance-left:0;mso-wrap-distance-right:0" coordorigin="1440,189" coordsize="2881,0" path="m1440,189l4321,189e" filled="false" stroked="true" strokeweight=".71997pt" strokecolor="#000000">
            <v:path arrowok="t"/>
            <v:stroke dashstyle="solid"/>
            <w10:wrap type="topAndBottom"/>
          </v:shape>
        </w:pict>
      </w:r>
    </w:p>
    <w:p>
      <w:pPr>
        <w:spacing w:line="273" w:lineRule="auto" w:before="66"/>
        <w:ind w:left="240" w:right="438" w:firstLine="0"/>
        <w:jc w:val="left"/>
        <w:rPr>
          <w:sz w:val="22"/>
        </w:rPr>
      </w:pPr>
      <w:r>
        <w:rPr>
          <w:position w:val="8"/>
          <w:sz w:val="14"/>
        </w:rPr>
        <w:t>3 </w:t>
      </w:r>
      <w:hyperlink r:id="rId9">
        <w:r>
          <w:rPr>
            <w:color w:val="006FC0"/>
            <w:sz w:val="22"/>
            <w:u w:val="single" w:color="006FC0"/>
          </w:rPr>
          <w:t>https://www.bankofengland.co.uk/-/media/boe/files/payments/rtgs-renewal-programme/rtgs-</w:t>
        </w:r>
      </w:hyperlink>
      <w:r>
        <w:rPr>
          <w:color w:val="006FC0"/>
          <w:sz w:val="22"/>
        </w:rPr>
        <w:t> </w:t>
      </w:r>
      <w:hyperlink r:id="rId9">
        <w:r>
          <w:rPr>
            <w:color w:val="006FC0"/>
            <w:sz w:val="22"/>
            <w:u w:val="single" w:color="006FC0"/>
          </w:rPr>
          <w:t>renewal-synchronisation-engagement-update.pdf</w:t>
        </w:r>
      </w:hyperlink>
    </w:p>
    <w:p>
      <w:pPr>
        <w:pStyle w:val="BodyText"/>
        <w:spacing w:before="1"/>
        <w:rPr>
          <w:sz w:val="12"/>
        </w:rPr>
      </w:pPr>
    </w:p>
    <w:p>
      <w:pPr>
        <w:spacing w:line="276" w:lineRule="auto" w:before="56"/>
        <w:ind w:left="240" w:right="561" w:firstLine="0"/>
        <w:jc w:val="left"/>
        <w:rPr>
          <w:sz w:val="22"/>
        </w:rPr>
      </w:pPr>
      <w:hyperlink r:id="rId10">
        <w:r>
          <w:rPr>
            <w:color w:val="006FC0"/>
            <w:sz w:val="22"/>
            <w:u w:val="single" w:color="006FC0"/>
          </w:rPr>
          <w:t>https://www.bankofengland.co.uk/-/media/boe/files/payments/rtgs-renewal-programme/rtgs-</w:t>
        </w:r>
      </w:hyperlink>
      <w:r>
        <w:rPr>
          <w:color w:val="006FC0"/>
          <w:sz w:val="22"/>
        </w:rPr>
        <w:t> </w:t>
      </w:r>
      <w:hyperlink r:id="rId10">
        <w:r>
          <w:rPr>
            <w:color w:val="006FC0"/>
            <w:sz w:val="22"/>
            <w:u w:val="single" w:color="006FC0"/>
          </w:rPr>
          <w:t>renewal-background-guide-to-proposed-rtgs-functionality-synchronisation.pdf</w:t>
        </w:r>
      </w:hyperlink>
    </w:p>
    <w:sectPr>
      <w:pgSz w:w="11910" w:h="16840"/>
      <w:pgMar w:header="497" w:footer="859" w:top="1380" w:bottom="1040" w:left="12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7.119995pt;margin-top:787.976013pt;width:11.6pt;height:13.05pt;mso-position-horizontal-relative:page;mso-position-vertical-relative:page;z-index:-251840512" type="#_x0000_t202" filled="false" stroked="false">
          <v:textbox inset="0,0,0,0">
            <w:txbxContent>
              <w:p>
                <w:pPr>
                  <w:spacing w:line="245" w:lineRule="exact" w:before="0"/>
                  <w:ind w:left="6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74944">
          <wp:simplePos x="0" y="0"/>
          <wp:positionH relativeFrom="page">
            <wp:posOffset>914400</wp:posOffset>
          </wp:positionH>
          <wp:positionV relativeFrom="page">
            <wp:posOffset>315594</wp:posOffset>
          </wp:positionV>
          <wp:extent cx="2336800" cy="4489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336800" cy="4489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5" w:hanging="425"/>
        <w:jc w:val="right"/>
      </w:pPr>
      <w:rPr>
        <w:rFonts w:hint="default" w:ascii="Calibri" w:hAnsi="Calibri" w:eastAsia="Calibri" w:cs="Calibri"/>
        <w:spacing w:val="-1"/>
        <w:w w:val="99"/>
        <w:sz w:val="20"/>
        <w:szCs w:val="20"/>
        <w:lang w:val="en-gb" w:eastAsia="en-gb" w:bidi="en-gb"/>
      </w:rPr>
    </w:lvl>
    <w:lvl w:ilvl="1">
      <w:start w:val="0"/>
      <w:numFmt w:val="bullet"/>
      <w:lvlText w:val=""/>
      <w:lvlJc w:val="left"/>
      <w:pPr>
        <w:ind w:left="1320" w:hanging="360"/>
      </w:pPr>
      <w:rPr>
        <w:rFonts w:hint="default" w:ascii="Symbol" w:hAnsi="Symbol" w:eastAsia="Symbol" w:cs="Symbol"/>
        <w:w w:val="99"/>
        <w:sz w:val="20"/>
        <w:szCs w:val="20"/>
        <w:lang w:val="en-gb" w:eastAsia="en-gb" w:bidi="en-gb"/>
      </w:rPr>
    </w:lvl>
    <w:lvl w:ilvl="2">
      <w:start w:val="0"/>
      <w:numFmt w:val="bullet"/>
      <w:lvlText w:val="•"/>
      <w:lvlJc w:val="left"/>
      <w:pPr>
        <w:ind w:left="2214" w:hanging="360"/>
      </w:pPr>
      <w:rPr>
        <w:rFonts w:hint="default"/>
        <w:lang w:val="en-gb" w:eastAsia="en-gb" w:bidi="en-gb"/>
      </w:rPr>
    </w:lvl>
    <w:lvl w:ilvl="3">
      <w:start w:val="0"/>
      <w:numFmt w:val="bullet"/>
      <w:lvlText w:val="•"/>
      <w:lvlJc w:val="left"/>
      <w:pPr>
        <w:ind w:left="3108" w:hanging="360"/>
      </w:pPr>
      <w:rPr>
        <w:rFonts w:hint="default"/>
        <w:lang w:val="en-gb" w:eastAsia="en-gb" w:bidi="en-gb"/>
      </w:rPr>
    </w:lvl>
    <w:lvl w:ilvl="4">
      <w:start w:val="0"/>
      <w:numFmt w:val="bullet"/>
      <w:lvlText w:val="•"/>
      <w:lvlJc w:val="left"/>
      <w:pPr>
        <w:ind w:left="4002" w:hanging="360"/>
      </w:pPr>
      <w:rPr>
        <w:rFonts w:hint="default"/>
        <w:lang w:val="en-gb" w:eastAsia="en-gb" w:bidi="en-gb"/>
      </w:rPr>
    </w:lvl>
    <w:lvl w:ilvl="5">
      <w:start w:val="0"/>
      <w:numFmt w:val="bullet"/>
      <w:lvlText w:val="•"/>
      <w:lvlJc w:val="left"/>
      <w:pPr>
        <w:ind w:left="4896" w:hanging="360"/>
      </w:pPr>
      <w:rPr>
        <w:rFonts w:hint="default"/>
        <w:lang w:val="en-gb" w:eastAsia="en-gb" w:bidi="en-gb"/>
      </w:rPr>
    </w:lvl>
    <w:lvl w:ilvl="6">
      <w:start w:val="0"/>
      <w:numFmt w:val="bullet"/>
      <w:lvlText w:val="•"/>
      <w:lvlJc w:val="left"/>
      <w:pPr>
        <w:ind w:left="5790" w:hanging="360"/>
      </w:pPr>
      <w:rPr>
        <w:rFonts w:hint="default"/>
        <w:lang w:val="en-gb" w:eastAsia="en-gb" w:bidi="en-gb"/>
      </w:rPr>
    </w:lvl>
    <w:lvl w:ilvl="7">
      <w:start w:val="0"/>
      <w:numFmt w:val="bullet"/>
      <w:lvlText w:val="•"/>
      <w:lvlJc w:val="left"/>
      <w:pPr>
        <w:ind w:left="6684" w:hanging="360"/>
      </w:pPr>
      <w:rPr>
        <w:rFonts w:hint="default"/>
        <w:lang w:val="en-gb" w:eastAsia="en-gb" w:bidi="en-gb"/>
      </w:rPr>
    </w:lvl>
    <w:lvl w:ilvl="8">
      <w:start w:val="0"/>
      <w:numFmt w:val="bullet"/>
      <w:lvlText w:val="•"/>
      <w:lvlJc w:val="left"/>
      <w:pPr>
        <w:ind w:left="7578"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rPr>
      <w:rFonts w:ascii="Calibri" w:hAnsi="Calibri" w:eastAsia="Calibri" w:cs="Calibri"/>
      <w:sz w:val="20"/>
      <w:szCs w:val="20"/>
      <w:lang w:val="en-gb" w:eastAsia="en-gb" w:bidi="en-gb"/>
    </w:rPr>
  </w:style>
  <w:style w:styleId="Heading1" w:type="paragraph">
    <w:name w:val="Heading 1"/>
    <w:basedOn w:val="Normal"/>
    <w:uiPriority w:val="1"/>
    <w:qFormat/>
    <w:pPr>
      <w:ind w:left="240"/>
      <w:outlineLvl w:val="1"/>
    </w:pPr>
    <w:rPr>
      <w:rFonts w:ascii="Calibri" w:hAnsi="Calibri" w:eastAsia="Calibri" w:cs="Calibri"/>
      <w:b/>
      <w:bCs/>
      <w:sz w:val="20"/>
      <w:szCs w:val="20"/>
      <w:lang w:val="en-gb" w:eastAsia="en-gb" w:bidi="en-gb"/>
    </w:rPr>
  </w:style>
  <w:style w:styleId="ListParagraph" w:type="paragraph">
    <w:name w:val="List Paragraph"/>
    <w:basedOn w:val="Normal"/>
    <w:uiPriority w:val="1"/>
    <w:qFormat/>
    <w:pPr>
      <w:ind w:left="667" w:hanging="360"/>
    </w:pPr>
    <w:rPr>
      <w:rFonts w:ascii="Calibri" w:hAnsi="Calibri" w:eastAsia="Calibri" w:cs="Calibri"/>
      <w:lang w:val="en-gb" w:eastAsia="en-gb" w:bidi="en-gb"/>
    </w:rPr>
  </w:style>
  <w:style w:styleId="TableParagraph" w:type="paragraph">
    <w:name w:val="Table Paragraph"/>
    <w:basedOn w:val="Normal"/>
    <w:uiPriority w:val="1"/>
    <w:qFormat/>
    <w:pPr>
      <w:ind w:left="74"/>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bankofengland.co.uk/-/media/boe/files/about/legislation/matters-reserved-to-court.pdf?la=en&amp;hash=2F9C60E0157D682145FD6EFB9014B4AEE745E15D" TargetMode="External"/><Relationship Id="rId8" Type="http://schemas.openxmlformats.org/officeDocument/2006/relationships/hyperlink" Target="https://www.bankofengland.co.uk/payment-and-settlement" TargetMode="External"/><Relationship Id="rId9" Type="http://schemas.openxmlformats.org/officeDocument/2006/relationships/hyperlink" Target="https://www.bankofengland.co.uk/-/media/boe/files/payments/rtgs-renewal-programme/rtgs-renewal-synchronisation-engagement-update.pdf" TargetMode="External"/><Relationship Id="rId10" Type="http://schemas.openxmlformats.org/officeDocument/2006/relationships/hyperlink" Target="https://www.bankofengland.co.uk/-/media/boe/files/payments/rtgs-renewal-programme/rtgs-renewal-background-guide-to-proposed-rtgs-functionality-synchronisation.pdf" TargetMode="Externa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Programme - External Advisory Body Minutes</dc:title>
  <dcterms:created xsi:type="dcterms:W3CDTF">2020-06-01T02:19:19Z</dcterms:created>
  <dcterms:modified xsi:type="dcterms:W3CDTF">2020-06-01T02:19:19Z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2019-07-04T00:00:00Z</vt:filetime>
  </property>
  <property fmtid="{D5CDD505-2E9C-101B-9397-08002B2CF9AE}" pid="3" name="LastSaved">
    <vt:filetime>2020-06-01T00:00:00Z</vt:filetime>
  </property>
</Properties>
</file>