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8"/>
        </w:rPr>
      </w:pPr>
    </w:p>
    <w:p>
      <w:pPr>
        <w:spacing w:before="93"/>
        <w:ind w:left="160" w:right="0" w:firstLine="0"/>
        <w:jc w:val="left"/>
        <w:rPr>
          <w:b/>
          <w:sz w:val="22"/>
        </w:rPr>
      </w:pPr>
      <w:r>
        <w:rPr>
          <w:b/>
          <w:color w:val="8B0D64"/>
          <w:sz w:val="22"/>
        </w:rPr>
        <w:t>RTGS Renewal Programme – External Advisory Body</w:t>
      </w:r>
    </w:p>
    <w:p>
      <w:pPr>
        <w:pStyle w:val="BodyText"/>
        <w:spacing w:before="7"/>
        <w:rPr>
          <w:b/>
        </w:rPr>
      </w:pPr>
    </w:p>
    <w:p>
      <w:pPr>
        <w:spacing w:before="0"/>
        <w:ind w:left="160" w:right="0" w:firstLine="0"/>
        <w:jc w:val="left"/>
        <w:rPr>
          <w:b/>
          <w:sz w:val="20"/>
        </w:rPr>
      </w:pPr>
      <w:r>
        <w:rPr>
          <w:b/>
          <w:color w:val="777877"/>
          <w:sz w:val="20"/>
        </w:rPr>
        <w:t>Wednesday 5 October 2017</w:t>
      </w:r>
    </w:p>
    <w:p>
      <w:pPr>
        <w:pStyle w:val="BodyText"/>
        <w:spacing w:before="4"/>
        <w:rPr>
          <w:b/>
        </w:rPr>
      </w:pPr>
    </w:p>
    <w:p>
      <w:pPr>
        <w:pStyle w:val="BodyText"/>
        <w:spacing w:line="276" w:lineRule="auto"/>
        <w:ind w:left="160" w:right="350"/>
      </w:pPr>
      <w:r>
        <w:rPr/>
        <w:t>The second External Advisory Body (EAB) was held on 5 October 2017. A summary of the meeting is provided below.</w:t>
      </w:r>
    </w:p>
    <w:p>
      <w:pPr>
        <w:pStyle w:val="BodyText"/>
        <w:spacing w:before="10"/>
        <w:rPr>
          <w:sz w:val="1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3"/>
        <w:gridCol w:w="2626"/>
      </w:tblGrid>
      <w:tr>
        <w:trPr>
          <w:trHeight w:val="2526" w:hRule="atLeast"/>
        </w:trPr>
        <w:tc>
          <w:tcPr>
            <w:tcW w:w="1383" w:type="dxa"/>
          </w:tcPr>
          <w:p>
            <w:pPr>
              <w:pStyle w:val="TableParagraph"/>
              <w:spacing w:line="224" w:lineRule="exact"/>
              <w:ind w:left="181" w:right="204"/>
              <w:jc w:val="center"/>
              <w:rPr>
                <w:sz w:val="20"/>
              </w:rPr>
            </w:pPr>
            <w:r>
              <w:rPr>
                <w:sz w:val="20"/>
              </w:rPr>
              <w:t>Attendees:</w:t>
            </w:r>
          </w:p>
        </w:tc>
        <w:tc>
          <w:tcPr>
            <w:tcW w:w="2626" w:type="dxa"/>
          </w:tcPr>
          <w:p>
            <w:pPr>
              <w:pStyle w:val="TableParagraph"/>
              <w:ind w:left="225" w:right="1414"/>
              <w:rPr>
                <w:b/>
                <w:sz w:val="20"/>
              </w:rPr>
            </w:pPr>
            <w:r>
              <w:rPr>
                <w:b/>
                <w:sz w:val="20"/>
              </w:rPr>
              <w:t>BONYM CHAPSCo EUI</w:t>
            </w:r>
          </w:p>
          <w:p>
            <w:pPr>
              <w:pStyle w:val="TableParagraph"/>
              <w:ind w:left="225" w:right="180"/>
              <w:rPr>
                <w:b/>
                <w:sz w:val="20"/>
              </w:rPr>
            </w:pPr>
            <w:r>
              <w:rPr>
                <w:b/>
                <w:sz w:val="20"/>
              </w:rPr>
              <w:t>Independent Challenge Lloyds</w:t>
            </w:r>
          </w:p>
          <w:p>
            <w:pPr>
              <w:pStyle w:val="TableParagraph"/>
              <w:ind w:left="225" w:right="1291"/>
              <w:rPr>
                <w:b/>
                <w:sz w:val="20"/>
              </w:rPr>
            </w:pPr>
            <w:r>
              <w:rPr>
                <w:b/>
                <w:sz w:val="20"/>
              </w:rPr>
              <w:t>Metro Bank Paysafe PSR</w:t>
            </w:r>
          </w:p>
          <w:p>
            <w:pPr>
              <w:pStyle w:val="TableParagraph"/>
              <w:spacing w:line="229" w:lineRule="exact"/>
              <w:ind w:left="225"/>
              <w:rPr>
                <w:b/>
                <w:sz w:val="20"/>
              </w:rPr>
            </w:pPr>
            <w:r>
              <w:rPr>
                <w:b/>
                <w:sz w:val="20"/>
              </w:rPr>
              <w:t>Worldpay</w:t>
            </w:r>
          </w:p>
          <w:p>
            <w:pPr>
              <w:pStyle w:val="TableParagraph"/>
              <w:spacing w:line="229" w:lineRule="exact"/>
              <w:ind w:left="225"/>
              <w:rPr>
                <w:sz w:val="20"/>
              </w:rPr>
            </w:pPr>
            <w:r>
              <w:rPr>
                <w:b/>
                <w:sz w:val="20"/>
              </w:rPr>
              <w:t>Bank of England</w:t>
            </w:r>
            <w:r>
              <w:rPr>
                <w:sz w:val="20"/>
              </w:rPr>
              <w:t>:</w:t>
            </w:r>
          </w:p>
        </w:tc>
      </w:tr>
      <w:tr>
        <w:trPr>
          <w:trHeight w:val="918" w:hRule="atLeast"/>
        </w:trPr>
        <w:tc>
          <w:tcPr>
            <w:tcW w:w="1383" w:type="dxa"/>
          </w:tcPr>
          <w:p>
            <w:pPr>
              <w:pStyle w:val="TableParagraph"/>
              <w:spacing w:before="8"/>
              <w:rPr>
                <w:sz w:val="19"/>
              </w:rPr>
            </w:pPr>
          </w:p>
          <w:p>
            <w:pPr>
              <w:pStyle w:val="TableParagraph"/>
              <w:ind w:left="158" w:right="204"/>
              <w:jc w:val="center"/>
              <w:rPr>
                <w:sz w:val="20"/>
              </w:rPr>
            </w:pPr>
            <w:r>
              <w:rPr>
                <w:sz w:val="20"/>
              </w:rPr>
              <w:t>Apologies:</w:t>
            </w:r>
          </w:p>
        </w:tc>
        <w:tc>
          <w:tcPr>
            <w:tcW w:w="2626" w:type="dxa"/>
          </w:tcPr>
          <w:p>
            <w:pPr>
              <w:pStyle w:val="TableParagraph"/>
              <w:spacing w:before="9"/>
              <w:rPr>
                <w:sz w:val="19"/>
              </w:rPr>
            </w:pPr>
          </w:p>
          <w:p>
            <w:pPr>
              <w:pStyle w:val="TableParagraph"/>
              <w:ind w:left="225" w:right="1547"/>
              <w:rPr>
                <w:b/>
                <w:sz w:val="20"/>
              </w:rPr>
            </w:pPr>
            <w:r>
              <w:rPr>
                <w:b/>
                <w:sz w:val="20"/>
              </w:rPr>
              <w:t>Barclays Citi</w:t>
            </w:r>
          </w:p>
          <w:p>
            <w:pPr>
              <w:pStyle w:val="TableParagraph"/>
              <w:spacing w:line="210" w:lineRule="exact" w:before="1"/>
              <w:ind w:left="225"/>
              <w:rPr>
                <w:b/>
                <w:sz w:val="20"/>
              </w:rPr>
            </w:pPr>
            <w:r>
              <w:rPr>
                <w:b/>
                <w:sz w:val="20"/>
              </w:rPr>
              <w:t>PSR</w:t>
            </w:r>
          </w:p>
        </w:tc>
      </w:tr>
    </w:tbl>
    <w:p>
      <w:pPr>
        <w:pStyle w:val="BodyText"/>
        <w:spacing w:before="11"/>
        <w:rPr>
          <w:sz w:val="19"/>
        </w:rPr>
      </w:pPr>
    </w:p>
    <w:p>
      <w:pPr>
        <w:pStyle w:val="Heading1"/>
      </w:pPr>
      <w:r>
        <w:rPr/>
        <w:t>Item 1: Welcome and introductions</w:t>
      </w:r>
    </w:p>
    <w:p>
      <w:pPr>
        <w:pStyle w:val="BodyText"/>
        <w:spacing w:before="3"/>
        <w:rPr>
          <w:b/>
        </w:rPr>
      </w:pPr>
    </w:p>
    <w:p>
      <w:pPr>
        <w:pStyle w:val="ListParagraph"/>
        <w:numPr>
          <w:ilvl w:val="0"/>
          <w:numId w:val="1"/>
        </w:numPr>
        <w:tabs>
          <w:tab w:pos="586" w:val="left" w:leader="none"/>
          <w:tab w:pos="587" w:val="left" w:leader="none"/>
        </w:tabs>
        <w:spacing w:line="276" w:lineRule="auto" w:before="0" w:after="0"/>
        <w:ind w:left="586" w:right="448" w:hanging="427"/>
        <w:jc w:val="left"/>
        <w:rPr>
          <w:sz w:val="20"/>
        </w:rPr>
      </w:pPr>
      <w:r>
        <w:rPr>
          <w:sz w:val="20"/>
        </w:rPr>
        <w:t>The Chair welcomed members to the second EAB meeting. He noted the record of the previous meeting had been agreed and published on the Bank’s</w:t>
      </w:r>
      <w:r>
        <w:rPr>
          <w:spacing w:val="-7"/>
          <w:sz w:val="20"/>
        </w:rPr>
        <w:t> </w:t>
      </w:r>
      <w:r>
        <w:rPr>
          <w:sz w:val="20"/>
        </w:rPr>
        <w:t>website.</w:t>
      </w:r>
    </w:p>
    <w:p>
      <w:pPr>
        <w:pStyle w:val="BodyText"/>
        <w:spacing w:before="5"/>
        <w:rPr>
          <w:sz w:val="17"/>
        </w:rPr>
      </w:pPr>
    </w:p>
    <w:p>
      <w:pPr>
        <w:pStyle w:val="Heading1"/>
        <w:spacing w:before="1"/>
      </w:pPr>
      <w:r>
        <w:rPr/>
        <w:t>Item 2: RTGS Renewal programme update</w:t>
      </w:r>
    </w:p>
    <w:p>
      <w:pPr>
        <w:pStyle w:val="BodyText"/>
        <w:spacing w:before="3"/>
        <w:rPr>
          <w:b/>
        </w:rPr>
      </w:pPr>
    </w:p>
    <w:p>
      <w:pPr>
        <w:pStyle w:val="ListParagraph"/>
        <w:numPr>
          <w:ilvl w:val="0"/>
          <w:numId w:val="1"/>
        </w:numPr>
        <w:tabs>
          <w:tab w:pos="586" w:val="left" w:leader="none"/>
          <w:tab w:pos="587" w:val="left" w:leader="none"/>
        </w:tabs>
        <w:spacing w:line="276" w:lineRule="auto" w:before="0" w:after="0"/>
        <w:ind w:left="586" w:right="327" w:hanging="427"/>
        <w:jc w:val="left"/>
        <w:rPr>
          <w:sz w:val="20"/>
        </w:rPr>
      </w:pPr>
      <w:r>
        <w:rPr>
          <w:sz w:val="20"/>
        </w:rPr>
        <w:t>A programme update was provided, focusing on key areas of progress since the publication of the Blueprint. The programme team was fully mobilised and focused on defining in more detail the capabilities outlined in the Blueprint, and how they would be delivered. This included an initial assessment of technology architecture requirements and</w:t>
      </w:r>
      <w:r>
        <w:rPr>
          <w:spacing w:val="-6"/>
          <w:sz w:val="20"/>
        </w:rPr>
        <w:t> </w:t>
      </w:r>
      <w:r>
        <w:rPr>
          <w:sz w:val="20"/>
        </w:rPr>
        <w:t>solutions.</w:t>
      </w:r>
    </w:p>
    <w:p>
      <w:pPr>
        <w:pStyle w:val="BodyText"/>
        <w:rPr>
          <w:sz w:val="23"/>
        </w:rPr>
      </w:pPr>
    </w:p>
    <w:p>
      <w:pPr>
        <w:pStyle w:val="ListParagraph"/>
        <w:numPr>
          <w:ilvl w:val="0"/>
          <w:numId w:val="1"/>
        </w:numPr>
        <w:tabs>
          <w:tab w:pos="586" w:val="left" w:leader="none"/>
          <w:tab w:pos="587" w:val="left" w:leader="none"/>
        </w:tabs>
        <w:spacing w:line="276" w:lineRule="auto" w:before="0" w:after="0"/>
        <w:ind w:left="586" w:right="425" w:hanging="427"/>
        <w:jc w:val="left"/>
        <w:rPr>
          <w:sz w:val="20"/>
        </w:rPr>
      </w:pPr>
      <w:r>
        <w:rPr>
          <w:sz w:val="20"/>
        </w:rPr>
        <w:t>While the Bank had not yet initiated a tender, engagement with a broad range of potential technology suppliers had started using the OJEU</w:t>
      </w:r>
      <w:r>
        <w:rPr>
          <w:sz w:val="20"/>
          <w:vertAlign w:val="superscript"/>
        </w:rPr>
        <w:t>1</w:t>
      </w:r>
      <w:r>
        <w:rPr>
          <w:sz w:val="20"/>
          <w:vertAlign w:val="baseline"/>
        </w:rPr>
        <w:t> procurement service. The engagement provided an opportunity for the Bank to explore different high-level options at an early stage and receive input and challenge to the initial assessment of technology design. Although the Bank had been clear that it would continue to act as RTGS operator given that RTGS embodied most of the Bank’s balance sheet, it was keen to encourage strong competition in all aspects of the build of the new service, and early engagement with the supplier market community would help facilitate this. Through these meetings, the Bank would encourage potential suppliers to share their insights and ideas on how the Bank might approach technology</w:t>
      </w:r>
      <w:r>
        <w:rPr>
          <w:spacing w:val="-9"/>
          <w:sz w:val="20"/>
          <w:vertAlign w:val="baseline"/>
        </w:rPr>
        <w:t> </w:t>
      </w:r>
      <w:r>
        <w:rPr>
          <w:sz w:val="20"/>
          <w:vertAlign w:val="baseline"/>
        </w:rPr>
        <w:t>design.</w:t>
      </w:r>
    </w:p>
    <w:p>
      <w:pPr>
        <w:pStyle w:val="ListParagraph"/>
        <w:numPr>
          <w:ilvl w:val="0"/>
          <w:numId w:val="1"/>
        </w:numPr>
        <w:tabs>
          <w:tab w:pos="586" w:val="left" w:leader="none"/>
          <w:tab w:pos="587" w:val="left" w:leader="none"/>
        </w:tabs>
        <w:spacing w:line="276" w:lineRule="auto" w:before="0" w:after="0"/>
        <w:ind w:left="586" w:right="548" w:hanging="427"/>
        <w:jc w:val="left"/>
        <w:rPr>
          <w:sz w:val="20"/>
        </w:rPr>
      </w:pPr>
      <w:r>
        <w:rPr>
          <w:sz w:val="20"/>
        </w:rPr>
        <w:t>Based on their own experience, EAB members strongly supported the approach to listen to potential suppliers’ ideas for solutions at an early stage in the design process. Members suggested that as part of the supplier assessment process, the Bank should also visit previous sites that suppliers had worked on and speak to the operational teams</w:t>
      </w:r>
      <w:r>
        <w:rPr>
          <w:spacing w:val="-6"/>
          <w:sz w:val="20"/>
        </w:rPr>
        <w:t> </w:t>
      </w:r>
      <w:r>
        <w:rPr>
          <w:sz w:val="20"/>
        </w:rPr>
        <w:t>involved.</w:t>
      </w:r>
    </w:p>
    <w:p>
      <w:pPr>
        <w:pStyle w:val="BodyText"/>
        <w:rPr>
          <w:sz w:val="23"/>
        </w:rPr>
      </w:pPr>
    </w:p>
    <w:p>
      <w:pPr>
        <w:pStyle w:val="ListParagraph"/>
        <w:numPr>
          <w:ilvl w:val="0"/>
          <w:numId w:val="1"/>
        </w:numPr>
        <w:tabs>
          <w:tab w:pos="586" w:val="left" w:leader="none"/>
          <w:tab w:pos="587" w:val="left" w:leader="none"/>
        </w:tabs>
        <w:spacing w:line="276" w:lineRule="auto" w:before="0" w:after="0"/>
        <w:ind w:left="586" w:right="374" w:hanging="427"/>
        <w:jc w:val="left"/>
        <w:rPr>
          <w:sz w:val="20"/>
        </w:rPr>
      </w:pPr>
      <w:r>
        <w:rPr>
          <w:sz w:val="20"/>
        </w:rPr>
        <w:t>The Bank reported that it had been in close contact with other major RTGS operating central banks to share approaches and lessons learned. EAB members encouraged the Bank to continue those discussions, given the strong desire to see the maximum possible</w:t>
      </w:r>
      <w:r>
        <w:rPr>
          <w:spacing w:val="-15"/>
          <w:sz w:val="20"/>
        </w:rPr>
        <w:t> </w:t>
      </w:r>
      <w:r>
        <w:rPr>
          <w:sz w:val="20"/>
        </w:rPr>
        <w:t>interoperability</w:t>
      </w:r>
    </w:p>
    <w:p>
      <w:pPr>
        <w:pStyle w:val="BodyText"/>
        <w:spacing w:before="3"/>
        <w:rPr>
          <w:sz w:val="22"/>
        </w:rPr>
      </w:pPr>
      <w:r>
        <w:rPr/>
        <w:pict>
          <v:shape style="position:absolute;margin-left:72pt;margin-top:15.179254pt;width:144.050pt;height:.1pt;mso-position-horizontal-relative:page;mso-position-vertical-relative:paragraph;z-index:-251658240;mso-wrap-distance-left:0;mso-wrap-distance-right:0" coordorigin="1440,304" coordsize="2881,0" path="m1440,304l4320,304e" filled="false" stroked="true" strokeweight=".71997pt" strokecolor="#000000">
            <v:path arrowok="t"/>
            <v:stroke dashstyle="solid"/>
            <w10:wrap type="topAndBottom"/>
          </v:shape>
        </w:pict>
      </w:r>
    </w:p>
    <w:p>
      <w:pPr>
        <w:spacing w:before="35"/>
        <w:ind w:left="160" w:right="341" w:firstLine="0"/>
        <w:jc w:val="left"/>
        <w:rPr>
          <w:sz w:val="18"/>
        </w:rPr>
      </w:pPr>
      <w:r>
        <w:rPr>
          <w:position w:val="9"/>
          <w:sz w:val="12"/>
        </w:rPr>
        <w:t>1 </w:t>
      </w:r>
      <w:r>
        <w:rPr>
          <w:sz w:val="18"/>
        </w:rPr>
        <w:t>The Bank operates within the EU Procurement Regulations and has issued a “Prior Information Notice” (PIN) via the Official Journal of the European Union (OJEU). OJEU is the publication in which all tenders from the public sector which are valued above a certain financial threshold according to EU legislation, must be</w:t>
      </w:r>
      <w:r>
        <w:rPr>
          <w:spacing w:val="-15"/>
          <w:sz w:val="18"/>
        </w:rPr>
        <w:t> </w:t>
      </w:r>
      <w:r>
        <w:rPr>
          <w:sz w:val="18"/>
        </w:rPr>
        <w:t>published.</w:t>
      </w:r>
    </w:p>
    <w:p>
      <w:pPr>
        <w:spacing w:after="0"/>
        <w:jc w:val="left"/>
        <w:rPr>
          <w:sz w:val="18"/>
        </w:rPr>
        <w:sectPr>
          <w:headerReference w:type="default" r:id="rId5"/>
          <w:footerReference w:type="default" r:id="rId6"/>
          <w:type w:val="continuous"/>
          <w:pgSz w:w="11910" w:h="16840"/>
          <w:pgMar w:header="11" w:footer="920" w:top="1380" w:bottom="1120" w:left="1280" w:right="1140"/>
          <w:pgNumType w:start="1"/>
        </w:sectPr>
      </w:pPr>
    </w:p>
    <w:p>
      <w:pPr>
        <w:pStyle w:val="BodyText"/>
        <w:spacing w:before="6"/>
        <w:rPr>
          <w:sz w:val="16"/>
        </w:rPr>
      </w:pPr>
    </w:p>
    <w:p>
      <w:pPr>
        <w:pStyle w:val="BodyText"/>
        <w:spacing w:line="276" w:lineRule="auto" w:before="94"/>
        <w:ind w:left="586" w:right="490"/>
      </w:pPr>
      <w:r>
        <w:rPr/>
        <w:t>across as well as within borders, and suggested the Bank team explore lessons learned from a number of other recent real-time implementations, including the Scandinavian model for instant payments. </w:t>
      </w:r>
      <w:r>
        <w:rPr>
          <w:b/>
        </w:rPr>
        <w:t>Action: </w:t>
      </w:r>
      <w:r>
        <w:rPr/>
        <w:t>Programme team will continue to explore learnings from other implementations.</w:t>
      </w:r>
    </w:p>
    <w:p>
      <w:pPr>
        <w:pStyle w:val="BodyText"/>
        <w:spacing w:before="5"/>
        <w:rPr>
          <w:sz w:val="17"/>
        </w:rPr>
      </w:pPr>
    </w:p>
    <w:p>
      <w:pPr>
        <w:pStyle w:val="Heading1"/>
      </w:pPr>
      <w:r>
        <w:rPr/>
        <w:t>Item 3: Approach to industry wide engagement</w:t>
      </w:r>
    </w:p>
    <w:p>
      <w:pPr>
        <w:pStyle w:val="BodyText"/>
        <w:spacing w:before="3"/>
        <w:rPr>
          <w:b/>
        </w:rPr>
      </w:pPr>
    </w:p>
    <w:p>
      <w:pPr>
        <w:pStyle w:val="ListParagraph"/>
        <w:numPr>
          <w:ilvl w:val="0"/>
          <w:numId w:val="1"/>
        </w:numPr>
        <w:tabs>
          <w:tab w:pos="586" w:val="left" w:leader="none"/>
          <w:tab w:pos="587" w:val="left" w:leader="none"/>
        </w:tabs>
        <w:spacing w:line="240" w:lineRule="auto" w:before="1" w:after="0"/>
        <w:ind w:left="586" w:right="0" w:hanging="427"/>
        <w:jc w:val="left"/>
        <w:rPr>
          <w:sz w:val="20"/>
        </w:rPr>
      </w:pPr>
      <w:r>
        <w:rPr>
          <w:sz w:val="20"/>
        </w:rPr>
        <w:t>An update was provided on the initial set of working groups being established by the</w:t>
      </w:r>
      <w:r>
        <w:rPr>
          <w:spacing w:val="-9"/>
          <w:sz w:val="20"/>
        </w:rPr>
        <w:t> </w:t>
      </w:r>
      <w:r>
        <w:rPr>
          <w:sz w:val="20"/>
        </w:rPr>
        <w:t>Bank:</w:t>
      </w:r>
    </w:p>
    <w:p>
      <w:pPr>
        <w:pStyle w:val="BodyText"/>
        <w:rPr>
          <w:sz w:val="26"/>
        </w:rPr>
      </w:pPr>
    </w:p>
    <w:p>
      <w:pPr>
        <w:pStyle w:val="ListParagraph"/>
        <w:numPr>
          <w:ilvl w:val="1"/>
          <w:numId w:val="1"/>
        </w:numPr>
        <w:tabs>
          <w:tab w:pos="1152" w:val="left" w:leader="none"/>
          <w:tab w:pos="1153" w:val="left" w:leader="none"/>
        </w:tabs>
        <w:spacing w:line="276" w:lineRule="auto" w:before="0" w:after="0"/>
        <w:ind w:left="1152" w:right="305" w:hanging="395"/>
        <w:jc w:val="left"/>
        <w:rPr>
          <w:sz w:val="20"/>
        </w:rPr>
      </w:pPr>
      <w:r>
        <w:rPr>
          <w:b/>
          <w:sz w:val="20"/>
        </w:rPr>
        <w:t>Transition working group </w:t>
      </w:r>
      <w:r>
        <w:rPr>
          <w:sz w:val="20"/>
        </w:rPr>
        <w:t>– this group would be chaired by the Bank, would input into the Bank’s strategy for phasing the delivery of the new RTGS service, and would consider the prioritisation of functionality and impact on</w:t>
      </w:r>
      <w:r>
        <w:rPr>
          <w:spacing w:val="-6"/>
          <w:sz w:val="20"/>
        </w:rPr>
        <w:t> </w:t>
      </w:r>
      <w:r>
        <w:rPr>
          <w:sz w:val="20"/>
        </w:rPr>
        <w:t>members.</w:t>
      </w:r>
    </w:p>
    <w:p>
      <w:pPr>
        <w:pStyle w:val="ListParagraph"/>
        <w:numPr>
          <w:ilvl w:val="1"/>
          <w:numId w:val="1"/>
        </w:numPr>
        <w:tabs>
          <w:tab w:pos="1152" w:val="left" w:leader="none"/>
          <w:tab w:pos="1153" w:val="left" w:leader="none"/>
        </w:tabs>
        <w:spacing w:line="276" w:lineRule="auto" w:before="0" w:after="0"/>
        <w:ind w:left="1152" w:right="338" w:hanging="450"/>
        <w:jc w:val="left"/>
        <w:rPr>
          <w:sz w:val="20"/>
        </w:rPr>
      </w:pPr>
      <w:r>
        <w:rPr>
          <w:b/>
          <w:sz w:val="20"/>
        </w:rPr>
        <w:t>ISO 20022 Interoperability working group </w:t>
      </w:r>
      <w:r>
        <w:rPr>
          <w:sz w:val="20"/>
        </w:rPr>
        <w:t>– this group would have an external chair and would provide industry experience and technical advice regarding interoperability of the new</w:t>
      </w:r>
      <w:r>
        <w:rPr>
          <w:spacing w:val="-2"/>
          <w:sz w:val="20"/>
        </w:rPr>
        <w:t> </w:t>
      </w:r>
      <w:r>
        <w:rPr>
          <w:sz w:val="20"/>
        </w:rPr>
        <w:t>standards.</w:t>
      </w:r>
    </w:p>
    <w:p>
      <w:pPr>
        <w:pStyle w:val="ListParagraph"/>
        <w:numPr>
          <w:ilvl w:val="1"/>
          <w:numId w:val="1"/>
        </w:numPr>
        <w:tabs>
          <w:tab w:pos="1152" w:val="left" w:leader="none"/>
          <w:tab w:pos="1153" w:val="left" w:leader="none"/>
        </w:tabs>
        <w:spacing w:line="276" w:lineRule="auto" w:before="0" w:after="0"/>
        <w:ind w:left="1152" w:right="482" w:hanging="506"/>
        <w:jc w:val="left"/>
        <w:rPr>
          <w:sz w:val="20"/>
        </w:rPr>
      </w:pPr>
      <w:r>
        <w:rPr>
          <w:b/>
          <w:sz w:val="20"/>
        </w:rPr>
        <w:t>ISO 20022 Data working group </w:t>
      </w:r>
      <w:r>
        <w:rPr>
          <w:sz w:val="20"/>
        </w:rPr>
        <w:t>– this group would provide ideas and recommendations regarding enhancements to current payments data in alignment with the new ISO 20022 messaging standard. The group would be split with some members focused on compliance data (expected to be chaired externally) and some members focused on macroeconomic and other potential extensions to data requirements (chaired by the Bank).</w:t>
      </w:r>
    </w:p>
    <w:p>
      <w:pPr>
        <w:pStyle w:val="BodyText"/>
        <w:spacing w:before="11"/>
        <w:rPr>
          <w:sz w:val="22"/>
        </w:rPr>
      </w:pPr>
    </w:p>
    <w:p>
      <w:pPr>
        <w:pStyle w:val="ListParagraph"/>
        <w:numPr>
          <w:ilvl w:val="0"/>
          <w:numId w:val="1"/>
        </w:numPr>
        <w:tabs>
          <w:tab w:pos="586" w:val="left" w:leader="none"/>
          <w:tab w:pos="587" w:val="left" w:leader="none"/>
        </w:tabs>
        <w:spacing w:line="276" w:lineRule="auto" w:before="0" w:after="0"/>
        <w:ind w:left="586" w:right="581" w:hanging="427"/>
        <w:jc w:val="left"/>
        <w:rPr>
          <w:sz w:val="20"/>
        </w:rPr>
      </w:pPr>
      <w:r>
        <w:rPr>
          <w:sz w:val="20"/>
        </w:rPr>
        <w:t>It was noted that the approach, in particular ISO 20022, was to take both a “bottom up and top down” view, allowing the Bank to gather both tactical and strategic</w:t>
      </w:r>
      <w:r>
        <w:rPr>
          <w:spacing w:val="-12"/>
          <w:sz w:val="20"/>
        </w:rPr>
        <w:t> </w:t>
      </w:r>
      <w:r>
        <w:rPr>
          <w:sz w:val="20"/>
        </w:rPr>
        <w:t>input.</w:t>
      </w:r>
    </w:p>
    <w:p>
      <w:pPr>
        <w:pStyle w:val="BodyText"/>
        <w:rPr>
          <w:sz w:val="23"/>
        </w:rPr>
      </w:pPr>
    </w:p>
    <w:p>
      <w:pPr>
        <w:pStyle w:val="ListParagraph"/>
        <w:numPr>
          <w:ilvl w:val="0"/>
          <w:numId w:val="1"/>
        </w:numPr>
        <w:tabs>
          <w:tab w:pos="586" w:val="left" w:leader="none"/>
          <w:tab w:pos="587" w:val="left" w:leader="none"/>
        </w:tabs>
        <w:spacing w:line="276" w:lineRule="auto" w:before="0" w:after="0"/>
        <w:ind w:left="586" w:right="569" w:hanging="427"/>
        <w:jc w:val="left"/>
        <w:rPr>
          <w:sz w:val="20"/>
        </w:rPr>
      </w:pPr>
      <w:r>
        <w:rPr>
          <w:sz w:val="20"/>
        </w:rPr>
        <w:t>A broad range of firms had volunteered to participate in the working groups, but the Bank was keen to ensure wide representation from appropriate organisations. The Bank would share the current list of organisations participating in working groups with the EAB. </w:t>
      </w:r>
      <w:r>
        <w:rPr>
          <w:b/>
          <w:sz w:val="20"/>
        </w:rPr>
        <w:t>Action: </w:t>
      </w:r>
      <w:r>
        <w:rPr>
          <w:sz w:val="20"/>
        </w:rPr>
        <w:t>Members agreed to provide any further suggestions for</w:t>
      </w:r>
      <w:r>
        <w:rPr>
          <w:spacing w:val="-2"/>
          <w:sz w:val="20"/>
        </w:rPr>
        <w:t> </w:t>
      </w:r>
      <w:r>
        <w:rPr>
          <w:sz w:val="20"/>
        </w:rPr>
        <w:t>representation.</w:t>
      </w:r>
    </w:p>
    <w:p>
      <w:pPr>
        <w:pStyle w:val="BodyText"/>
        <w:rPr>
          <w:sz w:val="23"/>
        </w:rPr>
      </w:pPr>
    </w:p>
    <w:p>
      <w:pPr>
        <w:pStyle w:val="ListParagraph"/>
        <w:numPr>
          <w:ilvl w:val="0"/>
          <w:numId w:val="1"/>
        </w:numPr>
        <w:tabs>
          <w:tab w:pos="586" w:val="left" w:leader="none"/>
          <w:tab w:pos="587" w:val="left" w:leader="none"/>
        </w:tabs>
        <w:spacing w:line="276" w:lineRule="auto" w:before="0" w:after="0"/>
        <w:ind w:left="586" w:right="317" w:hanging="427"/>
        <w:jc w:val="left"/>
        <w:rPr>
          <w:sz w:val="20"/>
        </w:rPr>
      </w:pPr>
      <w:r>
        <w:rPr>
          <w:sz w:val="20"/>
        </w:rPr>
        <w:t>Members agreed that engagement with other interested bodies would also be crucial, in particular with the UK’s New Payment System Operator (NPSO) for retail payments and SWIFT’s Payments Market Practice Group. The Chair agreed with the view that the Bank should seek a wide range of industry input – including from vendors. He had also asked the CEO of the NPSO to join the EAB. </w:t>
      </w:r>
      <w:r>
        <w:rPr>
          <w:b/>
          <w:sz w:val="20"/>
        </w:rPr>
        <w:t>Action: </w:t>
      </w:r>
      <w:r>
        <w:rPr>
          <w:sz w:val="20"/>
        </w:rPr>
        <w:t>Programme team to ensure effective linkages with other relevant work in this space.</w:t>
      </w:r>
    </w:p>
    <w:p>
      <w:pPr>
        <w:pStyle w:val="BodyText"/>
        <w:spacing w:before="6"/>
        <w:rPr>
          <w:sz w:val="17"/>
        </w:rPr>
      </w:pPr>
    </w:p>
    <w:p>
      <w:pPr>
        <w:pStyle w:val="Heading1"/>
      </w:pPr>
      <w:r>
        <w:rPr/>
        <w:t>Item 4: Approach to transition</w:t>
      </w:r>
    </w:p>
    <w:p>
      <w:pPr>
        <w:pStyle w:val="BodyText"/>
        <w:spacing w:before="3"/>
        <w:rPr>
          <w:b/>
        </w:rPr>
      </w:pPr>
    </w:p>
    <w:p>
      <w:pPr>
        <w:pStyle w:val="ListParagraph"/>
        <w:numPr>
          <w:ilvl w:val="0"/>
          <w:numId w:val="1"/>
        </w:numPr>
        <w:tabs>
          <w:tab w:pos="587" w:val="left" w:leader="none"/>
        </w:tabs>
        <w:spacing w:line="276" w:lineRule="auto" w:before="0" w:after="0"/>
        <w:ind w:left="586" w:right="380" w:hanging="427"/>
        <w:jc w:val="left"/>
        <w:rPr>
          <w:sz w:val="20"/>
        </w:rPr>
      </w:pPr>
      <w:r>
        <w:rPr>
          <w:sz w:val="20"/>
        </w:rPr>
        <w:t>The programme’s draft approach to transitioning to the new RTGS service was set out, including a high level view of the anticipated transition stages. A questionnaire would be sent to EAB members in Q3 to gather current and future participant input regarding constraints and preferences for introducing components of the new service. Members were asked for views on these proposals.</w:t>
      </w:r>
    </w:p>
    <w:p>
      <w:pPr>
        <w:pStyle w:val="BodyText"/>
        <w:spacing w:before="1"/>
        <w:rPr>
          <w:sz w:val="23"/>
        </w:rPr>
      </w:pPr>
    </w:p>
    <w:p>
      <w:pPr>
        <w:pStyle w:val="ListParagraph"/>
        <w:numPr>
          <w:ilvl w:val="0"/>
          <w:numId w:val="1"/>
        </w:numPr>
        <w:tabs>
          <w:tab w:pos="587" w:val="left" w:leader="none"/>
        </w:tabs>
        <w:spacing w:line="276" w:lineRule="auto" w:before="0" w:after="0"/>
        <w:ind w:left="586" w:right="304" w:hanging="427"/>
        <w:jc w:val="left"/>
        <w:rPr>
          <w:sz w:val="20"/>
        </w:rPr>
      </w:pPr>
      <w:r>
        <w:rPr>
          <w:sz w:val="20"/>
        </w:rPr>
        <w:t>Members agreed with the suggested approach to engagement – noting the benefits of seeking external input to the transition. Wherever possible, the questionnaire should force respondents to say where they stood on various trade-offs – for example when considering sequencing of the functionality – to drive out what was most important. This might be articulated in stylised models, to bring the options to life to support understanding of the trade-offs. Members also suggested that the Bank seek feedback on the overall transition model – for example would a short period of intense change be preferable to a ‘slower burn’ multi-year transition. The Chair welcomed these suggestions which would be further considered by the programme</w:t>
      </w:r>
      <w:r>
        <w:rPr>
          <w:spacing w:val="-5"/>
          <w:sz w:val="20"/>
        </w:rPr>
        <w:t> </w:t>
      </w:r>
      <w:r>
        <w:rPr>
          <w:sz w:val="20"/>
        </w:rPr>
        <w:t>team.</w:t>
      </w:r>
    </w:p>
    <w:p>
      <w:pPr>
        <w:spacing w:after="0" w:line="276" w:lineRule="auto"/>
        <w:jc w:val="left"/>
        <w:rPr>
          <w:sz w:val="20"/>
        </w:rPr>
        <w:sectPr>
          <w:pgSz w:w="11910" w:h="16840"/>
          <w:pgMar w:header="11" w:footer="920" w:top="1380" w:bottom="1200" w:left="1280" w:right="1140"/>
        </w:sectPr>
      </w:pPr>
    </w:p>
    <w:p>
      <w:pPr>
        <w:pStyle w:val="BodyText"/>
      </w:pPr>
    </w:p>
    <w:p>
      <w:pPr>
        <w:pStyle w:val="BodyText"/>
        <w:spacing w:before="5"/>
        <w:rPr>
          <w:sz w:val="19"/>
        </w:rPr>
      </w:pPr>
    </w:p>
    <w:p>
      <w:pPr>
        <w:pStyle w:val="ListParagraph"/>
        <w:numPr>
          <w:ilvl w:val="0"/>
          <w:numId w:val="1"/>
        </w:numPr>
        <w:tabs>
          <w:tab w:pos="587" w:val="left" w:leader="none"/>
        </w:tabs>
        <w:spacing w:line="276" w:lineRule="auto" w:before="94" w:after="0"/>
        <w:ind w:left="586" w:right="670" w:hanging="427"/>
        <w:jc w:val="left"/>
        <w:rPr>
          <w:sz w:val="20"/>
        </w:rPr>
      </w:pPr>
      <w:r>
        <w:rPr>
          <w:sz w:val="20"/>
        </w:rPr>
        <w:t>Members stressed it would be important to understand the detail and timing of any potential releases to allow them to plan and budget. It was also noted that the approach would need to balance off these factors against the potential disruption risks to delivery of the live RTGS service.</w:t>
      </w:r>
    </w:p>
    <w:p>
      <w:pPr>
        <w:pStyle w:val="BodyText"/>
        <w:rPr>
          <w:sz w:val="23"/>
        </w:rPr>
      </w:pPr>
    </w:p>
    <w:p>
      <w:pPr>
        <w:pStyle w:val="ListParagraph"/>
        <w:numPr>
          <w:ilvl w:val="0"/>
          <w:numId w:val="1"/>
        </w:numPr>
        <w:tabs>
          <w:tab w:pos="587" w:val="left" w:leader="none"/>
        </w:tabs>
        <w:spacing w:line="276" w:lineRule="auto" w:before="0" w:after="0"/>
        <w:ind w:left="586" w:right="371" w:hanging="427"/>
        <w:jc w:val="left"/>
        <w:rPr>
          <w:sz w:val="20"/>
        </w:rPr>
      </w:pPr>
      <w:r>
        <w:rPr>
          <w:sz w:val="20"/>
        </w:rPr>
        <w:t>The programme asked members if they had a view about which functionality would bring about early benefits. Members outlined that functionality such as track and trace, an API, and ISO20022 would be particularly beneficial. In addition, early visibility of the design for</w:t>
      </w:r>
      <w:r>
        <w:rPr>
          <w:spacing w:val="-10"/>
          <w:sz w:val="20"/>
        </w:rPr>
        <w:t> </w:t>
      </w:r>
      <w:r>
        <w:rPr>
          <w:sz w:val="20"/>
        </w:rPr>
        <w:t>settlement</w:t>
      </w:r>
    </w:p>
    <w:p>
      <w:pPr>
        <w:pStyle w:val="BodyText"/>
        <w:spacing w:line="230" w:lineRule="exact"/>
        <w:ind w:left="586"/>
      </w:pPr>
      <w:r>
        <w:rPr/>
        <w:t>/ pre-funding models would be useful.</w:t>
      </w:r>
    </w:p>
    <w:p>
      <w:pPr>
        <w:pStyle w:val="BodyText"/>
        <w:spacing w:before="1"/>
        <w:rPr>
          <w:sz w:val="26"/>
        </w:rPr>
      </w:pPr>
    </w:p>
    <w:p>
      <w:pPr>
        <w:pStyle w:val="ListParagraph"/>
        <w:numPr>
          <w:ilvl w:val="0"/>
          <w:numId w:val="1"/>
        </w:numPr>
        <w:tabs>
          <w:tab w:pos="587" w:val="left" w:leader="none"/>
        </w:tabs>
        <w:spacing w:line="276" w:lineRule="auto" w:before="0" w:after="0"/>
        <w:ind w:left="586" w:right="392" w:hanging="427"/>
        <w:jc w:val="left"/>
        <w:rPr>
          <w:sz w:val="20"/>
        </w:rPr>
      </w:pPr>
      <w:r>
        <w:rPr>
          <w:sz w:val="20"/>
        </w:rPr>
        <w:t>Members endorsed the overall approach, and suggested that when thinking had further evolved, roundtable discussions with CTOs across a range of payments firms could provide valuable input.</w:t>
      </w:r>
    </w:p>
    <w:p>
      <w:pPr>
        <w:pStyle w:val="BodyText"/>
        <w:spacing w:before="10"/>
        <w:rPr>
          <w:sz w:val="26"/>
        </w:rPr>
      </w:pPr>
    </w:p>
    <w:p>
      <w:pPr>
        <w:pStyle w:val="ListParagraph"/>
        <w:numPr>
          <w:ilvl w:val="0"/>
          <w:numId w:val="1"/>
        </w:numPr>
        <w:tabs>
          <w:tab w:pos="587" w:val="left" w:leader="none"/>
        </w:tabs>
        <w:spacing w:line="276" w:lineRule="auto" w:before="0" w:after="0"/>
        <w:ind w:left="586" w:right="372" w:hanging="427"/>
        <w:jc w:val="left"/>
        <w:rPr>
          <w:sz w:val="20"/>
        </w:rPr>
      </w:pPr>
      <w:r>
        <w:rPr>
          <w:sz w:val="20"/>
        </w:rPr>
        <w:t>The programme noted the importance Members had attached to ensuring that the design of the RTGS renewal programme took full account of the wide range of other change also underway across the payments industry as a whole. The programme presented a preliminary map of these key change initiatives, and asked members for feedback. Members agreed that this was a useful and accurate assessment. To enhance it further, members suggested a) that for each industry change initiative the estimated volume of work for industry was overlaid on to the overall timelines and b) that other international change was also represented. </w:t>
      </w:r>
      <w:r>
        <w:rPr>
          <w:b/>
          <w:sz w:val="20"/>
        </w:rPr>
        <w:t>Action</w:t>
      </w:r>
      <w:r>
        <w:rPr>
          <w:sz w:val="20"/>
        </w:rPr>
        <w:t>: Programme team to discuss bilaterally with Members the wider international change that should be</w:t>
      </w:r>
      <w:r>
        <w:rPr>
          <w:spacing w:val="-10"/>
          <w:sz w:val="20"/>
        </w:rPr>
        <w:t> </w:t>
      </w:r>
      <w:r>
        <w:rPr>
          <w:sz w:val="20"/>
        </w:rPr>
        <w:t>included.</w:t>
      </w:r>
    </w:p>
    <w:p>
      <w:pPr>
        <w:pStyle w:val="BodyText"/>
        <w:rPr>
          <w:sz w:val="22"/>
        </w:rPr>
      </w:pPr>
    </w:p>
    <w:p>
      <w:pPr>
        <w:pStyle w:val="BodyText"/>
        <w:spacing w:before="6"/>
        <w:rPr>
          <w:sz w:val="18"/>
        </w:rPr>
      </w:pPr>
    </w:p>
    <w:p>
      <w:pPr>
        <w:pStyle w:val="Heading1"/>
      </w:pPr>
      <w:r>
        <w:rPr/>
        <w:t>Item 5: Cost/benefit analysis of the renewal programme</w:t>
      </w:r>
    </w:p>
    <w:p>
      <w:pPr>
        <w:pStyle w:val="BodyText"/>
        <w:spacing w:before="3"/>
        <w:rPr>
          <w:b/>
        </w:rPr>
      </w:pPr>
    </w:p>
    <w:p>
      <w:pPr>
        <w:pStyle w:val="ListParagraph"/>
        <w:numPr>
          <w:ilvl w:val="0"/>
          <w:numId w:val="1"/>
        </w:numPr>
        <w:tabs>
          <w:tab w:pos="587" w:val="left" w:leader="none"/>
        </w:tabs>
        <w:spacing w:line="276" w:lineRule="auto" w:before="0" w:after="0"/>
        <w:ind w:left="586" w:right="415" w:hanging="427"/>
        <w:jc w:val="left"/>
        <w:rPr>
          <w:sz w:val="20"/>
        </w:rPr>
      </w:pPr>
      <w:r>
        <w:rPr>
          <w:sz w:val="20"/>
        </w:rPr>
        <w:t>An overview of the framework for evaluating the cost/benefit case for the various parts of the RTGS renewal programme was presented. This included consideration of financial and non- financial costs and benefits for the Bank and the system as a whole, members (both current and future), and users (people making and receiving payments). Separate to the transition questionnaire, a survey would in due course be issued to current (and likely future) members, to input into the analysis of the costs and benefits of the new</w:t>
      </w:r>
      <w:r>
        <w:rPr>
          <w:spacing w:val="-7"/>
          <w:sz w:val="20"/>
        </w:rPr>
        <w:t> </w:t>
      </w:r>
      <w:r>
        <w:rPr>
          <w:sz w:val="20"/>
        </w:rPr>
        <w:t>service.</w:t>
      </w:r>
    </w:p>
    <w:p>
      <w:pPr>
        <w:pStyle w:val="BodyText"/>
        <w:rPr>
          <w:sz w:val="23"/>
        </w:rPr>
      </w:pPr>
    </w:p>
    <w:p>
      <w:pPr>
        <w:pStyle w:val="ListParagraph"/>
        <w:numPr>
          <w:ilvl w:val="0"/>
          <w:numId w:val="1"/>
        </w:numPr>
        <w:tabs>
          <w:tab w:pos="587" w:val="left" w:leader="none"/>
        </w:tabs>
        <w:spacing w:line="276" w:lineRule="auto" w:before="0" w:after="0"/>
        <w:ind w:left="586" w:right="392" w:hanging="427"/>
        <w:jc w:val="left"/>
        <w:rPr>
          <w:sz w:val="20"/>
        </w:rPr>
      </w:pPr>
      <w:r>
        <w:rPr>
          <w:sz w:val="20"/>
        </w:rPr>
        <w:t>The Chair stressed the importance of this work – and external input to it. Members noted the importance of clearly defining and standardising the data required so that respondents used the same methodology. This included providing clear data definitions, and using consistent accounting methods, for example absolute and incremental costs, and costing elements such as testing weekends. Members also noted the importance of ensuring costs driven by RTGS renewal were not conflated with costs driven by other ongoing change in the industry. Taken together, these steps would support the provision of more reliable quantitative data to use – reducing</w:t>
      </w:r>
      <w:r>
        <w:rPr>
          <w:spacing w:val="-2"/>
          <w:sz w:val="20"/>
        </w:rPr>
        <w:t> </w:t>
      </w:r>
      <w:r>
        <w:rPr>
          <w:sz w:val="20"/>
        </w:rPr>
        <w:t>subjectivity.</w:t>
      </w:r>
    </w:p>
    <w:p>
      <w:pPr>
        <w:pStyle w:val="BodyText"/>
        <w:rPr>
          <w:sz w:val="23"/>
        </w:rPr>
      </w:pPr>
    </w:p>
    <w:p>
      <w:pPr>
        <w:pStyle w:val="ListParagraph"/>
        <w:numPr>
          <w:ilvl w:val="0"/>
          <w:numId w:val="1"/>
        </w:numPr>
        <w:tabs>
          <w:tab w:pos="587" w:val="left" w:leader="none"/>
        </w:tabs>
        <w:spacing w:line="276" w:lineRule="auto" w:before="0" w:after="0"/>
        <w:ind w:left="586" w:right="336" w:hanging="427"/>
        <w:jc w:val="both"/>
        <w:rPr>
          <w:sz w:val="20"/>
        </w:rPr>
      </w:pPr>
      <w:r>
        <w:rPr>
          <w:sz w:val="20"/>
        </w:rPr>
        <w:t>Some members offered to share their recent business cases / economic analysis for information. The Chair agreed that this would be valuable to shape thinking. </w:t>
      </w:r>
      <w:r>
        <w:rPr>
          <w:b/>
          <w:sz w:val="20"/>
        </w:rPr>
        <w:t>Action: </w:t>
      </w:r>
      <w:r>
        <w:rPr>
          <w:sz w:val="20"/>
        </w:rPr>
        <w:t>Programme to follow up bilaterally with</w:t>
      </w:r>
      <w:r>
        <w:rPr>
          <w:spacing w:val="-1"/>
          <w:sz w:val="20"/>
        </w:rPr>
        <w:t> </w:t>
      </w:r>
      <w:r>
        <w:rPr>
          <w:sz w:val="20"/>
        </w:rPr>
        <w:t>members.</w:t>
      </w:r>
    </w:p>
    <w:p>
      <w:pPr>
        <w:pStyle w:val="BodyText"/>
        <w:spacing w:before="6"/>
        <w:rPr>
          <w:sz w:val="17"/>
        </w:rPr>
      </w:pPr>
    </w:p>
    <w:p>
      <w:pPr>
        <w:pStyle w:val="Heading1"/>
      </w:pPr>
      <w:r>
        <w:rPr/>
        <w:t>Item 6: AOB</w:t>
      </w:r>
    </w:p>
    <w:p>
      <w:pPr>
        <w:pStyle w:val="BodyText"/>
        <w:spacing w:before="3"/>
        <w:rPr>
          <w:b/>
        </w:rPr>
      </w:pPr>
    </w:p>
    <w:p>
      <w:pPr>
        <w:pStyle w:val="ListParagraph"/>
        <w:numPr>
          <w:ilvl w:val="0"/>
          <w:numId w:val="1"/>
        </w:numPr>
        <w:tabs>
          <w:tab w:pos="587" w:val="left" w:leader="none"/>
        </w:tabs>
        <w:spacing w:line="240" w:lineRule="auto" w:before="0" w:after="0"/>
        <w:ind w:left="586" w:right="0" w:hanging="427"/>
        <w:jc w:val="left"/>
        <w:rPr>
          <w:sz w:val="20"/>
        </w:rPr>
      </w:pPr>
      <w:r>
        <w:rPr>
          <w:sz w:val="20"/>
        </w:rPr>
        <w:t>There was no further</w:t>
      </w:r>
      <w:r>
        <w:rPr>
          <w:spacing w:val="-3"/>
          <w:sz w:val="20"/>
        </w:rPr>
        <w:t> </w:t>
      </w:r>
      <w:r>
        <w:rPr>
          <w:sz w:val="20"/>
        </w:rPr>
        <w:t>business.</w:t>
      </w:r>
    </w:p>
    <w:p>
      <w:pPr>
        <w:pStyle w:val="BodyText"/>
        <w:rPr>
          <w:sz w:val="22"/>
        </w:rPr>
      </w:pPr>
    </w:p>
    <w:p>
      <w:pPr>
        <w:pStyle w:val="BodyText"/>
        <w:spacing w:before="6"/>
        <w:rPr>
          <w:sz w:val="21"/>
        </w:rPr>
      </w:pPr>
    </w:p>
    <w:p>
      <w:pPr>
        <w:pStyle w:val="Heading1"/>
        <w:spacing w:before="1"/>
      </w:pPr>
      <w:r>
        <w:rPr/>
        <w:t>Log of actions agreed in the meeting</w:t>
      </w:r>
    </w:p>
    <w:p>
      <w:pPr>
        <w:spacing w:after="0"/>
        <w:sectPr>
          <w:pgSz w:w="11910" w:h="16840"/>
          <w:pgMar w:header="11" w:footer="920" w:top="1380" w:bottom="1200" w:left="1280" w:right="1140"/>
        </w:sectPr>
      </w:pPr>
    </w:p>
    <w:tbl>
      <w:tblPr>
        <w:tblW w:w="0" w:type="auto"/>
        <w:jc w:val="left"/>
        <w:tblInd w:w="1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902"/>
        <w:gridCol w:w="729"/>
        <w:gridCol w:w="2657"/>
        <w:gridCol w:w="1261"/>
        <w:gridCol w:w="751"/>
        <w:gridCol w:w="891"/>
        <w:gridCol w:w="2046"/>
      </w:tblGrid>
      <w:tr>
        <w:trPr>
          <w:trHeight w:val="758" w:hRule="atLeast"/>
        </w:trPr>
        <w:tc>
          <w:tcPr>
            <w:tcW w:w="902" w:type="dxa"/>
            <w:tcBorders>
              <w:top w:val="nil"/>
              <w:left w:val="nil"/>
              <w:right w:val="nil"/>
            </w:tcBorders>
            <w:shd w:val="clear" w:color="auto" w:fill="8B0D64"/>
          </w:tcPr>
          <w:p>
            <w:pPr>
              <w:pStyle w:val="TableParagraph"/>
              <w:spacing w:line="252" w:lineRule="exact"/>
              <w:ind w:left="223"/>
              <w:rPr>
                <w:b/>
                <w:sz w:val="22"/>
              </w:rPr>
            </w:pPr>
            <w:r>
              <w:rPr>
                <w:b/>
                <w:color w:val="FFFFFF"/>
                <w:sz w:val="22"/>
              </w:rPr>
              <w:t>EAB</w:t>
            </w:r>
          </w:p>
          <w:p>
            <w:pPr>
              <w:pStyle w:val="TableParagraph"/>
              <w:spacing w:line="252" w:lineRule="exact" w:before="5"/>
              <w:ind w:left="278" w:right="85" w:hanging="166"/>
              <w:rPr>
                <w:b/>
                <w:sz w:val="22"/>
              </w:rPr>
            </w:pPr>
            <w:r>
              <w:rPr>
                <w:b/>
                <w:color w:val="FFFFFF"/>
                <w:sz w:val="22"/>
              </w:rPr>
              <w:t>Action</w:t>
            </w:r>
            <w:r>
              <w:rPr>
                <w:b/>
                <w:color w:val="FFFFFF"/>
                <w:w w:val="99"/>
                <w:sz w:val="22"/>
              </w:rPr>
              <w:t> </w:t>
            </w:r>
            <w:r>
              <w:rPr>
                <w:b/>
                <w:color w:val="FFFFFF"/>
                <w:sz w:val="22"/>
              </w:rPr>
              <w:t>Ref</w:t>
            </w:r>
          </w:p>
        </w:tc>
        <w:tc>
          <w:tcPr>
            <w:tcW w:w="729" w:type="dxa"/>
            <w:tcBorders>
              <w:top w:val="nil"/>
              <w:left w:val="nil"/>
              <w:right w:val="nil"/>
            </w:tcBorders>
            <w:shd w:val="clear" w:color="auto" w:fill="8B0D64"/>
          </w:tcPr>
          <w:p>
            <w:pPr>
              <w:pStyle w:val="TableParagraph"/>
              <w:spacing w:line="252" w:lineRule="exact"/>
              <w:ind w:left="109" w:right="102"/>
              <w:jc w:val="center"/>
              <w:rPr>
                <w:b/>
                <w:sz w:val="22"/>
              </w:rPr>
            </w:pPr>
            <w:r>
              <w:rPr>
                <w:b/>
                <w:color w:val="FFFFFF"/>
                <w:sz w:val="22"/>
              </w:rPr>
              <w:t>Date</w:t>
            </w:r>
          </w:p>
          <w:p>
            <w:pPr>
              <w:pStyle w:val="TableParagraph"/>
              <w:spacing w:line="252" w:lineRule="exact" w:before="5"/>
              <w:ind w:left="136" w:right="127" w:firstLine="1"/>
              <w:jc w:val="center"/>
              <w:rPr>
                <w:b/>
                <w:sz w:val="22"/>
              </w:rPr>
            </w:pPr>
            <w:r>
              <w:rPr>
                <w:b/>
                <w:color w:val="FFFFFF"/>
                <w:sz w:val="22"/>
              </w:rPr>
              <w:t>of </w:t>
            </w:r>
            <w:r>
              <w:rPr>
                <w:b/>
                <w:color w:val="FFFFFF"/>
                <w:spacing w:val="-1"/>
                <w:sz w:val="22"/>
              </w:rPr>
              <w:t>EAB</w:t>
            </w:r>
          </w:p>
        </w:tc>
        <w:tc>
          <w:tcPr>
            <w:tcW w:w="2657" w:type="dxa"/>
            <w:tcBorders>
              <w:top w:val="nil"/>
              <w:left w:val="nil"/>
              <w:right w:val="nil"/>
            </w:tcBorders>
            <w:shd w:val="clear" w:color="auto" w:fill="8B0D64"/>
          </w:tcPr>
          <w:p>
            <w:pPr>
              <w:pStyle w:val="TableParagraph"/>
              <w:spacing w:before="10"/>
              <w:rPr>
                <w:b/>
                <w:sz w:val="21"/>
              </w:rPr>
            </w:pPr>
          </w:p>
          <w:p>
            <w:pPr>
              <w:pStyle w:val="TableParagraph"/>
              <w:ind w:left="597"/>
              <w:rPr>
                <w:b/>
                <w:sz w:val="22"/>
              </w:rPr>
            </w:pPr>
            <w:r>
              <w:rPr>
                <w:b/>
                <w:color w:val="FFFFFF"/>
                <w:sz w:val="22"/>
              </w:rPr>
              <w:t>Action agreed</w:t>
            </w:r>
          </w:p>
        </w:tc>
        <w:tc>
          <w:tcPr>
            <w:tcW w:w="1261" w:type="dxa"/>
            <w:tcBorders>
              <w:top w:val="nil"/>
              <w:left w:val="nil"/>
              <w:right w:val="nil"/>
            </w:tcBorders>
            <w:shd w:val="clear" w:color="auto" w:fill="8B0D64"/>
          </w:tcPr>
          <w:p>
            <w:pPr>
              <w:pStyle w:val="TableParagraph"/>
              <w:spacing w:before="125"/>
              <w:ind w:left="289" w:right="267"/>
              <w:rPr>
                <w:b/>
                <w:sz w:val="22"/>
              </w:rPr>
            </w:pPr>
            <w:r>
              <w:rPr>
                <w:b/>
                <w:color w:val="FFFFFF"/>
                <w:sz w:val="22"/>
              </w:rPr>
              <w:t>Action Owner</w:t>
            </w:r>
          </w:p>
        </w:tc>
        <w:tc>
          <w:tcPr>
            <w:tcW w:w="751" w:type="dxa"/>
            <w:tcBorders>
              <w:top w:val="nil"/>
              <w:left w:val="nil"/>
              <w:right w:val="nil"/>
            </w:tcBorders>
            <w:shd w:val="clear" w:color="auto" w:fill="8B0D64"/>
          </w:tcPr>
          <w:p>
            <w:pPr>
              <w:pStyle w:val="TableParagraph"/>
              <w:spacing w:before="125"/>
              <w:ind w:left="180" w:right="116" w:hanging="42"/>
              <w:rPr>
                <w:b/>
                <w:sz w:val="22"/>
              </w:rPr>
            </w:pPr>
            <w:r>
              <w:rPr>
                <w:b/>
                <w:color w:val="FFFFFF"/>
                <w:sz w:val="22"/>
              </w:rPr>
              <w:t>Date due</w:t>
            </w:r>
          </w:p>
        </w:tc>
        <w:tc>
          <w:tcPr>
            <w:tcW w:w="891" w:type="dxa"/>
            <w:tcBorders>
              <w:top w:val="nil"/>
              <w:left w:val="nil"/>
              <w:right w:val="nil"/>
            </w:tcBorders>
            <w:shd w:val="clear" w:color="auto" w:fill="8B0D64"/>
          </w:tcPr>
          <w:p>
            <w:pPr>
              <w:pStyle w:val="TableParagraph"/>
              <w:spacing w:before="10"/>
              <w:rPr>
                <w:b/>
                <w:sz w:val="21"/>
              </w:rPr>
            </w:pPr>
          </w:p>
          <w:p>
            <w:pPr>
              <w:pStyle w:val="TableParagraph"/>
              <w:ind w:left="89" w:right="89"/>
              <w:jc w:val="center"/>
              <w:rPr>
                <w:b/>
                <w:sz w:val="22"/>
              </w:rPr>
            </w:pPr>
            <w:r>
              <w:rPr>
                <w:b/>
                <w:color w:val="FFFFFF"/>
                <w:sz w:val="22"/>
              </w:rPr>
              <w:t>Status</w:t>
            </w:r>
          </w:p>
        </w:tc>
        <w:tc>
          <w:tcPr>
            <w:tcW w:w="2046" w:type="dxa"/>
            <w:tcBorders>
              <w:top w:val="nil"/>
              <w:left w:val="nil"/>
              <w:right w:val="nil"/>
            </w:tcBorders>
            <w:shd w:val="clear" w:color="auto" w:fill="8B0D64"/>
          </w:tcPr>
          <w:p>
            <w:pPr>
              <w:pStyle w:val="TableParagraph"/>
              <w:spacing w:before="10"/>
              <w:rPr>
                <w:b/>
                <w:sz w:val="21"/>
              </w:rPr>
            </w:pPr>
          </w:p>
          <w:p>
            <w:pPr>
              <w:pStyle w:val="TableParagraph"/>
              <w:ind w:left="648"/>
              <w:rPr>
                <w:b/>
                <w:sz w:val="22"/>
              </w:rPr>
            </w:pPr>
            <w:r>
              <w:rPr>
                <w:b/>
                <w:color w:val="FFFFFF"/>
                <w:sz w:val="22"/>
              </w:rPr>
              <w:t>Update</w:t>
            </w:r>
          </w:p>
        </w:tc>
      </w:tr>
      <w:tr>
        <w:trPr>
          <w:trHeight w:val="917" w:hRule="atLeast"/>
        </w:trPr>
        <w:tc>
          <w:tcPr>
            <w:tcW w:w="902" w:type="dxa"/>
          </w:tcPr>
          <w:p>
            <w:pPr>
              <w:pStyle w:val="TableParagraph"/>
              <w:spacing w:line="226" w:lineRule="exact"/>
              <w:ind w:left="9"/>
              <w:jc w:val="center"/>
              <w:rPr>
                <w:sz w:val="20"/>
              </w:rPr>
            </w:pPr>
            <w:r>
              <w:rPr>
                <w:w w:val="100"/>
                <w:sz w:val="20"/>
              </w:rPr>
              <w:t>1</w:t>
            </w:r>
          </w:p>
        </w:tc>
        <w:tc>
          <w:tcPr>
            <w:tcW w:w="729" w:type="dxa"/>
          </w:tcPr>
          <w:p>
            <w:pPr>
              <w:pStyle w:val="TableParagraph"/>
              <w:spacing w:line="225" w:lineRule="exact"/>
              <w:ind w:left="104" w:right="96"/>
              <w:jc w:val="center"/>
              <w:rPr>
                <w:sz w:val="20"/>
              </w:rPr>
            </w:pPr>
            <w:r>
              <w:rPr>
                <w:sz w:val="20"/>
              </w:rPr>
              <w:t>5 Oct</w:t>
            </w:r>
          </w:p>
          <w:p>
            <w:pPr>
              <w:pStyle w:val="TableParagraph"/>
              <w:spacing w:line="230" w:lineRule="exact"/>
              <w:ind w:left="104" w:right="95"/>
              <w:jc w:val="center"/>
              <w:rPr>
                <w:sz w:val="20"/>
              </w:rPr>
            </w:pPr>
            <w:r>
              <w:rPr>
                <w:sz w:val="20"/>
              </w:rPr>
              <w:t>17</w:t>
            </w:r>
          </w:p>
        </w:tc>
        <w:tc>
          <w:tcPr>
            <w:tcW w:w="2657" w:type="dxa"/>
          </w:tcPr>
          <w:p>
            <w:pPr>
              <w:pStyle w:val="TableParagraph"/>
              <w:ind w:left="106" w:right="264"/>
              <w:rPr>
                <w:sz w:val="20"/>
              </w:rPr>
            </w:pPr>
            <w:r>
              <w:rPr>
                <w:sz w:val="20"/>
              </w:rPr>
              <w:t>Consider lessons learned from Scandinavian implementation of instant</w:t>
            </w:r>
          </w:p>
          <w:p>
            <w:pPr>
              <w:pStyle w:val="TableParagraph"/>
              <w:spacing w:line="212" w:lineRule="exact"/>
              <w:ind w:left="106"/>
              <w:rPr>
                <w:sz w:val="20"/>
              </w:rPr>
            </w:pPr>
            <w:r>
              <w:rPr>
                <w:sz w:val="20"/>
              </w:rPr>
              <w:t>payments</w:t>
            </w:r>
          </w:p>
        </w:tc>
        <w:tc>
          <w:tcPr>
            <w:tcW w:w="1261" w:type="dxa"/>
          </w:tcPr>
          <w:p>
            <w:pPr>
              <w:pStyle w:val="TableParagraph"/>
              <w:ind w:left="104" w:right="82"/>
              <w:rPr>
                <w:sz w:val="20"/>
              </w:rPr>
            </w:pPr>
            <w:r>
              <w:rPr>
                <w:sz w:val="20"/>
              </w:rPr>
              <w:t>Programme team</w:t>
            </w:r>
          </w:p>
        </w:tc>
        <w:tc>
          <w:tcPr>
            <w:tcW w:w="751" w:type="dxa"/>
          </w:tcPr>
          <w:p>
            <w:pPr>
              <w:pStyle w:val="TableParagraph"/>
              <w:spacing w:line="225" w:lineRule="exact"/>
              <w:ind w:left="415"/>
              <w:rPr>
                <w:sz w:val="20"/>
              </w:rPr>
            </w:pPr>
            <w:r>
              <w:rPr>
                <w:sz w:val="20"/>
              </w:rPr>
              <w:t>30</w:t>
            </w:r>
          </w:p>
          <w:p>
            <w:pPr>
              <w:pStyle w:val="TableParagraph"/>
              <w:spacing w:line="230" w:lineRule="exact"/>
              <w:ind w:left="283"/>
              <w:rPr>
                <w:sz w:val="20"/>
              </w:rPr>
            </w:pPr>
            <w:r>
              <w:rPr>
                <w:sz w:val="20"/>
              </w:rPr>
              <w:t>Nov</w:t>
            </w:r>
          </w:p>
        </w:tc>
        <w:tc>
          <w:tcPr>
            <w:tcW w:w="891" w:type="dxa"/>
          </w:tcPr>
          <w:p>
            <w:pPr>
              <w:pStyle w:val="TableParagraph"/>
              <w:spacing w:line="226" w:lineRule="exact"/>
              <w:ind w:left="175" w:right="175"/>
              <w:jc w:val="center"/>
              <w:rPr>
                <w:sz w:val="20"/>
              </w:rPr>
            </w:pPr>
            <w:r>
              <w:rPr>
                <w:sz w:val="20"/>
              </w:rPr>
              <w:t>Open</w:t>
            </w:r>
          </w:p>
        </w:tc>
        <w:tc>
          <w:tcPr>
            <w:tcW w:w="2046" w:type="dxa"/>
          </w:tcPr>
          <w:p>
            <w:pPr>
              <w:pStyle w:val="TableParagraph"/>
              <w:rPr>
                <w:rFonts w:ascii="Times New Roman"/>
                <w:sz w:val="20"/>
              </w:rPr>
            </w:pPr>
          </w:p>
        </w:tc>
      </w:tr>
      <w:tr>
        <w:trPr>
          <w:trHeight w:val="920" w:hRule="atLeast"/>
        </w:trPr>
        <w:tc>
          <w:tcPr>
            <w:tcW w:w="902" w:type="dxa"/>
          </w:tcPr>
          <w:p>
            <w:pPr>
              <w:pStyle w:val="TableParagraph"/>
              <w:spacing w:line="228" w:lineRule="exact"/>
              <w:ind w:left="9"/>
              <w:jc w:val="center"/>
              <w:rPr>
                <w:sz w:val="20"/>
              </w:rPr>
            </w:pPr>
            <w:r>
              <w:rPr>
                <w:w w:val="100"/>
                <w:sz w:val="20"/>
              </w:rPr>
              <w:t>2</w:t>
            </w:r>
          </w:p>
        </w:tc>
        <w:tc>
          <w:tcPr>
            <w:tcW w:w="729" w:type="dxa"/>
          </w:tcPr>
          <w:p>
            <w:pPr>
              <w:pStyle w:val="TableParagraph"/>
              <w:spacing w:line="228" w:lineRule="exact"/>
              <w:ind w:left="104" w:right="96"/>
              <w:jc w:val="center"/>
              <w:rPr>
                <w:sz w:val="20"/>
              </w:rPr>
            </w:pPr>
            <w:r>
              <w:rPr>
                <w:sz w:val="20"/>
              </w:rPr>
              <w:t>5 Oct</w:t>
            </w:r>
          </w:p>
          <w:p>
            <w:pPr>
              <w:pStyle w:val="TableParagraph"/>
              <w:spacing w:line="230" w:lineRule="exact"/>
              <w:ind w:left="104" w:right="95"/>
              <w:jc w:val="center"/>
              <w:rPr>
                <w:sz w:val="20"/>
              </w:rPr>
            </w:pPr>
            <w:r>
              <w:rPr>
                <w:sz w:val="20"/>
              </w:rPr>
              <w:t>17</w:t>
            </w:r>
          </w:p>
        </w:tc>
        <w:tc>
          <w:tcPr>
            <w:tcW w:w="2657" w:type="dxa"/>
          </w:tcPr>
          <w:p>
            <w:pPr>
              <w:pStyle w:val="TableParagraph"/>
              <w:ind w:left="106" w:right="197"/>
              <w:rPr>
                <w:sz w:val="20"/>
              </w:rPr>
            </w:pPr>
            <w:r>
              <w:rPr>
                <w:sz w:val="20"/>
              </w:rPr>
              <w:t>EAB members to consider whether additional representation is required</w:t>
            </w:r>
          </w:p>
          <w:p>
            <w:pPr>
              <w:pStyle w:val="TableParagraph"/>
              <w:spacing w:line="212" w:lineRule="exact"/>
              <w:ind w:left="106"/>
              <w:rPr>
                <w:sz w:val="20"/>
              </w:rPr>
            </w:pPr>
            <w:r>
              <w:rPr>
                <w:sz w:val="20"/>
              </w:rPr>
              <w:t>on working groups</w:t>
            </w:r>
          </w:p>
        </w:tc>
        <w:tc>
          <w:tcPr>
            <w:tcW w:w="1261" w:type="dxa"/>
          </w:tcPr>
          <w:p>
            <w:pPr>
              <w:pStyle w:val="TableParagraph"/>
              <w:spacing w:line="228" w:lineRule="exact"/>
              <w:ind w:left="104"/>
              <w:rPr>
                <w:sz w:val="20"/>
              </w:rPr>
            </w:pPr>
            <w:r>
              <w:rPr>
                <w:sz w:val="20"/>
              </w:rPr>
              <w:t>EAB</w:t>
            </w:r>
          </w:p>
          <w:p>
            <w:pPr>
              <w:pStyle w:val="TableParagraph"/>
              <w:spacing w:line="230" w:lineRule="exact"/>
              <w:ind w:left="104"/>
              <w:rPr>
                <w:sz w:val="20"/>
              </w:rPr>
            </w:pPr>
            <w:r>
              <w:rPr>
                <w:sz w:val="20"/>
              </w:rPr>
              <w:t>members</w:t>
            </w:r>
          </w:p>
        </w:tc>
        <w:tc>
          <w:tcPr>
            <w:tcW w:w="751" w:type="dxa"/>
          </w:tcPr>
          <w:p>
            <w:pPr>
              <w:pStyle w:val="TableParagraph"/>
              <w:spacing w:line="228" w:lineRule="exact"/>
              <w:ind w:left="415"/>
              <w:rPr>
                <w:sz w:val="20"/>
              </w:rPr>
            </w:pPr>
            <w:r>
              <w:rPr>
                <w:sz w:val="20"/>
              </w:rPr>
              <w:t>20</w:t>
            </w:r>
          </w:p>
          <w:p>
            <w:pPr>
              <w:pStyle w:val="TableParagraph"/>
              <w:spacing w:line="230" w:lineRule="exact"/>
              <w:ind w:left="327"/>
              <w:rPr>
                <w:sz w:val="20"/>
              </w:rPr>
            </w:pPr>
            <w:r>
              <w:rPr>
                <w:sz w:val="20"/>
              </w:rPr>
              <w:t>Oct</w:t>
            </w:r>
          </w:p>
        </w:tc>
        <w:tc>
          <w:tcPr>
            <w:tcW w:w="891" w:type="dxa"/>
          </w:tcPr>
          <w:p>
            <w:pPr>
              <w:pStyle w:val="TableParagraph"/>
              <w:spacing w:line="228" w:lineRule="exact"/>
              <w:ind w:left="175" w:right="175"/>
              <w:jc w:val="center"/>
              <w:rPr>
                <w:sz w:val="20"/>
              </w:rPr>
            </w:pPr>
            <w:r>
              <w:rPr>
                <w:sz w:val="20"/>
              </w:rPr>
              <w:t>Open</w:t>
            </w:r>
          </w:p>
        </w:tc>
        <w:tc>
          <w:tcPr>
            <w:tcW w:w="2046" w:type="dxa"/>
          </w:tcPr>
          <w:p>
            <w:pPr>
              <w:pStyle w:val="TableParagraph"/>
              <w:rPr>
                <w:rFonts w:ascii="Times New Roman"/>
                <w:sz w:val="20"/>
              </w:rPr>
            </w:pPr>
          </w:p>
        </w:tc>
      </w:tr>
      <w:tr>
        <w:trPr>
          <w:trHeight w:val="1031" w:hRule="atLeast"/>
        </w:trPr>
        <w:tc>
          <w:tcPr>
            <w:tcW w:w="902" w:type="dxa"/>
          </w:tcPr>
          <w:p>
            <w:pPr>
              <w:pStyle w:val="TableParagraph"/>
              <w:spacing w:line="227" w:lineRule="exact"/>
              <w:ind w:left="9"/>
              <w:jc w:val="center"/>
              <w:rPr>
                <w:sz w:val="20"/>
              </w:rPr>
            </w:pPr>
            <w:r>
              <w:rPr>
                <w:w w:val="100"/>
                <w:sz w:val="20"/>
              </w:rPr>
              <w:t>3</w:t>
            </w:r>
          </w:p>
        </w:tc>
        <w:tc>
          <w:tcPr>
            <w:tcW w:w="729" w:type="dxa"/>
          </w:tcPr>
          <w:p>
            <w:pPr>
              <w:pStyle w:val="TableParagraph"/>
              <w:spacing w:line="227" w:lineRule="exact"/>
              <w:ind w:right="97"/>
              <w:jc w:val="right"/>
              <w:rPr>
                <w:sz w:val="20"/>
              </w:rPr>
            </w:pPr>
            <w:r>
              <w:rPr>
                <w:sz w:val="20"/>
              </w:rPr>
              <w:t>5 Oct</w:t>
            </w:r>
          </w:p>
          <w:p>
            <w:pPr>
              <w:pStyle w:val="TableParagraph"/>
              <w:ind w:right="97"/>
              <w:jc w:val="right"/>
              <w:rPr>
                <w:sz w:val="20"/>
              </w:rPr>
            </w:pPr>
            <w:r>
              <w:rPr>
                <w:spacing w:val="-1"/>
                <w:sz w:val="20"/>
              </w:rPr>
              <w:t>17</w:t>
            </w:r>
          </w:p>
        </w:tc>
        <w:tc>
          <w:tcPr>
            <w:tcW w:w="2657" w:type="dxa"/>
          </w:tcPr>
          <w:p>
            <w:pPr>
              <w:pStyle w:val="TableParagraph"/>
              <w:spacing w:line="227" w:lineRule="exact"/>
              <w:ind w:left="106"/>
              <w:rPr>
                <w:sz w:val="20"/>
              </w:rPr>
            </w:pPr>
            <w:r>
              <w:rPr>
                <w:sz w:val="20"/>
              </w:rPr>
              <w:t>Consider linkages with</w:t>
            </w:r>
          </w:p>
          <w:p>
            <w:pPr>
              <w:pStyle w:val="TableParagraph"/>
              <w:ind w:left="106" w:right="142"/>
              <w:rPr>
                <w:sz w:val="20"/>
              </w:rPr>
            </w:pPr>
            <w:r>
              <w:rPr>
                <w:sz w:val="20"/>
              </w:rPr>
              <w:t>Swift’s consultation on ISO 20022 and the Payments Market Practice Group.</w:t>
            </w:r>
          </w:p>
        </w:tc>
        <w:tc>
          <w:tcPr>
            <w:tcW w:w="1261" w:type="dxa"/>
          </w:tcPr>
          <w:p>
            <w:pPr>
              <w:pStyle w:val="TableParagraph"/>
              <w:ind w:left="104" w:right="82"/>
              <w:rPr>
                <w:sz w:val="20"/>
              </w:rPr>
            </w:pPr>
            <w:r>
              <w:rPr>
                <w:sz w:val="20"/>
              </w:rPr>
              <w:t>Programme team</w:t>
            </w:r>
          </w:p>
        </w:tc>
        <w:tc>
          <w:tcPr>
            <w:tcW w:w="751" w:type="dxa"/>
          </w:tcPr>
          <w:p>
            <w:pPr>
              <w:pStyle w:val="TableParagraph"/>
              <w:spacing w:line="227" w:lineRule="exact"/>
              <w:ind w:left="415"/>
              <w:rPr>
                <w:sz w:val="20"/>
              </w:rPr>
            </w:pPr>
            <w:r>
              <w:rPr>
                <w:sz w:val="20"/>
              </w:rPr>
              <w:t>31</w:t>
            </w:r>
          </w:p>
          <w:p>
            <w:pPr>
              <w:pStyle w:val="TableParagraph"/>
              <w:ind w:left="327"/>
              <w:rPr>
                <w:sz w:val="20"/>
              </w:rPr>
            </w:pPr>
            <w:r>
              <w:rPr>
                <w:sz w:val="20"/>
              </w:rPr>
              <w:t>Oct</w:t>
            </w:r>
          </w:p>
        </w:tc>
        <w:tc>
          <w:tcPr>
            <w:tcW w:w="891" w:type="dxa"/>
          </w:tcPr>
          <w:p>
            <w:pPr>
              <w:pStyle w:val="TableParagraph"/>
              <w:spacing w:line="227" w:lineRule="exact"/>
              <w:ind w:left="175" w:right="175"/>
              <w:jc w:val="center"/>
              <w:rPr>
                <w:sz w:val="20"/>
              </w:rPr>
            </w:pPr>
            <w:r>
              <w:rPr>
                <w:sz w:val="20"/>
              </w:rPr>
              <w:t>Open</w:t>
            </w:r>
          </w:p>
        </w:tc>
        <w:tc>
          <w:tcPr>
            <w:tcW w:w="2046" w:type="dxa"/>
          </w:tcPr>
          <w:p>
            <w:pPr>
              <w:pStyle w:val="TableParagraph"/>
              <w:rPr>
                <w:rFonts w:ascii="Times New Roman"/>
                <w:sz w:val="20"/>
              </w:rPr>
            </w:pPr>
          </w:p>
        </w:tc>
      </w:tr>
      <w:tr>
        <w:trPr>
          <w:trHeight w:val="1490" w:hRule="atLeast"/>
        </w:trPr>
        <w:tc>
          <w:tcPr>
            <w:tcW w:w="902" w:type="dxa"/>
            <w:tcBorders>
              <w:bottom w:val="nil"/>
            </w:tcBorders>
          </w:tcPr>
          <w:p>
            <w:pPr>
              <w:pStyle w:val="TableParagraph"/>
              <w:spacing w:line="228" w:lineRule="exact"/>
              <w:ind w:left="9"/>
              <w:jc w:val="center"/>
              <w:rPr>
                <w:sz w:val="20"/>
              </w:rPr>
            </w:pPr>
            <w:r>
              <w:rPr>
                <w:w w:val="100"/>
                <w:sz w:val="20"/>
              </w:rPr>
              <w:t>4</w:t>
            </w:r>
          </w:p>
        </w:tc>
        <w:tc>
          <w:tcPr>
            <w:tcW w:w="729" w:type="dxa"/>
            <w:tcBorders>
              <w:bottom w:val="nil"/>
            </w:tcBorders>
          </w:tcPr>
          <w:p>
            <w:pPr>
              <w:pStyle w:val="TableParagraph"/>
              <w:spacing w:line="228" w:lineRule="exact"/>
              <w:ind w:right="97"/>
              <w:jc w:val="right"/>
              <w:rPr>
                <w:sz w:val="20"/>
              </w:rPr>
            </w:pPr>
            <w:r>
              <w:rPr>
                <w:sz w:val="20"/>
              </w:rPr>
              <w:t>5 Oct</w:t>
            </w:r>
          </w:p>
          <w:p>
            <w:pPr>
              <w:pStyle w:val="TableParagraph"/>
              <w:spacing w:line="230" w:lineRule="exact"/>
              <w:ind w:right="97"/>
              <w:jc w:val="right"/>
              <w:rPr>
                <w:sz w:val="20"/>
              </w:rPr>
            </w:pPr>
            <w:r>
              <w:rPr>
                <w:spacing w:val="-1"/>
                <w:sz w:val="20"/>
              </w:rPr>
              <w:t>17</w:t>
            </w:r>
          </w:p>
        </w:tc>
        <w:tc>
          <w:tcPr>
            <w:tcW w:w="2657" w:type="dxa"/>
            <w:tcBorders>
              <w:bottom w:val="nil"/>
            </w:tcBorders>
          </w:tcPr>
          <w:p>
            <w:pPr>
              <w:pStyle w:val="TableParagraph"/>
              <w:ind w:left="106" w:right="252"/>
              <w:rPr>
                <w:sz w:val="20"/>
              </w:rPr>
            </w:pPr>
            <w:r>
              <w:rPr>
                <w:sz w:val="20"/>
              </w:rPr>
              <w:t>Discuss bilaterally with Members the wider international change that should be represented on the Programme view of change.</w:t>
            </w:r>
          </w:p>
        </w:tc>
        <w:tc>
          <w:tcPr>
            <w:tcW w:w="1261" w:type="dxa"/>
            <w:tcBorders>
              <w:bottom w:val="nil"/>
            </w:tcBorders>
          </w:tcPr>
          <w:p>
            <w:pPr>
              <w:pStyle w:val="TableParagraph"/>
              <w:ind w:left="104" w:right="82"/>
              <w:rPr>
                <w:sz w:val="20"/>
              </w:rPr>
            </w:pPr>
            <w:r>
              <w:rPr>
                <w:sz w:val="20"/>
              </w:rPr>
              <w:t>Programme team</w:t>
            </w:r>
          </w:p>
        </w:tc>
        <w:tc>
          <w:tcPr>
            <w:tcW w:w="751" w:type="dxa"/>
            <w:tcBorders>
              <w:bottom w:val="nil"/>
            </w:tcBorders>
          </w:tcPr>
          <w:p>
            <w:pPr>
              <w:pStyle w:val="TableParagraph"/>
              <w:spacing w:line="228" w:lineRule="exact"/>
              <w:ind w:left="349"/>
              <w:rPr>
                <w:sz w:val="20"/>
              </w:rPr>
            </w:pPr>
            <w:r>
              <w:rPr>
                <w:sz w:val="20"/>
              </w:rPr>
              <w:t>31-</w:t>
            </w:r>
          </w:p>
          <w:p>
            <w:pPr>
              <w:pStyle w:val="TableParagraph"/>
              <w:spacing w:line="230" w:lineRule="exact"/>
              <w:ind w:left="327"/>
              <w:rPr>
                <w:sz w:val="20"/>
              </w:rPr>
            </w:pPr>
            <w:r>
              <w:rPr>
                <w:sz w:val="20"/>
              </w:rPr>
              <w:t>Oct</w:t>
            </w:r>
          </w:p>
        </w:tc>
        <w:tc>
          <w:tcPr>
            <w:tcW w:w="891" w:type="dxa"/>
            <w:tcBorders>
              <w:bottom w:val="nil"/>
            </w:tcBorders>
          </w:tcPr>
          <w:p>
            <w:pPr>
              <w:pStyle w:val="TableParagraph"/>
              <w:spacing w:line="228" w:lineRule="exact"/>
              <w:ind w:left="175" w:right="175"/>
              <w:jc w:val="center"/>
              <w:rPr>
                <w:sz w:val="20"/>
              </w:rPr>
            </w:pPr>
            <w:r>
              <w:rPr>
                <w:sz w:val="20"/>
              </w:rPr>
              <w:t>Open</w:t>
            </w:r>
          </w:p>
        </w:tc>
        <w:tc>
          <w:tcPr>
            <w:tcW w:w="2046" w:type="dxa"/>
            <w:vMerge w:val="restart"/>
          </w:tcPr>
          <w:p>
            <w:pPr>
              <w:pStyle w:val="TableParagraph"/>
              <w:rPr>
                <w:rFonts w:ascii="Times New Roman"/>
                <w:sz w:val="20"/>
              </w:rPr>
            </w:pPr>
          </w:p>
        </w:tc>
      </w:tr>
      <w:tr>
        <w:trPr>
          <w:trHeight w:val="1260" w:hRule="atLeast"/>
        </w:trPr>
        <w:tc>
          <w:tcPr>
            <w:tcW w:w="902" w:type="dxa"/>
            <w:tcBorders>
              <w:top w:val="nil"/>
            </w:tcBorders>
          </w:tcPr>
          <w:p>
            <w:pPr>
              <w:pStyle w:val="TableParagraph"/>
              <w:rPr>
                <w:rFonts w:ascii="Times New Roman"/>
                <w:sz w:val="20"/>
              </w:rPr>
            </w:pPr>
          </w:p>
        </w:tc>
        <w:tc>
          <w:tcPr>
            <w:tcW w:w="729" w:type="dxa"/>
            <w:tcBorders>
              <w:top w:val="nil"/>
            </w:tcBorders>
          </w:tcPr>
          <w:p>
            <w:pPr>
              <w:pStyle w:val="TableParagraph"/>
              <w:rPr>
                <w:rFonts w:ascii="Times New Roman"/>
                <w:sz w:val="20"/>
              </w:rPr>
            </w:pPr>
          </w:p>
        </w:tc>
        <w:tc>
          <w:tcPr>
            <w:tcW w:w="2657" w:type="dxa"/>
            <w:tcBorders>
              <w:top w:val="nil"/>
            </w:tcBorders>
          </w:tcPr>
          <w:p>
            <w:pPr>
              <w:pStyle w:val="TableParagraph"/>
              <w:spacing w:before="106"/>
              <w:ind w:left="106" w:right="97"/>
              <w:rPr>
                <w:sz w:val="20"/>
              </w:rPr>
            </w:pPr>
            <w:r>
              <w:rPr>
                <w:sz w:val="20"/>
              </w:rPr>
              <w:t>Programme to consider representation of volume of work for industry for each change initiative.</w:t>
            </w:r>
          </w:p>
        </w:tc>
        <w:tc>
          <w:tcPr>
            <w:tcW w:w="1261" w:type="dxa"/>
            <w:tcBorders>
              <w:top w:val="nil"/>
            </w:tcBorders>
          </w:tcPr>
          <w:p>
            <w:pPr>
              <w:pStyle w:val="TableParagraph"/>
              <w:rPr>
                <w:rFonts w:ascii="Times New Roman"/>
                <w:sz w:val="20"/>
              </w:rPr>
            </w:pPr>
          </w:p>
        </w:tc>
        <w:tc>
          <w:tcPr>
            <w:tcW w:w="751" w:type="dxa"/>
            <w:tcBorders>
              <w:top w:val="nil"/>
            </w:tcBorders>
          </w:tcPr>
          <w:p>
            <w:pPr>
              <w:pStyle w:val="TableParagraph"/>
              <w:rPr>
                <w:rFonts w:ascii="Times New Roman"/>
                <w:sz w:val="20"/>
              </w:rPr>
            </w:pPr>
          </w:p>
        </w:tc>
        <w:tc>
          <w:tcPr>
            <w:tcW w:w="891" w:type="dxa"/>
            <w:tcBorders>
              <w:top w:val="nil"/>
            </w:tcBorders>
          </w:tcPr>
          <w:p>
            <w:pPr>
              <w:pStyle w:val="TableParagraph"/>
              <w:rPr>
                <w:rFonts w:ascii="Times New Roman"/>
                <w:sz w:val="20"/>
              </w:rPr>
            </w:pPr>
          </w:p>
        </w:tc>
        <w:tc>
          <w:tcPr>
            <w:tcW w:w="2046" w:type="dxa"/>
            <w:vMerge/>
            <w:tcBorders>
              <w:top w:val="nil"/>
            </w:tcBorders>
          </w:tcPr>
          <w:p>
            <w:pPr>
              <w:rPr>
                <w:sz w:val="2"/>
                <w:szCs w:val="2"/>
              </w:rPr>
            </w:pPr>
          </w:p>
        </w:tc>
      </w:tr>
      <w:tr>
        <w:trPr>
          <w:trHeight w:val="506" w:hRule="atLeast"/>
        </w:trPr>
        <w:tc>
          <w:tcPr>
            <w:tcW w:w="902" w:type="dxa"/>
            <w:tcBorders>
              <w:bottom w:val="nil"/>
            </w:tcBorders>
          </w:tcPr>
          <w:p>
            <w:pPr>
              <w:pStyle w:val="TableParagraph"/>
              <w:spacing w:line="227" w:lineRule="exact"/>
              <w:ind w:left="9"/>
              <w:jc w:val="center"/>
              <w:rPr>
                <w:sz w:val="20"/>
              </w:rPr>
            </w:pPr>
            <w:r>
              <w:rPr>
                <w:w w:val="100"/>
                <w:sz w:val="20"/>
              </w:rPr>
              <w:t>5</w:t>
            </w:r>
          </w:p>
        </w:tc>
        <w:tc>
          <w:tcPr>
            <w:tcW w:w="729" w:type="dxa"/>
            <w:tcBorders>
              <w:bottom w:val="nil"/>
            </w:tcBorders>
          </w:tcPr>
          <w:p>
            <w:pPr>
              <w:pStyle w:val="TableParagraph"/>
              <w:spacing w:line="227" w:lineRule="exact"/>
              <w:ind w:right="97"/>
              <w:jc w:val="right"/>
              <w:rPr>
                <w:sz w:val="20"/>
              </w:rPr>
            </w:pPr>
            <w:r>
              <w:rPr>
                <w:sz w:val="20"/>
              </w:rPr>
              <w:t>5 Oct</w:t>
            </w:r>
          </w:p>
          <w:p>
            <w:pPr>
              <w:pStyle w:val="TableParagraph"/>
              <w:ind w:right="97"/>
              <w:jc w:val="right"/>
              <w:rPr>
                <w:sz w:val="20"/>
              </w:rPr>
            </w:pPr>
            <w:r>
              <w:rPr>
                <w:spacing w:val="-1"/>
                <w:sz w:val="20"/>
              </w:rPr>
              <w:t>17</w:t>
            </w:r>
          </w:p>
        </w:tc>
        <w:tc>
          <w:tcPr>
            <w:tcW w:w="2657" w:type="dxa"/>
            <w:tcBorders>
              <w:bottom w:val="nil"/>
            </w:tcBorders>
          </w:tcPr>
          <w:p>
            <w:pPr>
              <w:pStyle w:val="TableParagraph"/>
              <w:spacing w:line="227" w:lineRule="exact"/>
              <w:ind w:left="106"/>
              <w:rPr>
                <w:sz w:val="20"/>
              </w:rPr>
            </w:pPr>
            <w:r>
              <w:rPr>
                <w:sz w:val="20"/>
              </w:rPr>
              <w:t>Programme to follow</w:t>
            </w:r>
            <w:r>
              <w:rPr>
                <w:spacing w:val="-1"/>
                <w:sz w:val="20"/>
              </w:rPr>
              <w:t> </w:t>
            </w:r>
            <w:r>
              <w:rPr>
                <w:sz w:val="20"/>
              </w:rPr>
              <w:t>up</w:t>
            </w:r>
          </w:p>
          <w:p>
            <w:pPr>
              <w:pStyle w:val="TableParagraph"/>
              <w:spacing w:line="226" w:lineRule="exact" w:before="34"/>
              <w:ind w:left="106"/>
              <w:rPr>
                <w:sz w:val="20"/>
              </w:rPr>
            </w:pPr>
            <w:r>
              <w:rPr>
                <w:sz w:val="20"/>
              </w:rPr>
              <w:t>bilaterally with</w:t>
            </w:r>
            <w:r>
              <w:rPr>
                <w:spacing w:val="-2"/>
                <w:sz w:val="20"/>
              </w:rPr>
              <w:t> </w:t>
            </w:r>
            <w:r>
              <w:rPr>
                <w:sz w:val="20"/>
              </w:rPr>
              <w:t>members</w:t>
            </w:r>
          </w:p>
        </w:tc>
        <w:tc>
          <w:tcPr>
            <w:tcW w:w="1261" w:type="dxa"/>
            <w:tcBorders>
              <w:bottom w:val="nil"/>
            </w:tcBorders>
          </w:tcPr>
          <w:p>
            <w:pPr>
              <w:pStyle w:val="TableParagraph"/>
              <w:ind w:left="104" w:right="82"/>
              <w:rPr>
                <w:sz w:val="20"/>
              </w:rPr>
            </w:pPr>
            <w:r>
              <w:rPr>
                <w:sz w:val="20"/>
              </w:rPr>
              <w:t>Programme team</w:t>
            </w:r>
          </w:p>
        </w:tc>
        <w:tc>
          <w:tcPr>
            <w:tcW w:w="751" w:type="dxa"/>
            <w:tcBorders>
              <w:bottom w:val="nil"/>
            </w:tcBorders>
          </w:tcPr>
          <w:p>
            <w:pPr>
              <w:pStyle w:val="TableParagraph"/>
              <w:spacing w:line="227" w:lineRule="exact"/>
              <w:ind w:left="116"/>
              <w:rPr>
                <w:sz w:val="20"/>
              </w:rPr>
            </w:pPr>
            <w:r>
              <w:rPr>
                <w:sz w:val="20"/>
              </w:rPr>
              <w:t>3 Nov</w:t>
            </w:r>
          </w:p>
        </w:tc>
        <w:tc>
          <w:tcPr>
            <w:tcW w:w="891" w:type="dxa"/>
            <w:tcBorders>
              <w:bottom w:val="nil"/>
            </w:tcBorders>
          </w:tcPr>
          <w:p>
            <w:pPr>
              <w:pStyle w:val="TableParagraph"/>
              <w:spacing w:line="227" w:lineRule="exact"/>
              <w:ind w:left="175" w:right="175"/>
              <w:jc w:val="center"/>
              <w:rPr>
                <w:sz w:val="20"/>
              </w:rPr>
            </w:pPr>
            <w:r>
              <w:rPr>
                <w:sz w:val="20"/>
              </w:rPr>
              <w:t>Open</w:t>
            </w:r>
          </w:p>
        </w:tc>
        <w:tc>
          <w:tcPr>
            <w:tcW w:w="2046" w:type="dxa"/>
            <w:vMerge w:val="restart"/>
          </w:tcPr>
          <w:p>
            <w:pPr>
              <w:pStyle w:val="TableParagraph"/>
              <w:rPr>
                <w:rFonts w:ascii="Times New Roman"/>
                <w:sz w:val="20"/>
              </w:rPr>
            </w:pPr>
          </w:p>
        </w:tc>
      </w:tr>
      <w:tr>
        <w:trPr>
          <w:trHeight w:val="254" w:hRule="atLeast"/>
        </w:trPr>
        <w:tc>
          <w:tcPr>
            <w:tcW w:w="902" w:type="dxa"/>
            <w:tcBorders>
              <w:top w:val="nil"/>
              <w:bottom w:val="nil"/>
            </w:tcBorders>
          </w:tcPr>
          <w:p>
            <w:pPr>
              <w:pStyle w:val="TableParagraph"/>
              <w:rPr>
                <w:rFonts w:ascii="Times New Roman"/>
                <w:sz w:val="18"/>
              </w:rPr>
            </w:pPr>
          </w:p>
        </w:tc>
        <w:tc>
          <w:tcPr>
            <w:tcW w:w="729" w:type="dxa"/>
            <w:tcBorders>
              <w:top w:val="nil"/>
              <w:bottom w:val="nil"/>
            </w:tcBorders>
          </w:tcPr>
          <w:p>
            <w:pPr>
              <w:pStyle w:val="TableParagraph"/>
              <w:rPr>
                <w:rFonts w:ascii="Times New Roman"/>
                <w:sz w:val="18"/>
              </w:rPr>
            </w:pPr>
          </w:p>
        </w:tc>
        <w:tc>
          <w:tcPr>
            <w:tcW w:w="2657" w:type="dxa"/>
            <w:tcBorders>
              <w:top w:val="nil"/>
              <w:bottom w:val="nil"/>
            </w:tcBorders>
          </w:tcPr>
          <w:p>
            <w:pPr>
              <w:pStyle w:val="TableParagraph"/>
              <w:spacing w:line="225" w:lineRule="exact" w:before="9"/>
              <w:ind w:left="106"/>
              <w:rPr>
                <w:sz w:val="20"/>
              </w:rPr>
            </w:pPr>
            <w:r>
              <w:rPr>
                <w:sz w:val="20"/>
              </w:rPr>
              <w:t>who offered to share their</w:t>
            </w:r>
          </w:p>
        </w:tc>
        <w:tc>
          <w:tcPr>
            <w:tcW w:w="1261" w:type="dxa"/>
            <w:tcBorders>
              <w:top w:val="nil"/>
              <w:bottom w:val="nil"/>
            </w:tcBorders>
          </w:tcPr>
          <w:p>
            <w:pPr>
              <w:pStyle w:val="TableParagraph"/>
              <w:rPr>
                <w:rFonts w:ascii="Times New Roman"/>
                <w:sz w:val="18"/>
              </w:rPr>
            </w:pPr>
          </w:p>
        </w:tc>
        <w:tc>
          <w:tcPr>
            <w:tcW w:w="751" w:type="dxa"/>
            <w:tcBorders>
              <w:top w:val="nil"/>
              <w:bottom w:val="nil"/>
            </w:tcBorders>
          </w:tcPr>
          <w:p>
            <w:pPr>
              <w:pStyle w:val="TableParagraph"/>
              <w:rPr>
                <w:rFonts w:ascii="Times New Roman"/>
                <w:sz w:val="18"/>
              </w:rPr>
            </w:pPr>
          </w:p>
        </w:tc>
        <w:tc>
          <w:tcPr>
            <w:tcW w:w="891" w:type="dxa"/>
            <w:tcBorders>
              <w:top w:val="nil"/>
              <w:bottom w:val="nil"/>
            </w:tcBorders>
          </w:tcPr>
          <w:p>
            <w:pPr>
              <w:pStyle w:val="TableParagraph"/>
              <w:rPr>
                <w:rFonts w:ascii="Times New Roman"/>
                <w:sz w:val="18"/>
              </w:rPr>
            </w:pPr>
          </w:p>
        </w:tc>
        <w:tc>
          <w:tcPr>
            <w:tcW w:w="2046" w:type="dxa"/>
            <w:vMerge/>
            <w:tcBorders>
              <w:top w:val="nil"/>
            </w:tcBorders>
          </w:tcPr>
          <w:p>
            <w:pPr>
              <w:rPr>
                <w:sz w:val="2"/>
                <w:szCs w:val="2"/>
              </w:rPr>
            </w:pPr>
          </w:p>
        </w:tc>
      </w:tr>
      <w:tr>
        <w:trPr>
          <w:trHeight w:val="254" w:hRule="atLeast"/>
        </w:trPr>
        <w:tc>
          <w:tcPr>
            <w:tcW w:w="902" w:type="dxa"/>
            <w:tcBorders>
              <w:top w:val="nil"/>
              <w:bottom w:val="nil"/>
            </w:tcBorders>
          </w:tcPr>
          <w:p>
            <w:pPr>
              <w:pStyle w:val="TableParagraph"/>
              <w:rPr>
                <w:rFonts w:ascii="Times New Roman"/>
                <w:sz w:val="18"/>
              </w:rPr>
            </w:pPr>
          </w:p>
        </w:tc>
        <w:tc>
          <w:tcPr>
            <w:tcW w:w="729" w:type="dxa"/>
            <w:tcBorders>
              <w:top w:val="nil"/>
              <w:bottom w:val="nil"/>
            </w:tcBorders>
          </w:tcPr>
          <w:p>
            <w:pPr>
              <w:pStyle w:val="TableParagraph"/>
              <w:rPr>
                <w:rFonts w:ascii="Times New Roman"/>
                <w:sz w:val="18"/>
              </w:rPr>
            </w:pPr>
          </w:p>
        </w:tc>
        <w:tc>
          <w:tcPr>
            <w:tcW w:w="2657" w:type="dxa"/>
            <w:tcBorders>
              <w:top w:val="nil"/>
              <w:bottom w:val="nil"/>
            </w:tcBorders>
          </w:tcPr>
          <w:p>
            <w:pPr>
              <w:pStyle w:val="TableParagraph"/>
              <w:spacing w:line="226" w:lineRule="exact" w:before="9"/>
              <w:ind w:left="106"/>
              <w:rPr>
                <w:sz w:val="20"/>
              </w:rPr>
            </w:pPr>
            <w:r>
              <w:rPr>
                <w:sz w:val="20"/>
              </w:rPr>
              <w:t>business cases, and also</w:t>
            </w:r>
          </w:p>
        </w:tc>
        <w:tc>
          <w:tcPr>
            <w:tcW w:w="1261" w:type="dxa"/>
            <w:tcBorders>
              <w:top w:val="nil"/>
              <w:bottom w:val="nil"/>
            </w:tcBorders>
          </w:tcPr>
          <w:p>
            <w:pPr>
              <w:pStyle w:val="TableParagraph"/>
              <w:rPr>
                <w:rFonts w:ascii="Times New Roman"/>
                <w:sz w:val="18"/>
              </w:rPr>
            </w:pPr>
          </w:p>
        </w:tc>
        <w:tc>
          <w:tcPr>
            <w:tcW w:w="751" w:type="dxa"/>
            <w:tcBorders>
              <w:top w:val="nil"/>
              <w:bottom w:val="nil"/>
            </w:tcBorders>
          </w:tcPr>
          <w:p>
            <w:pPr>
              <w:pStyle w:val="TableParagraph"/>
              <w:rPr>
                <w:rFonts w:ascii="Times New Roman"/>
                <w:sz w:val="18"/>
              </w:rPr>
            </w:pPr>
          </w:p>
        </w:tc>
        <w:tc>
          <w:tcPr>
            <w:tcW w:w="891" w:type="dxa"/>
            <w:tcBorders>
              <w:top w:val="nil"/>
              <w:bottom w:val="nil"/>
            </w:tcBorders>
          </w:tcPr>
          <w:p>
            <w:pPr>
              <w:pStyle w:val="TableParagraph"/>
              <w:rPr>
                <w:rFonts w:ascii="Times New Roman"/>
                <w:sz w:val="18"/>
              </w:rPr>
            </w:pPr>
          </w:p>
        </w:tc>
        <w:tc>
          <w:tcPr>
            <w:tcW w:w="2046" w:type="dxa"/>
            <w:vMerge/>
            <w:tcBorders>
              <w:top w:val="nil"/>
            </w:tcBorders>
          </w:tcPr>
          <w:p>
            <w:pPr>
              <w:rPr>
                <w:sz w:val="2"/>
                <w:szCs w:val="2"/>
              </w:rPr>
            </w:pPr>
          </w:p>
        </w:tc>
      </w:tr>
      <w:tr>
        <w:trPr>
          <w:trHeight w:val="254" w:hRule="atLeast"/>
        </w:trPr>
        <w:tc>
          <w:tcPr>
            <w:tcW w:w="902" w:type="dxa"/>
            <w:tcBorders>
              <w:top w:val="nil"/>
              <w:bottom w:val="nil"/>
            </w:tcBorders>
          </w:tcPr>
          <w:p>
            <w:pPr>
              <w:pStyle w:val="TableParagraph"/>
              <w:rPr>
                <w:rFonts w:ascii="Times New Roman"/>
                <w:sz w:val="18"/>
              </w:rPr>
            </w:pPr>
          </w:p>
        </w:tc>
        <w:tc>
          <w:tcPr>
            <w:tcW w:w="729" w:type="dxa"/>
            <w:tcBorders>
              <w:top w:val="nil"/>
              <w:bottom w:val="nil"/>
            </w:tcBorders>
          </w:tcPr>
          <w:p>
            <w:pPr>
              <w:pStyle w:val="TableParagraph"/>
              <w:rPr>
                <w:rFonts w:ascii="Times New Roman"/>
                <w:sz w:val="18"/>
              </w:rPr>
            </w:pPr>
          </w:p>
        </w:tc>
        <w:tc>
          <w:tcPr>
            <w:tcW w:w="2657" w:type="dxa"/>
            <w:tcBorders>
              <w:top w:val="nil"/>
              <w:bottom w:val="nil"/>
            </w:tcBorders>
          </w:tcPr>
          <w:p>
            <w:pPr>
              <w:pStyle w:val="TableParagraph"/>
              <w:spacing w:line="225" w:lineRule="exact" w:before="9"/>
              <w:ind w:left="106"/>
              <w:rPr>
                <w:sz w:val="20"/>
              </w:rPr>
            </w:pPr>
            <w:r>
              <w:rPr>
                <w:sz w:val="20"/>
              </w:rPr>
              <w:t>to seek input from</w:t>
            </w:r>
          </w:p>
        </w:tc>
        <w:tc>
          <w:tcPr>
            <w:tcW w:w="1261" w:type="dxa"/>
            <w:tcBorders>
              <w:top w:val="nil"/>
              <w:bottom w:val="nil"/>
            </w:tcBorders>
          </w:tcPr>
          <w:p>
            <w:pPr>
              <w:pStyle w:val="TableParagraph"/>
              <w:rPr>
                <w:rFonts w:ascii="Times New Roman"/>
                <w:sz w:val="18"/>
              </w:rPr>
            </w:pPr>
          </w:p>
        </w:tc>
        <w:tc>
          <w:tcPr>
            <w:tcW w:w="751" w:type="dxa"/>
            <w:tcBorders>
              <w:top w:val="nil"/>
              <w:bottom w:val="nil"/>
            </w:tcBorders>
          </w:tcPr>
          <w:p>
            <w:pPr>
              <w:pStyle w:val="TableParagraph"/>
              <w:rPr>
                <w:rFonts w:ascii="Times New Roman"/>
                <w:sz w:val="18"/>
              </w:rPr>
            </w:pPr>
          </w:p>
        </w:tc>
        <w:tc>
          <w:tcPr>
            <w:tcW w:w="891" w:type="dxa"/>
            <w:tcBorders>
              <w:top w:val="nil"/>
              <w:bottom w:val="nil"/>
            </w:tcBorders>
          </w:tcPr>
          <w:p>
            <w:pPr>
              <w:pStyle w:val="TableParagraph"/>
              <w:rPr>
                <w:rFonts w:ascii="Times New Roman"/>
                <w:sz w:val="18"/>
              </w:rPr>
            </w:pPr>
          </w:p>
        </w:tc>
        <w:tc>
          <w:tcPr>
            <w:tcW w:w="2046" w:type="dxa"/>
            <w:vMerge/>
            <w:tcBorders>
              <w:top w:val="nil"/>
            </w:tcBorders>
          </w:tcPr>
          <w:p>
            <w:pPr>
              <w:rPr>
                <w:sz w:val="2"/>
                <w:szCs w:val="2"/>
              </w:rPr>
            </w:pPr>
          </w:p>
        </w:tc>
      </w:tr>
      <w:tr>
        <w:trPr>
          <w:trHeight w:val="253" w:hRule="atLeast"/>
        </w:trPr>
        <w:tc>
          <w:tcPr>
            <w:tcW w:w="902" w:type="dxa"/>
            <w:tcBorders>
              <w:top w:val="nil"/>
              <w:bottom w:val="nil"/>
            </w:tcBorders>
          </w:tcPr>
          <w:p>
            <w:pPr>
              <w:pStyle w:val="TableParagraph"/>
              <w:rPr>
                <w:rFonts w:ascii="Times New Roman"/>
                <w:sz w:val="18"/>
              </w:rPr>
            </w:pPr>
          </w:p>
        </w:tc>
        <w:tc>
          <w:tcPr>
            <w:tcW w:w="729" w:type="dxa"/>
            <w:tcBorders>
              <w:top w:val="nil"/>
              <w:bottom w:val="nil"/>
            </w:tcBorders>
          </w:tcPr>
          <w:p>
            <w:pPr>
              <w:pStyle w:val="TableParagraph"/>
              <w:rPr>
                <w:rFonts w:ascii="Times New Roman"/>
                <w:sz w:val="18"/>
              </w:rPr>
            </w:pPr>
          </w:p>
        </w:tc>
        <w:tc>
          <w:tcPr>
            <w:tcW w:w="2657" w:type="dxa"/>
            <w:tcBorders>
              <w:top w:val="nil"/>
              <w:bottom w:val="nil"/>
            </w:tcBorders>
          </w:tcPr>
          <w:p>
            <w:pPr>
              <w:pStyle w:val="TableParagraph"/>
              <w:spacing w:line="225" w:lineRule="exact" w:before="9"/>
              <w:ind w:left="106"/>
              <w:rPr>
                <w:sz w:val="20"/>
              </w:rPr>
            </w:pPr>
            <w:r>
              <w:rPr>
                <w:sz w:val="20"/>
              </w:rPr>
              <w:t>development of the New</w:t>
            </w:r>
          </w:p>
        </w:tc>
        <w:tc>
          <w:tcPr>
            <w:tcW w:w="1261" w:type="dxa"/>
            <w:tcBorders>
              <w:top w:val="nil"/>
              <w:bottom w:val="nil"/>
            </w:tcBorders>
          </w:tcPr>
          <w:p>
            <w:pPr>
              <w:pStyle w:val="TableParagraph"/>
              <w:rPr>
                <w:rFonts w:ascii="Times New Roman"/>
                <w:sz w:val="18"/>
              </w:rPr>
            </w:pPr>
          </w:p>
        </w:tc>
        <w:tc>
          <w:tcPr>
            <w:tcW w:w="751" w:type="dxa"/>
            <w:tcBorders>
              <w:top w:val="nil"/>
              <w:bottom w:val="nil"/>
            </w:tcBorders>
          </w:tcPr>
          <w:p>
            <w:pPr>
              <w:pStyle w:val="TableParagraph"/>
              <w:rPr>
                <w:rFonts w:ascii="Times New Roman"/>
                <w:sz w:val="18"/>
              </w:rPr>
            </w:pPr>
          </w:p>
        </w:tc>
        <w:tc>
          <w:tcPr>
            <w:tcW w:w="891" w:type="dxa"/>
            <w:tcBorders>
              <w:top w:val="nil"/>
              <w:bottom w:val="nil"/>
            </w:tcBorders>
          </w:tcPr>
          <w:p>
            <w:pPr>
              <w:pStyle w:val="TableParagraph"/>
              <w:rPr>
                <w:rFonts w:ascii="Times New Roman"/>
                <w:sz w:val="18"/>
              </w:rPr>
            </w:pPr>
          </w:p>
        </w:tc>
        <w:tc>
          <w:tcPr>
            <w:tcW w:w="2046" w:type="dxa"/>
            <w:vMerge/>
            <w:tcBorders>
              <w:top w:val="nil"/>
            </w:tcBorders>
          </w:tcPr>
          <w:p>
            <w:pPr>
              <w:rPr>
                <w:sz w:val="2"/>
                <w:szCs w:val="2"/>
              </w:rPr>
            </w:pPr>
          </w:p>
        </w:tc>
      </w:tr>
      <w:tr>
        <w:trPr>
          <w:trHeight w:val="254" w:hRule="atLeast"/>
        </w:trPr>
        <w:tc>
          <w:tcPr>
            <w:tcW w:w="902" w:type="dxa"/>
            <w:tcBorders>
              <w:top w:val="nil"/>
              <w:bottom w:val="nil"/>
            </w:tcBorders>
          </w:tcPr>
          <w:p>
            <w:pPr>
              <w:pStyle w:val="TableParagraph"/>
              <w:rPr>
                <w:rFonts w:ascii="Times New Roman"/>
                <w:sz w:val="18"/>
              </w:rPr>
            </w:pPr>
          </w:p>
        </w:tc>
        <w:tc>
          <w:tcPr>
            <w:tcW w:w="729" w:type="dxa"/>
            <w:tcBorders>
              <w:top w:val="nil"/>
              <w:bottom w:val="nil"/>
            </w:tcBorders>
          </w:tcPr>
          <w:p>
            <w:pPr>
              <w:pStyle w:val="TableParagraph"/>
              <w:rPr>
                <w:rFonts w:ascii="Times New Roman"/>
                <w:sz w:val="18"/>
              </w:rPr>
            </w:pPr>
          </w:p>
        </w:tc>
        <w:tc>
          <w:tcPr>
            <w:tcW w:w="2657" w:type="dxa"/>
            <w:tcBorders>
              <w:top w:val="nil"/>
              <w:bottom w:val="nil"/>
            </w:tcBorders>
          </w:tcPr>
          <w:p>
            <w:pPr>
              <w:pStyle w:val="TableParagraph"/>
              <w:spacing w:line="226" w:lineRule="exact" w:before="9"/>
              <w:ind w:left="106"/>
              <w:rPr>
                <w:sz w:val="20"/>
              </w:rPr>
            </w:pPr>
            <w:r>
              <w:rPr>
                <w:sz w:val="20"/>
              </w:rPr>
              <w:t>Payments Architecture</w:t>
            </w:r>
          </w:p>
        </w:tc>
        <w:tc>
          <w:tcPr>
            <w:tcW w:w="1261" w:type="dxa"/>
            <w:tcBorders>
              <w:top w:val="nil"/>
              <w:bottom w:val="nil"/>
            </w:tcBorders>
          </w:tcPr>
          <w:p>
            <w:pPr>
              <w:pStyle w:val="TableParagraph"/>
              <w:rPr>
                <w:rFonts w:ascii="Times New Roman"/>
                <w:sz w:val="18"/>
              </w:rPr>
            </w:pPr>
          </w:p>
        </w:tc>
        <w:tc>
          <w:tcPr>
            <w:tcW w:w="751" w:type="dxa"/>
            <w:tcBorders>
              <w:top w:val="nil"/>
              <w:bottom w:val="nil"/>
            </w:tcBorders>
          </w:tcPr>
          <w:p>
            <w:pPr>
              <w:pStyle w:val="TableParagraph"/>
              <w:rPr>
                <w:rFonts w:ascii="Times New Roman"/>
                <w:sz w:val="18"/>
              </w:rPr>
            </w:pPr>
          </w:p>
        </w:tc>
        <w:tc>
          <w:tcPr>
            <w:tcW w:w="891" w:type="dxa"/>
            <w:tcBorders>
              <w:top w:val="nil"/>
              <w:bottom w:val="nil"/>
            </w:tcBorders>
          </w:tcPr>
          <w:p>
            <w:pPr>
              <w:pStyle w:val="TableParagraph"/>
              <w:rPr>
                <w:rFonts w:ascii="Times New Roman"/>
                <w:sz w:val="18"/>
              </w:rPr>
            </w:pPr>
          </w:p>
        </w:tc>
        <w:tc>
          <w:tcPr>
            <w:tcW w:w="2046" w:type="dxa"/>
            <w:vMerge/>
            <w:tcBorders>
              <w:top w:val="nil"/>
            </w:tcBorders>
          </w:tcPr>
          <w:p>
            <w:pPr>
              <w:rPr>
                <w:sz w:val="2"/>
                <w:szCs w:val="2"/>
              </w:rPr>
            </w:pPr>
          </w:p>
        </w:tc>
      </w:tr>
      <w:tr>
        <w:trPr>
          <w:trHeight w:val="476" w:hRule="atLeast"/>
        </w:trPr>
        <w:tc>
          <w:tcPr>
            <w:tcW w:w="902" w:type="dxa"/>
            <w:tcBorders>
              <w:top w:val="nil"/>
            </w:tcBorders>
          </w:tcPr>
          <w:p>
            <w:pPr>
              <w:pStyle w:val="TableParagraph"/>
              <w:rPr>
                <w:rFonts w:ascii="Times New Roman"/>
                <w:sz w:val="20"/>
              </w:rPr>
            </w:pPr>
          </w:p>
        </w:tc>
        <w:tc>
          <w:tcPr>
            <w:tcW w:w="729" w:type="dxa"/>
            <w:tcBorders>
              <w:top w:val="nil"/>
            </w:tcBorders>
          </w:tcPr>
          <w:p>
            <w:pPr>
              <w:pStyle w:val="TableParagraph"/>
              <w:rPr>
                <w:rFonts w:ascii="Times New Roman"/>
                <w:sz w:val="20"/>
              </w:rPr>
            </w:pPr>
          </w:p>
        </w:tc>
        <w:tc>
          <w:tcPr>
            <w:tcW w:w="2657" w:type="dxa"/>
            <w:tcBorders>
              <w:top w:val="nil"/>
            </w:tcBorders>
          </w:tcPr>
          <w:p>
            <w:pPr>
              <w:pStyle w:val="TableParagraph"/>
              <w:spacing w:before="9"/>
              <w:ind w:left="106"/>
              <w:rPr>
                <w:sz w:val="20"/>
              </w:rPr>
            </w:pPr>
            <w:r>
              <w:rPr>
                <w:sz w:val="20"/>
              </w:rPr>
              <w:t>business case.</w:t>
            </w:r>
          </w:p>
        </w:tc>
        <w:tc>
          <w:tcPr>
            <w:tcW w:w="1261" w:type="dxa"/>
            <w:tcBorders>
              <w:top w:val="nil"/>
            </w:tcBorders>
          </w:tcPr>
          <w:p>
            <w:pPr>
              <w:pStyle w:val="TableParagraph"/>
              <w:rPr>
                <w:rFonts w:ascii="Times New Roman"/>
                <w:sz w:val="20"/>
              </w:rPr>
            </w:pPr>
          </w:p>
        </w:tc>
        <w:tc>
          <w:tcPr>
            <w:tcW w:w="751" w:type="dxa"/>
            <w:tcBorders>
              <w:top w:val="nil"/>
            </w:tcBorders>
          </w:tcPr>
          <w:p>
            <w:pPr>
              <w:pStyle w:val="TableParagraph"/>
              <w:rPr>
                <w:rFonts w:ascii="Times New Roman"/>
                <w:sz w:val="20"/>
              </w:rPr>
            </w:pPr>
          </w:p>
        </w:tc>
        <w:tc>
          <w:tcPr>
            <w:tcW w:w="891" w:type="dxa"/>
            <w:tcBorders>
              <w:top w:val="nil"/>
            </w:tcBorders>
          </w:tcPr>
          <w:p>
            <w:pPr>
              <w:pStyle w:val="TableParagraph"/>
              <w:rPr>
                <w:rFonts w:ascii="Times New Roman"/>
                <w:sz w:val="20"/>
              </w:rPr>
            </w:pPr>
          </w:p>
        </w:tc>
        <w:tc>
          <w:tcPr>
            <w:tcW w:w="2046" w:type="dxa"/>
            <w:vMerge/>
            <w:tcBorders>
              <w:top w:val="nil"/>
            </w:tcBorders>
          </w:tcPr>
          <w:p>
            <w:pPr>
              <w:rPr>
                <w:sz w:val="2"/>
                <w:szCs w:val="2"/>
              </w:rPr>
            </w:pPr>
          </w:p>
        </w:tc>
      </w:tr>
    </w:tbl>
    <w:sectPr>
      <w:pgSz w:w="11910" w:h="16840"/>
      <w:pgMar w:header="11" w:footer="920" w:top="1480" w:bottom="1120" w:left="12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514.799988pt;margin-top:780.904968pt;width:11.6pt;height:13pt;mso-position-horizontal-relative:page;mso-position-vertical-relative:page;z-index:-252088320" type="#_x0000_t202" filled="false" stroked="false">
          <v:textbox inset="0,0,0,0">
            <w:txbxContent>
              <w:p>
                <w:pPr>
                  <w:spacing w:line="244" w:lineRule="exact" w:before="0"/>
                  <w:ind w:left="60" w:right="0" w:firstLine="0"/>
                  <w:jc w:val="left"/>
                  <w:rPr>
                    <w:rFonts w:ascii="Calibri"/>
                    <w:sz w:val="22"/>
                  </w:rPr>
                </w:pPr>
                <w:r>
                  <w:rPr/>
                  <w:fldChar w:fldCharType="begin"/>
                </w:r>
                <w:r>
                  <w:rPr>
                    <w:rFonts w:ascii="Calibri"/>
                    <w:w w:val="99"/>
                    <w:sz w:val="22"/>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227136">
          <wp:simplePos x="0" y="0"/>
          <wp:positionH relativeFrom="page">
            <wp:posOffset>2831464</wp:posOffset>
          </wp:positionH>
          <wp:positionV relativeFrom="page">
            <wp:posOffset>6984</wp:posOffset>
          </wp:positionV>
          <wp:extent cx="4714875" cy="87171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714875" cy="87171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86" w:hanging="427"/>
        <w:jc w:val="left"/>
      </w:pPr>
      <w:rPr>
        <w:rFonts w:hint="default" w:ascii="Arial" w:hAnsi="Arial" w:eastAsia="Arial" w:cs="Arial"/>
        <w:w w:val="100"/>
        <w:sz w:val="20"/>
        <w:szCs w:val="20"/>
        <w:lang w:val="en-gb" w:eastAsia="en-gb" w:bidi="en-gb"/>
      </w:rPr>
    </w:lvl>
    <w:lvl w:ilvl="1">
      <w:start w:val="1"/>
      <w:numFmt w:val="upperRoman"/>
      <w:lvlText w:val="%2."/>
      <w:lvlJc w:val="left"/>
      <w:pPr>
        <w:ind w:left="1152" w:hanging="395"/>
        <w:jc w:val="right"/>
      </w:pPr>
      <w:rPr>
        <w:rFonts w:hint="default" w:ascii="Arial" w:hAnsi="Arial" w:eastAsia="Arial" w:cs="Arial"/>
        <w:spacing w:val="-1"/>
        <w:w w:val="100"/>
        <w:sz w:val="20"/>
        <w:szCs w:val="20"/>
        <w:lang w:val="en-gb" w:eastAsia="en-gb" w:bidi="en-gb"/>
      </w:rPr>
    </w:lvl>
    <w:lvl w:ilvl="2">
      <w:start w:val="0"/>
      <w:numFmt w:val="bullet"/>
      <w:lvlText w:val="•"/>
      <w:lvlJc w:val="left"/>
      <w:pPr>
        <w:ind w:left="2085" w:hanging="395"/>
      </w:pPr>
      <w:rPr>
        <w:rFonts w:hint="default"/>
        <w:lang w:val="en-gb" w:eastAsia="en-gb" w:bidi="en-gb"/>
      </w:rPr>
    </w:lvl>
    <w:lvl w:ilvl="3">
      <w:start w:val="0"/>
      <w:numFmt w:val="bullet"/>
      <w:lvlText w:val="•"/>
      <w:lvlJc w:val="left"/>
      <w:pPr>
        <w:ind w:left="3010" w:hanging="395"/>
      </w:pPr>
      <w:rPr>
        <w:rFonts w:hint="default"/>
        <w:lang w:val="en-gb" w:eastAsia="en-gb" w:bidi="en-gb"/>
      </w:rPr>
    </w:lvl>
    <w:lvl w:ilvl="4">
      <w:start w:val="0"/>
      <w:numFmt w:val="bullet"/>
      <w:lvlText w:val="•"/>
      <w:lvlJc w:val="left"/>
      <w:pPr>
        <w:ind w:left="3935" w:hanging="395"/>
      </w:pPr>
      <w:rPr>
        <w:rFonts w:hint="default"/>
        <w:lang w:val="en-gb" w:eastAsia="en-gb" w:bidi="en-gb"/>
      </w:rPr>
    </w:lvl>
    <w:lvl w:ilvl="5">
      <w:start w:val="0"/>
      <w:numFmt w:val="bullet"/>
      <w:lvlText w:val="•"/>
      <w:lvlJc w:val="left"/>
      <w:pPr>
        <w:ind w:left="4860" w:hanging="395"/>
      </w:pPr>
      <w:rPr>
        <w:rFonts w:hint="default"/>
        <w:lang w:val="en-gb" w:eastAsia="en-gb" w:bidi="en-gb"/>
      </w:rPr>
    </w:lvl>
    <w:lvl w:ilvl="6">
      <w:start w:val="0"/>
      <w:numFmt w:val="bullet"/>
      <w:lvlText w:val="•"/>
      <w:lvlJc w:val="left"/>
      <w:pPr>
        <w:ind w:left="5785" w:hanging="395"/>
      </w:pPr>
      <w:rPr>
        <w:rFonts w:hint="default"/>
        <w:lang w:val="en-gb" w:eastAsia="en-gb" w:bidi="en-gb"/>
      </w:rPr>
    </w:lvl>
    <w:lvl w:ilvl="7">
      <w:start w:val="0"/>
      <w:numFmt w:val="bullet"/>
      <w:lvlText w:val="•"/>
      <w:lvlJc w:val="left"/>
      <w:pPr>
        <w:ind w:left="6710" w:hanging="395"/>
      </w:pPr>
      <w:rPr>
        <w:rFonts w:hint="default"/>
        <w:lang w:val="en-gb" w:eastAsia="en-gb" w:bidi="en-gb"/>
      </w:rPr>
    </w:lvl>
    <w:lvl w:ilvl="8">
      <w:start w:val="0"/>
      <w:numFmt w:val="bullet"/>
      <w:lvlText w:val="•"/>
      <w:lvlJc w:val="left"/>
      <w:pPr>
        <w:ind w:left="7636" w:hanging="395"/>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6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86" w:hanging="427"/>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RTGS Renewal Programme - External Advisory Body minutes</dc:title>
  <dcterms:created xsi:type="dcterms:W3CDTF">2020-06-01T02:19:30Z</dcterms:created>
  <dcterms:modified xsi:type="dcterms:W3CDTF">2020-06-01T02:19:30Z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LastSaved">
    <vt:filetime>2020-06-01T00:00:00Z</vt:filetime>
  </property>
</Properties>
</file>