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1" simplePos="0" relativeHeight="250758144">
            <wp:simplePos x="0" y="0"/>
            <wp:positionH relativeFrom="page">
              <wp:posOffset>13334</wp:posOffset>
            </wp:positionH>
            <wp:positionV relativeFrom="page">
              <wp:posOffset>0</wp:posOffset>
            </wp:positionV>
            <wp:extent cx="7533005" cy="71207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33005" cy="7120750"/>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28"/>
        </w:rPr>
      </w:pPr>
    </w:p>
    <w:p>
      <w:pPr>
        <w:spacing w:line="276" w:lineRule="auto" w:before="172"/>
        <w:ind w:left="192" w:right="1756" w:firstLine="0"/>
        <w:jc w:val="left"/>
        <w:rPr>
          <w:b/>
          <w:sz w:val="56"/>
        </w:rPr>
      </w:pPr>
      <w:r>
        <w:rPr>
          <w:b/>
          <w:sz w:val="56"/>
        </w:rPr>
        <w:t>Reading Pack ahead of the 1</w:t>
      </w:r>
      <w:r>
        <w:rPr>
          <w:b/>
          <w:sz w:val="56"/>
          <w:vertAlign w:val="superscript"/>
        </w:rPr>
        <w:t>st</w:t>
      </w:r>
      <w:r>
        <w:rPr>
          <w:b/>
          <w:sz w:val="56"/>
          <w:vertAlign w:val="baseline"/>
        </w:rPr>
        <w:t> ISO20022 Data Working Group</w:t>
      </w:r>
    </w:p>
    <w:p>
      <w:pPr>
        <w:spacing w:before="198"/>
        <w:ind w:left="192" w:right="0" w:firstLine="0"/>
        <w:jc w:val="left"/>
        <w:rPr>
          <w:sz w:val="48"/>
        </w:rPr>
      </w:pPr>
      <w:r>
        <w:rPr>
          <w:color w:val="7E7E7E"/>
          <w:sz w:val="48"/>
        </w:rPr>
        <w:t>31</w:t>
      </w:r>
      <w:r>
        <w:rPr>
          <w:color w:val="7E7E7E"/>
          <w:sz w:val="48"/>
          <w:vertAlign w:val="superscript"/>
        </w:rPr>
        <w:t>st</w:t>
      </w:r>
      <w:r>
        <w:rPr>
          <w:color w:val="7E7E7E"/>
          <w:sz w:val="48"/>
          <w:vertAlign w:val="baseline"/>
        </w:rPr>
        <w:t> October 2017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3"/>
        </w:rPr>
      </w:pPr>
      <w:r>
        <w:rPr/>
        <w:drawing>
          <wp:anchor distT="0" distB="0" distL="0" distR="0" allowOverlap="1" layoutInCell="1" locked="0" behindDoc="0" simplePos="0" relativeHeight="0">
            <wp:simplePos x="0" y="0"/>
            <wp:positionH relativeFrom="page">
              <wp:posOffset>412750</wp:posOffset>
            </wp:positionH>
            <wp:positionV relativeFrom="paragraph">
              <wp:posOffset>196630</wp:posOffset>
            </wp:positionV>
            <wp:extent cx="1847638" cy="356330"/>
            <wp:effectExtent l="0" t="0" r="0" b="0"/>
            <wp:wrapTopAndBottom/>
            <wp:docPr id="3" name="image2.png" descr="BoE logo_A4 maste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847638" cy="356330"/>
                    </a:xfrm>
                    <a:prstGeom prst="rect">
                      <a:avLst/>
                    </a:prstGeom>
                  </pic:spPr>
                </pic:pic>
              </a:graphicData>
            </a:graphic>
          </wp:anchor>
        </w:drawing>
      </w:r>
    </w:p>
    <w:p>
      <w:pPr>
        <w:spacing w:after="0"/>
        <w:rPr>
          <w:sz w:val="23"/>
        </w:rPr>
        <w:sectPr>
          <w:type w:val="continuous"/>
          <w:pgSz w:w="11910" w:h="16840"/>
          <w:pgMar w:top="0" w:bottom="280" w:left="540" w:right="12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6"/>
        </w:rPr>
      </w:pPr>
    </w:p>
    <w:p>
      <w:pPr>
        <w:spacing w:before="88"/>
        <w:ind w:left="900" w:right="0" w:firstLine="0"/>
        <w:jc w:val="left"/>
        <w:rPr>
          <w:b/>
          <w:sz w:val="36"/>
        </w:rPr>
      </w:pPr>
      <w:r>
        <w:rPr>
          <w:b/>
          <w:color w:val="8B0D64"/>
          <w:sz w:val="36"/>
        </w:rPr>
        <w:t>Contents</w:t>
      </w:r>
    </w:p>
    <w:sdt>
      <w:sdtPr>
        <w:docPartObj>
          <w:docPartGallery w:val="Table of Contents"/>
          <w:docPartUnique/>
        </w:docPartObj>
      </w:sdtPr>
      <w:sdtEndPr/>
      <w:sdtContent>
        <w:p>
          <w:pPr>
            <w:pStyle w:val="TOC1"/>
            <w:tabs>
              <w:tab w:pos="9763" w:val="left" w:leader="dot"/>
            </w:tabs>
            <w:spacing w:before="62"/>
          </w:pPr>
          <w:hyperlink w:history="true" w:anchor="_bookmark0">
            <w:r>
              <w:rPr/>
              <w:t>Welcome from Andrew Hauser, Executive</w:t>
            </w:r>
            <w:r>
              <w:rPr>
                <w:spacing w:val="-11"/>
              </w:rPr>
              <w:t> </w:t>
            </w:r>
            <w:r>
              <w:rPr/>
              <w:t>Director</w:t>
            </w:r>
            <w:r>
              <w:rPr>
                <w:spacing w:val="-2"/>
              </w:rPr>
              <w:t> </w:t>
            </w:r>
            <w:r>
              <w:rPr/>
              <w:t>BoE</w:t>
              <w:tab/>
              <w:t>2</w:t>
            </w:r>
          </w:hyperlink>
        </w:p>
        <w:p>
          <w:pPr>
            <w:pStyle w:val="TOC1"/>
            <w:tabs>
              <w:tab w:pos="9763" w:val="left" w:leader="dot"/>
            </w:tabs>
            <w:spacing w:line="350" w:lineRule="auto"/>
            <w:ind w:right="165"/>
          </w:pPr>
          <w:hyperlink w:history="true" w:anchor="_bookmark1">
            <w:r>
              <w:rPr/>
              <w:t>Objectives for Migrating to ISO 20022 Messaging Standards for RTGS</w:t>
            </w:r>
            <w:r>
              <w:rPr>
                <w:spacing w:val="-33"/>
              </w:rPr>
              <w:t> </w:t>
            </w:r>
            <w:r>
              <w:rPr>
                <w:spacing w:val="2"/>
              </w:rPr>
              <w:t>.3</w:t>
            </w:r>
          </w:hyperlink>
          <w:r>
            <w:rPr>
              <w:spacing w:val="2"/>
            </w:rPr>
            <w:t> </w:t>
          </w:r>
          <w:hyperlink w:history="true" w:anchor="_bookmark2">
            <w:r>
              <w:rPr/>
              <w:t>ISO 20022: Data Working Group Terms</w:t>
            </w:r>
            <w:r>
              <w:rPr>
                <w:spacing w:val="-11"/>
              </w:rPr>
              <w:t> </w:t>
            </w:r>
            <w:r>
              <w:rPr/>
              <w:t>of</w:t>
            </w:r>
            <w:r>
              <w:rPr>
                <w:spacing w:val="-2"/>
              </w:rPr>
              <w:t> </w:t>
            </w:r>
            <w:r>
              <w:rPr/>
              <w:t>Reference</w:t>
              <w:tab/>
            </w:r>
            <w:r>
              <w:rPr>
                <w:spacing w:val="-18"/>
              </w:rPr>
              <w:t>5</w:t>
            </w:r>
          </w:hyperlink>
        </w:p>
        <w:p>
          <w:pPr>
            <w:pStyle w:val="TOC1"/>
            <w:tabs>
              <w:tab w:pos="9763" w:val="left" w:leader="dot"/>
            </w:tabs>
            <w:spacing w:before="0"/>
          </w:pPr>
          <w:hyperlink w:history="true" w:anchor="_bookmark3">
            <w:r>
              <w:rPr/>
              <w:t>Categories where data may</w:t>
            </w:r>
            <w:r>
              <w:rPr>
                <w:spacing w:val="-6"/>
              </w:rPr>
              <w:t> </w:t>
            </w:r>
            <w:r>
              <w:rPr/>
              <w:t>be</w:t>
            </w:r>
            <w:r>
              <w:rPr>
                <w:spacing w:val="-2"/>
              </w:rPr>
              <w:t> </w:t>
            </w:r>
            <w:r>
              <w:rPr/>
              <w:t>improved</w:t>
              <w:tab/>
              <w:t>8</w:t>
            </w:r>
          </w:hyperlink>
        </w:p>
        <w:p>
          <w:pPr>
            <w:pStyle w:val="TOC1"/>
            <w:tabs>
              <w:tab w:pos="9763" w:val="left" w:leader="dot"/>
            </w:tabs>
          </w:pPr>
          <w:hyperlink w:history="true" w:anchor="_bookmark4">
            <w:r>
              <w:rPr/>
              <w:t>Data Carried In</w:t>
            </w:r>
            <w:r>
              <w:rPr>
                <w:spacing w:val="-3"/>
              </w:rPr>
              <w:t> </w:t>
            </w:r>
            <w:r>
              <w:rPr/>
              <w:t>Current</w:t>
            </w:r>
            <w:r>
              <w:rPr>
                <w:spacing w:val="-2"/>
              </w:rPr>
              <w:t> </w:t>
            </w:r>
            <w:r>
              <w:rPr/>
              <w:t>Messaging</w:t>
              <w:tab/>
              <w:t>9</w:t>
            </w:r>
          </w:hyperlink>
        </w:p>
      </w:sdtContent>
    </w:sdt>
    <w:p>
      <w:pPr>
        <w:spacing w:after="0"/>
        <w:sectPr>
          <w:footerReference w:type="default" r:id="rId7"/>
          <w:pgSz w:w="11910" w:h="16840"/>
          <w:pgMar w:footer="928" w:header="0" w:top="1580" w:bottom="1120" w:left="540" w:right="1280"/>
          <w:pgNumType w:start="1"/>
        </w:sectPr>
      </w:pPr>
    </w:p>
    <w:p>
      <w:pPr>
        <w:pStyle w:val="Heading1"/>
      </w:pPr>
      <w:bookmarkStart w:name="_bookmark0" w:id="1"/>
      <w:bookmarkEnd w:id="1"/>
      <w:r>
        <w:rPr>
          <w:b w:val="0"/>
        </w:rPr>
      </w:r>
      <w:r>
        <w:rPr>
          <w:color w:val="8B0D64"/>
        </w:rPr>
        <w:t>Welcome from Andrew Hauser, Executive Director BoE</w:t>
      </w:r>
    </w:p>
    <w:p>
      <w:pPr>
        <w:pStyle w:val="BodyText"/>
        <w:rPr>
          <w:b/>
          <w:sz w:val="26"/>
        </w:rPr>
      </w:pPr>
    </w:p>
    <w:p>
      <w:pPr>
        <w:pStyle w:val="BodyText"/>
        <w:spacing w:before="9"/>
        <w:rPr>
          <w:b/>
        </w:rPr>
      </w:pPr>
    </w:p>
    <w:p>
      <w:pPr>
        <w:pStyle w:val="BodyText"/>
        <w:spacing w:line="276" w:lineRule="auto" w:before="1"/>
        <w:ind w:left="900" w:right="206"/>
      </w:pPr>
      <w:r>
        <w:rPr/>
        <w:t>The move to ISO 20022 is a rare opportunity to update the way in which financial institutions communicate, and forms an important strand of the RTGS Renewal programme.</w:t>
      </w:r>
    </w:p>
    <w:p>
      <w:pPr>
        <w:pStyle w:val="BodyText"/>
        <w:spacing w:line="276" w:lineRule="auto" w:before="200"/>
        <w:ind w:left="900" w:right="291"/>
      </w:pPr>
      <w:r>
        <w:rPr/>
        <w:t>Reflecting initial feedback from market participants, the Bank is ambitious about what the adoption of ISO 20022 can achieve, and wants to work with industry to ensure that the right expertise is leveraged to realise this opportunity.</w:t>
      </w:r>
    </w:p>
    <w:p>
      <w:pPr>
        <w:pStyle w:val="BodyText"/>
        <w:spacing w:line="276" w:lineRule="auto" w:before="200"/>
        <w:ind w:left="900" w:right="243"/>
      </w:pPr>
      <w:r>
        <w:rPr/>
        <w:t>Widespread adoption of ISO 20022 has the potential to bring significant benefits for individual firms and for the financial system as a whole, by both enriching the data carried in payments messages, and improving interoperability between payments infrastructures.</w:t>
      </w:r>
    </w:p>
    <w:p>
      <w:pPr>
        <w:pStyle w:val="BodyText"/>
        <w:spacing w:line="276" w:lineRule="auto" w:before="200"/>
        <w:ind w:left="900" w:right="193"/>
      </w:pPr>
      <w:r>
        <w:rPr/>
        <w:t>Good quality financial data is integral to the effective operation of the economic and financial system, and will allow improved compliance and greater efficiencies for banks and the authorities. ISO 20022 will enable an improved experience to the end-users of payments data, facilitating greater levels of competition and innovation in the financial sector.</w:t>
      </w:r>
    </w:p>
    <w:p>
      <w:pPr>
        <w:pStyle w:val="BodyText"/>
        <w:spacing w:line="276" w:lineRule="auto" w:before="200"/>
        <w:ind w:left="900" w:right="245"/>
      </w:pPr>
      <w:r>
        <w:rPr/>
        <w:t>Widespread adoption of ISO 20022 should also enable wider interoperability between payments systems, improving resilience (by allowing multiple routing of messages) and providing a more level playing field for competition and innovation. In that context, the Bank welcomes the recent recommendations from both the Payments Systems Regulator and the Payments Strategy Forum that the future UK retail payments architecture should move to ISO 20022, alongside RTGS. The Bank will be working closely with the UK retail schemes to take this work forward. The Bank is also in close contact with major overseas central banks and other authorities to explore the scope for improving cross-border interoperability, an important priority for the UK’s role as an international financial centre. ISO 20022 is being increasingly adopted by High Value Payment Systems across the globe. As you will have seen, most recently the US Federal Reserve announced their migration strategy and implementation timeline at SWIFT’s Sibos conference in</w:t>
      </w:r>
      <w:r>
        <w:rPr>
          <w:spacing w:val="-9"/>
        </w:rPr>
        <w:t> </w:t>
      </w:r>
      <w:r>
        <w:rPr/>
        <w:t>Toronto.</w:t>
      </w:r>
    </w:p>
    <w:p>
      <w:pPr>
        <w:pStyle w:val="BodyText"/>
        <w:spacing w:line="276" w:lineRule="auto" w:before="201"/>
        <w:ind w:left="900" w:right="317"/>
      </w:pPr>
      <w:r>
        <w:rPr/>
        <w:t>Although the potential benefits of ISO 20022 adoption are significant, we recognise the migration process itself will be challenging, and require close co-ordination between the various UK players. That is why we are establishing a dedicated Transition Working Group, and more broadly are seeking your involvement in this process from the outset so you can influence policies that will shape our payments networks for many years to come.</w:t>
      </w:r>
    </w:p>
    <w:p>
      <w:pPr>
        <w:pStyle w:val="BodyText"/>
        <w:spacing w:line="276" w:lineRule="auto" w:before="199"/>
        <w:ind w:left="900" w:right="549"/>
      </w:pPr>
      <w:r>
        <w:rPr/>
        <w:t>I want to thank members of the forthcoming Working Groups in advance for their insights and efforts towards fully realising this important goal.</w:t>
      </w:r>
    </w:p>
    <w:p>
      <w:pPr>
        <w:pStyle w:val="BodyText"/>
        <w:rPr>
          <w:sz w:val="24"/>
        </w:rPr>
      </w:pPr>
    </w:p>
    <w:p>
      <w:pPr>
        <w:pStyle w:val="BodyText"/>
        <w:rPr>
          <w:sz w:val="24"/>
        </w:rPr>
      </w:pPr>
    </w:p>
    <w:p>
      <w:pPr>
        <w:pStyle w:val="BodyText"/>
        <w:spacing w:before="167"/>
        <w:ind w:left="900"/>
      </w:pPr>
      <w:r>
        <w:rPr/>
        <w:t>Andrew Hauser</w:t>
      </w:r>
    </w:p>
    <w:p>
      <w:pPr>
        <w:pStyle w:val="BodyText"/>
        <w:spacing w:line="276" w:lineRule="auto" w:before="38"/>
        <w:ind w:left="900" w:right="2738"/>
      </w:pPr>
      <w:r>
        <w:rPr/>
        <w:t>Executive Director of Banking, Payments and Financial Resilience Bank of England</w:t>
      </w:r>
    </w:p>
    <w:p>
      <w:pPr>
        <w:spacing w:after="0" w:line="276" w:lineRule="auto"/>
        <w:sectPr>
          <w:pgSz w:w="11910" w:h="16840"/>
          <w:pgMar w:header="0" w:footer="928" w:top="1340" w:bottom="1200" w:left="540" w:right="1280"/>
        </w:sectPr>
      </w:pPr>
    </w:p>
    <w:p>
      <w:pPr>
        <w:spacing w:before="79"/>
        <w:ind w:left="900" w:right="0" w:firstLine="0"/>
        <w:jc w:val="left"/>
        <w:rPr>
          <w:b/>
          <w:sz w:val="24"/>
        </w:rPr>
      </w:pPr>
      <w:bookmarkStart w:name="_bookmark1" w:id="2"/>
      <w:bookmarkEnd w:id="2"/>
      <w:r>
        <w:rPr/>
      </w:r>
      <w:r>
        <w:rPr>
          <w:b/>
          <w:color w:val="8B0D64"/>
          <w:sz w:val="24"/>
        </w:rPr>
        <w:t>Objectives for Migrating to ISO 20022 Messaging Standards for RTGS</w:t>
      </w:r>
    </w:p>
    <w:p>
      <w:pPr>
        <w:pStyle w:val="BodyText"/>
        <w:rPr>
          <w:b/>
          <w:sz w:val="26"/>
        </w:rPr>
      </w:pPr>
    </w:p>
    <w:p>
      <w:pPr>
        <w:pStyle w:val="BodyText"/>
        <w:spacing w:before="4"/>
        <w:rPr>
          <w:b/>
          <w:sz w:val="20"/>
        </w:rPr>
      </w:pPr>
    </w:p>
    <w:p>
      <w:pPr>
        <w:pStyle w:val="BodyText"/>
        <w:spacing w:line="276" w:lineRule="auto"/>
        <w:ind w:left="900" w:right="610"/>
      </w:pPr>
      <w:r>
        <w:rPr/>
        <w:t>ISO 20022 is an important element of the RTGS Renewal Programme which is currently being undertaken.</w:t>
      </w:r>
    </w:p>
    <w:p>
      <w:pPr>
        <w:pStyle w:val="BodyText"/>
        <w:spacing w:line="276" w:lineRule="auto" w:before="201"/>
        <w:ind w:left="900" w:right="182"/>
      </w:pPr>
      <w:r>
        <w:rPr/>
        <w:t>RTGS Renewal is a multi-year programme being launched by the Bank of England to deliver a new RTGS infrastructure and supporting processes designed to widen access, enable greater interoperability, strengthen resilience against new threats and introduce new user functionality.</w:t>
      </w:r>
    </w:p>
    <w:p>
      <w:pPr>
        <w:pStyle w:val="BodyText"/>
        <w:spacing w:before="199"/>
        <w:ind w:left="900"/>
      </w:pPr>
      <w:r>
        <w:rPr/>
        <w:t>The Bank will adopt the following objectives in designing the new messaging standard:</w:t>
      </w:r>
    </w:p>
    <w:p>
      <w:pPr>
        <w:pStyle w:val="BodyText"/>
        <w:spacing w:before="7"/>
        <w:rPr>
          <w:sz w:val="20"/>
        </w:rPr>
      </w:pPr>
    </w:p>
    <w:p>
      <w:pPr>
        <w:pStyle w:val="ListParagraph"/>
        <w:numPr>
          <w:ilvl w:val="0"/>
          <w:numId w:val="1"/>
        </w:numPr>
        <w:tabs>
          <w:tab w:pos="2341" w:val="left" w:leader="none"/>
        </w:tabs>
        <w:spacing w:line="278" w:lineRule="auto" w:before="0" w:after="0"/>
        <w:ind w:left="2340" w:right="739" w:hanging="360"/>
        <w:jc w:val="left"/>
        <w:rPr>
          <w:sz w:val="22"/>
        </w:rPr>
      </w:pPr>
      <w:r>
        <w:rPr>
          <w:sz w:val="22"/>
        </w:rPr>
        <w:t>Support broader UK public policy goals by enabling the transportation of richer payments data, including:</w:t>
      </w:r>
    </w:p>
    <w:p>
      <w:pPr>
        <w:pStyle w:val="ListParagraph"/>
        <w:numPr>
          <w:ilvl w:val="1"/>
          <w:numId w:val="1"/>
        </w:numPr>
        <w:tabs>
          <w:tab w:pos="3061" w:val="left" w:leader="none"/>
        </w:tabs>
        <w:spacing w:line="250" w:lineRule="exact" w:before="0" w:after="0"/>
        <w:ind w:left="3061" w:right="0" w:hanging="291"/>
        <w:jc w:val="left"/>
        <w:rPr>
          <w:sz w:val="22"/>
        </w:rPr>
      </w:pPr>
      <w:r>
        <w:rPr>
          <w:sz w:val="22"/>
        </w:rPr>
        <w:t>Improved macroeconomic data</w:t>
      </w:r>
    </w:p>
    <w:p>
      <w:pPr>
        <w:pStyle w:val="ListParagraph"/>
        <w:numPr>
          <w:ilvl w:val="1"/>
          <w:numId w:val="1"/>
        </w:numPr>
        <w:tabs>
          <w:tab w:pos="3061" w:val="left" w:leader="none"/>
        </w:tabs>
        <w:spacing w:line="240" w:lineRule="auto" w:before="37" w:after="0"/>
        <w:ind w:left="3061" w:right="0" w:hanging="339"/>
        <w:jc w:val="left"/>
        <w:rPr>
          <w:sz w:val="22"/>
        </w:rPr>
      </w:pPr>
      <w:r>
        <w:rPr>
          <w:sz w:val="22"/>
        </w:rPr>
        <w:t>Better AML/KYC</w:t>
      </w:r>
      <w:r>
        <w:rPr>
          <w:spacing w:val="-2"/>
          <w:sz w:val="22"/>
        </w:rPr>
        <w:t> </w:t>
      </w:r>
      <w:r>
        <w:rPr>
          <w:sz w:val="22"/>
        </w:rPr>
        <w:t>checks</w:t>
      </w:r>
    </w:p>
    <w:p>
      <w:pPr>
        <w:pStyle w:val="BodyText"/>
        <w:spacing w:before="6"/>
        <w:rPr>
          <w:sz w:val="28"/>
        </w:rPr>
      </w:pPr>
    </w:p>
    <w:p>
      <w:pPr>
        <w:pStyle w:val="ListParagraph"/>
        <w:numPr>
          <w:ilvl w:val="0"/>
          <w:numId w:val="1"/>
        </w:numPr>
        <w:tabs>
          <w:tab w:pos="2341" w:val="left" w:leader="none"/>
        </w:tabs>
        <w:spacing w:line="240" w:lineRule="auto" w:before="0" w:after="0"/>
        <w:ind w:left="2340" w:right="0" w:hanging="361"/>
        <w:jc w:val="left"/>
        <w:rPr>
          <w:sz w:val="22"/>
        </w:rPr>
      </w:pPr>
      <w:r>
        <w:rPr>
          <w:sz w:val="22"/>
        </w:rPr>
        <w:t>Implement interoperable messaging standards, in order</w:t>
      </w:r>
      <w:r>
        <w:rPr>
          <w:spacing w:val="-8"/>
          <w:sz w:val="22"/>
        </w:rPr>
        <w:t> </w:t>
      </w:r>
      <w:r>
        <w:rPr>
          <w:sz w:val="22"/>
        </w:rPr>
        <w:t>to:</w:t>
      </w:r>
    </w:p>
    <w:p>
      <w:pPr>
        <w:pStyle w:val="ListParagraph"/>
        <w:numPr>
          <w:ilvl w:val="1"/>
          <w:numId w:val="1"/>
        </w:numPr>
        <w:tabs>
          <w:tab w:pos="3061" w:val="left" w:leader="none"/>
        </w:tabs>
        <w:spacing w:line="276" w:lineRule="auto" w:before="40" w:after="0"/>
        <w:ind w:left="3061" w:right="943" w:hanging="291"/>
        <w:jc w:val="left"/>
        <w:rPr>
          <w:sz w:val="22"/>
        </w:rPr>
      </w:pPr>
      <w:r>
        <w:rPr>
          <w:sz w:val="22"/>
        </w:rPr>
        <w:t>Enhance overall system resilience by removing a barrier to the redirection of payment traffic between payment</w:t>
      </w:r>
      <w:r>
        <w:rPr>
          <w:spacing w:val="-5"/>
          <w:sz w:val="22"/>
        </w:rPr>
        <w:t> </w:t>
      </w:r>
      <w:r>
        <w:rPr>
          <w:sz w:val="22"/>
        </w:rPr>
        <w:t>systems</w:t>
      </w:r>
    </w:p>
    <w:p>
      <w:pPr>
        <w:pStyle w:val="ListParagraph"/>
        <w:numPr>
          <w:ilvl w:val="1"/>
          <w:numId w:val="1"/>
        </w:numPr>
        <w:tabs>
          <w:tab w:pos="3061" w:val="left" w:leader="none"/>
        </w:tabs>
        <w:spacing w:line="252" w:lineRule="exact" w:before="0" w:after="0"/>
        <w:ind w:left="3061" w:right="0" w:hanging="339"/>
        <w:jc w:val="left"/>
        <w:rPr>
          <w:sz w:val="22"/>
        </w:rPr>
      </w:pPr>
      <w:r>
        <w:rPr>
          <w:sz w:val="22"/>
        </w:rPr>
        <w:t>Create the potential for bank efficiency gains in the payments</w:t>
      </w:r>
      <w:r>
        <w:rPr>
          <w:spacing w:val="-18"/>
          <w:sz w:val="22"/>
        </w:rPr>
        <w:t> </w:t>
      </w:r>
      <w:r>
        <w:rPr>
          <w:sz w:val="22"/>
        </w:rPr>
        <w:t>industry</w:t>
      </w:r>
    </w:p>
    <w:p>
      <w:pPr>
        <w:pStyle w:val="BodyText"/>
        <w:spacing w:before="8"/>
        <w:rPr>
          <w:sz w:val="28"/>
        </w:rPr>
      </w:pPr>
    </w:p>
    <w:p>
      <w:pPr>
        <w:pStyle w:val="ListParagraph"/>
        <w:numPr>
          <w:ilvl w:val="0"/>
          <w:numId w:val="1"/>
        </w:numPr>
        <w:tabs>
          <w:tab w:pos="2341" w:val="left" w:leader="none"/>
        </w:tabs>
        <w:spacing w:line="276" w:lineRule="auto" w:before="0" w:after="0"/>
        <w:ind w:left="2340" w:right="311" w:hanging="360"/>
        <w:jc w:val="left"/>
        <w:rPr>
          <w:sz w:val="22"/>
        </w:rPr>
      </w:pPr>
      <w:r>
        <w:rPr>
          <w:sz w:val="22"/>
        </w:rPr>
        <w:t>Support the development of innovative new technologies and systems by improving the quality and formatting of data carried with payment</w:t>
      </w:r>
      <w:r>
        <w:rPr>
          <w:spacing w:val="-29"/>
          <w:sz w:val="22"/>
        </w:rPr>
        <w:t> </w:t>
      </w:r>
      <w:r>
        <w:rPr>
          <w:sz w:val="22"/>
        </w:rPr>
        <w:t>messages.</w:t>
      </w:r>
    </w:p>
    <w:p>
      <w:pPr>
        <w:pStyle w:val="BodyText"/>
        <w:spacing w:before="2"/>
        <w:rPr>
          <w:sz w:val="25"/>
        </w:rPr>
      </w:pPr>
    </w:p>
    <w:p>
      <w:pPr>
        <w:pStyle w:val="ListParagraph"/>
        <w:numPr>
          <w:ilvl w:val="0"/>
          <w:numId w:val="1"/>
        </w:numPr>
        <w:tabs>
          <w:tab w:pos="2341" w:val="left" w:leader="none"/>
        </w:tabs>
        <w:spacing w:line="276" w:lineRule="auto" w:before="0" w:after="0"/>
        <w:ind w:left="2340" w:right="158" w:hanging="360"/>
        <w:jc w:val="left"/>
        <w:rPr>
          <w:sz w:val="22"/>
        </w:rPr>
      </w:pPr>
      <w:r>
        <w:rPr>
          <w:sz w:val="22"/>
        </w:rPr>
        <w:t>Facilitate the delivery of a better end-user experience by providing the capacity at the centre to support more efficient end-to-end payments business processes.</w:t>
      </w:r>
    </w:p>
    <w:p>
      <w:pPr>
        <w:pStyle w:val="BodyText"/>
        <w:spacing w:line="276" w:lineRule="auto" w:before="201"/>
        <w:ind w:left="900" w:right="169"/>
      </w:pPr>
      <w:r>
        <w:rPr/>
        <w:t>It is recognised at this stage that there may be trade-offs involved with pursuing some of these objectives. Furthermore, the Bank recognises that new messaging standards are not a free good; changes to the centre mean changes to the periphery. It is necessary that the Bank and industry gain a good understanding of the cost-benefit implications of the requirements set out in this document.</w:t>
      </w:r>
    </w:p>
    <w:p>
      <w:pPr>
        <w:pStyle w:val="BodyText"/>
        <w:spacing w:line="276" w:lineRule="auto" w:before="201"/>
        <w:ind w:left="900" w:right="461"/>
      </w:pPr>
      <w:r>
        <w:rPr/>
        <w:t>Implementing the new standard is a complex issue with multiple dependencies. The Bank will therefore work across industry domestically and internationally in order to ensure the development of interoperable and harmonised standards. Considerable work has already been completed by groups such as the international SWIFT HVPS+ and ISO 20022 RTP (Real-Time Payments) groups. The Bank is committed to working with existing standards- setting bodies and initiatives both now and in the future. Beyond this, the Bank is keenly aware of the need to co-ordinate the RTGS Renewal Programme with ongoing industry change initiatives.</w:t>
      </w:r>
    </w:p>
    <w:p>
      <w:pPr>
        <w:spacing w:after="0" w:line="276" w:lineRule="auto"/>
        <w:sectPr>
          <w:pgSz w:w="11910" w:h="16840"/>
          <w:pgMar w:header="0" w:footer="928" w:top="1340" w:bottom="1200" w:left="540" w:right="1280"/>
        </w:sectPr>
      </w:pPr>
    </w:p>
    <w:p>
      <w:pPr>
        <w:pStyle w:val="BodyText"/>
        <w:spacing w:line="276" w:lineRule="auto" w:before="79"/>
        <w:ind w:left="900" w:right="218"/>
      </w:pPr>
      <w:r>
        <w:rPr/>
        <w:t>To support this, the design process must be an open and collaborative one. The Bank is determined to ensure that the full range of relevant payment system users is represented on this working group. At the same time, the Bank will depend on the payment schemes and direct participants to share outputs from this group and other information with, and seek feedback from, their members and clients</w:t>
      </w:r>
    </w:p>
    <w:p>
      <w:pPr>
        <w:spacing w:after="0" w:line="276" w:lineRule="auto"/>
        <w:sectPr>
          <w:pgSz w:w="11910" w:h="16840"/>
          <w:pgMar w:header="0" w:footer="928" w:top="1340" w:bottom="1200" w:left="540" w:right="1280"/>
        </w:sectPr>
      </w:pPr>
    </w:p>
    <w:p>
      <w:pPr>
        <w:spacing w:before="77"/>
        <w:ind w:left="900" w:right="0" w:firstLine="0"/>
        <w:jc w:val="left"/>
        <w:rPr>
          <w:b/>
          <w:sz w:val="24"/>
        </w:rPr>
      </w:pPr>
      <w:bookmarkStart w:name="_bookmark2" w:id="3"/>
      <w:bookmarkEnd w:id="3"/>
      <w:r>
        <w:rPr/>
      </w:r>
      <w:r>
        <w:rPr>
          <w:b/>
          <w:color w:val="8B0D64"/>
          <w:sz w:val="24"/>
        </w:rPr>
        <w:t>ISO 20022: Data Working Group Terms of Reference</w:t>
      </w:r>
    </w:p>
    <w:p>
      <w:pPr>
        <w:pStyle w:val="BodyText"/>
        <w:rPr>
          <w:b/>
          <w:sz w:val="26"/>
        </w:rPr>
      </w:pPr>
    </w:p>
    <w:p>
      <w:pPr>
        <w:pStyle w:val="BodyText"/>
        <w:spacing w:before="4"/>
        <w:rPr>
          <w:b/>
          <w:sz w:val="20"/>
        </w:rPr>
      </w:pPr>
    </w:p>
    <w:p>
      <w:pPr>
        <w:pStyle w:val="Heading2"/>
      </w:pPr>
      <w:r>
        <w:rPr>
          <w:color w:val="777877"/>
        </w:rPr>
        <w:t>Overview</w:t>
      </w:r>
    </w:p>
    <w:p>
      <w:pPr>
        <w:pStyle w:val="BodyText"/>
        <w:spacing w:before="9"/>
        <w:rPr>
          <w:b/>
          <w:sz w:val="20"/>
        </w:rPr>
      </w:pPr>
    </w:p>
    <w:p>
      <w:pPr>
        <w:pStyle w:val="BodyText"/>
        <w:spacing w:line="276" w:lineRule="auto"/>
        <w:ind w:left="900" w:right="144"/>
      </w:pPr>
      <w:r>
        <w:rPr/>
        <w:t>As input to the design of the new RTGS service, the Bank of England will organise and chair the Data and Interoperability Working Groups to provide industry advice on key aspects of the new messaging standard. While these groups will not be decision making, in advising the Bank, the groups will contribute to the policy shaping decisions that must be taken in designing and implementing the new messaging standard.</w:t>
      </w:r>
    </w:p>
    <w:p>
      <w:pPr>
        <w:pStyle w:val="Heading2"/>
        <w:spacing w:before="199"/>
      </w:pPr>
      <w:r>
        <w:rPr>
          <w:color w:val="777877"/>
        </w:rPr>
        <w:t>Responsibilities</w:t>
      </w:r>
    </w:p>
    <w:p>
      <w:pPr>
        <w:pStyle w:val="BodyText"/>
        <w:spacing w:before="9"/>
        <w:rPr>
          <w:b/>
          <w:sz w:val="20"/>
        </w:rPr>
      </w:pPr>
    </w:p>
    <w:p>
      <w:pPr>
        <w:pStyle w:val="BodyText"/>
        <w:spacing w:line="276" w:lineRule="auto"/>
        <w:ind w:left="900" w:right="161"/>
      </w:pPr>
      <w:r>
        <w:rPr/>
        <w:t>The Bank has conducted research into our needs as a consumer of data. We are ambitious in our intentions regarding the content of the new payment messages and will seek input from a variety of external stakeholders to feed into this. The Data Working Group is expected to provide ideas regarding enhancements to current payments data. </w:t>
      </w:r>
      <w:r>
        <w:rPr>
          <w:spacing w:val="3"/>
        </w:rPr>
        <w:t>We </w:t>
      </w:r>
      <w:r>
        <w:rPr/>
        <w:t>also anticipate participants providing an early insight into possible challenges surrounding collecting the new</w:t>
      </w:r>
      <w:r>
        <w:rPr>
          <w:spacing w:val="-3"/>
        </w:rPr>
        <w:t> </w:t>
      </w:r>
      <w:r>
        <w:rPr/>
        <w:t>data.</w:t>
      </w:r>
    </w:p>
    <w:p>
      <w:pPr>
        <w:pStyle w:val="BodyText"/>
        <w:spacing w:line="276" w:lineRule="auto" w:before="201"/>
        <w:ind w:left="900" w:right="218"/>
      </w:pPr>
      <w:r>
        <w:rPr/>
        <w:t>The Bank seeks to achieve consensus on data enhancements in the new messages. Where this is not possible the Bank will endeavour to understand the different perspectives and challenges through these Working Groups. Informed by views from the Working Groups, the Bank plans to run a consultation in spring 2018 to gather views from the wider industry. The Bank’s final decision will be based on feedback from both the Working Groups and the consultation.</w:t>
      </w:r>
    </w:p>
    <w:p>
      <w:pPr>
        <w:pStyle w:val="BodyText"/>
        <w:spacing w:before="201"/>
        <w:ind w:left="900"/>
      </w:pPr>
      <w:r>
        <w:rPr/>
        <w:t>Members are expected to represent the views of their constituency during meetings.</w:t>
      </w:r>
    </w:p>
    <w:p>
      <w:pPr>
        <w:pStyle w:val="BodyText"/>
        <w:spacing w:before="5"/>
        <w:rPr>
          <w:sz w:val="20"/>
        </w:rPr>
      </w:pPr>
    </w:p>
    <w:p>
      <w:pPr>
        <w:pStyle w:val="Heading2"/>
      </w:pPr>
      <w:r>
        <w:rPr>
          <w:color w:val="777877"/>
        </w:rPr>
        <w:t>Objectives</w:t>
      </w:r>
    </w:p>
    <w:p>
      <w:pPr>
        <w:pStyle w:val="BodyText"/>
        <w:rPr>
          <w:b/>
          <w:sz w:val="21"/>
        </w:rPr>
      </w:pPr>
    </w:p>
    <w:p>
      <w:pPr>
        <w:pStyle w:val="BodyText"/>
        <w:ind w:left="900"/>
      </w:pPr>
      <w:r>
        <w:rPr/>
        <w:t>The Data Working Group will:</w:t>
      </w:r>
    </w:p>
    <w:p>
      <w:pPr>
        <w:pStyle w:val="BodyText"/>
        <w:spacing w:before="6"/>
        <w:rPr>
          <w:sz w:val="20"/>
        </w:rPr>
      </w:pPr>
    </w:p>
    <w:p>
      <w:pPr>
        <w:pStyle w:val="ListParagraph"/>
        <w:numPr>
          <w:ilvl w:val="0"/>
          <w:numId w:val="2"/>
        </w:numPr>
        <w:tabs>
          <w:tab w:pos="1620" w:val="left" w:leader="none"/>
          <w:tab w:pos="1621" w:val="left" w:leader="none"/>
        </w:tabs>
        <w:spacing w:line="240" w:lineRule="auto" w:before="0" w:after="0"/>
        <w:ind w:left="1620" w:right="0" w:hanging="361"/>
        <w:jc w:val="left"/>
        <w:rPr>
          <w:sz w:val="22"/>
        </w:rPr>
      </w:pPr>
      <w:r>
        <w:rPr>
          <w:sz w:val="22"/>
        </w:rPr>
        <w:t>Build on the proposed data requirements from the Bank’s internal data</w:t>
      </w:r>
      <w:r>
        <w:rPr>
          <w:spacing w:val="-33"/>
          <w:sz w:val="22"/>
        </w:rPr>
        <w:t> </w:t>
      </w:r>
      <w:r>
        <w:rPr>
          <w:sz w:val="22"/>
        </w:rPr>
        <w:t>consultation</w:t>
      </w:r>
      <w:r>
        <w:rPr>
          <w:sz w:val="22"/>
          <w:vertAlign w:val="superscript"/>
        </w:rPr>
        <w:t>1</w:t>
      </w:r>
      <w:r>
        <w:rPr>
          <w:sz w:val="22"/>
          <w:vertAlign w:val="baseline"/>
        </w:rPr>
        <w:t>;</w:t>
      </w:r>
    </w:p>
    <w:p>
      <w:pPr>
        <w:pStyle w:val="ListParagraph"/>
        <w:numPr>
          <w:ilvl w:val="0"/>
          <w:numId w:val="2"/>
        </w:numPr>
        <w:tabs>
          <w:tab w:pos="1620" w:val="left" w:leader="none"/>
          <w:tab w:pos="1621" w:val="left" w:leader="none"/>
        </w:tabs>
        <w:spacing w:line="271" w:lineRule="auto" w:before="38" w:after="0"/>
        <w:ind w:left="1620" w:right="736" w:hanging="360"/>
        <w:jc w:val="left"/>
        <w:rPr>
          <w:sz w:val="22"/>
        </w:rPr>
      </w:pPr>
      <w:r>
        <w:rPr>
          <w:sz w:val="22"/>
        </w:rPr>
        <w:t>Guide the Bank on which additional information could be collected by payments messages;</w:t>
      </w:r>
    </w:p>
    <w:p>
      <w:pPr>
        <w:pStyle w:val="ListParagraph"/>
        <w:numPr>
          <w:ilvl w:val="0"/>
          <w:numId w:val="2"/>
        </w:numPr>
        <w:tabs>
          <w:tab w:pos="1620" w:val="left" w:leader="none"/>
          <w:tab w:pos="1621" w:val="left" w:leader="none"/>
        </w:tabs>
        <w:spacing w:line="240" w:lineRule="auto" w:before="4" w:after="0"/>
        <w:ind w:left="1620" w:right="0" w:hanging="361"/>
        <w:jc w:val="left"/>
        <w:rPr>
          <w:sz w:val="22"/>
        </w:rPr>
      </w:pPr>
      <w:r>
        <w:rPr>
          <w:sz w:val="22"/>
        </w:rPr>
        <w:t>Identify use cases for data enhancements;</w:t>
      </w:r>
      <w:r>
        <w:rPr>
          <w:spacing w:val="-6"/>
          <w:sz w:val="22"/>
        </w:rPr>
        <w:t> </w:t>
      </w:r>
      <w:r>
        <w:rPr>
          <w:sz w:val="22"/>
        </w:rPr>
        <w:t>and</w:t>
      </w:r>
    </w:p>
    <w:p>
      <w:pPr>
        <w:pStyle w:val="ListParagraph"/>
        <w:numPr>
          <w:ilvl w:val="0"/>
          <w:numId w:val="2"/>
        </w:numPr>
        <w:tabs>
          <w:tab w:pos="1620" w:val="left" w:leader="none"/>
          <w:tab w:pos="1621" w:val="left" w:leader="none"/>
        </w:tabs>
        <w:spacing w:line="271" w:lineRule="auto" w:before="38" w:after="0"/>
        <w:ind w:left="1620" w:right="272" w:hanging="360"/>
        <w:jc w:val="left"/>
        <w:rPr>
          <w:sz w:val="22"/>
        </w:rPr>
      </w:pPr>
      <w:r>
        <w:rPr>
          <w:sz w:val="22"/>
        </w:rPr>
        <w:t>Supply industry expertise to ensure that the data collection expectations are feasible in practice and identify further areas of</w:t>
      </w:r>
      <w:r>
        <w:rPr>
          <w:spacing w:val="-4"/>
          <w:sz w:val="22"/>
        </w:rPr>
        <w:t> </w:t>
      </w:r>
      <w:r>
        <w:rPr>
          <w:sz w:val="22"/>
        </w:rPr>
        <w:t>exploration.</w:t>
      </w:r>
    </w:p>
    <w:p>
      <w:pPr>
        <w:pStyle w:val="BodyText"/>
        <w:spacing w:before="8"/>
        <w:rPr>
          <w:sz w:val="25"/>
        </w:rPr>
      </w:pPr>
    </w:p>
    <w:p>
      <w:pPr>
        <w:pStyle w:val="Heading2"/>
      </w:pPr>
      <w:r>
        <w:rPr>
          <w:color w:val="777877"/>
        </w:rPr>
        <w:t>Outputs</w:t>
      </w:r>
    </w:p>
    <w:p>
      <w:pPr>
        <w:pStyle w:val="BodyText"/>
        <w:spacing w:before="9"/>
        <w:rPr>
          <w:b/>
          <w:sz w:val="20"/>
        </w:rPr>
      </w:pPr>
    </w:p>
    <w:p>
      <w:pPr>
        <w:pStyle w:val="ListParagraph"/>
        <w:numPr>
          <w:ilvl w:val="0"/>
          <w:numId w:val="2"/>
        </w:numPr>
        <w:tabs>
          <w:tab w:pos="1620" w:val="left" w:leader="none"/>
          <w:tab w:pos="1621" w:val="left" w:leader="none"/>
        </w:tabs>
        <w:spacing w:line="271" w:lineRule="auto" w:before="0" w:after="0"/>
        <w:ind w:left="1620" w:right="782" w:hanging="360"/>
        <w:jc w:val="left"/>
        <w:rPr>
          <w:sz w:val="22"/>
        </w:rPr>
      </w:pPr>
      <w:r>
        <w:rPr>
          <w:sz w:val="22"/>
        </w:rPr>
        <w:t>A recommended initial set of data fields and requirements to include in the new messages, with more detail on this to be provided at the first</w:t>
      </w:r>
      <w:r>
        <w:rPr>
          <w:spacing w:val="-17"/>
          <w:sz w:val="22"/>
        </w:rPr>
        <w:t> </w:t>
      </w:r>
      <w:r>
        <w:rPr>
          <w:sz w:val="22"/>
        </w:rPr>
        <w:t>meeting.</w:t>
      </w:r>
    </w:p>
    <w:p>
      <w:pPr>
        <w:pStyle w:val="ListParagraph"/>
        <w:numPr>
          <w:ilvl w:val="0"/>
          <w:numId w:val="2"/>
        </w:numPr>
        <w:tabs>
          <w:tab w:pos="1620" w:val="left" w:leader="none"/>
          <w:tab w:pos="1621" w:val="left" w:leader="none"/>
        </w:tabs>
        <w:spacing w:line="240" w:lineRule="auto" w:before="8" w:after="0"/>
        <w:ind w:left="1620" w:right="0" w:hanging="361"/>
        <w:jc w:val="left"/>
        <w:rPr>
          <w:sz w:val="22"/>
        </w:rPr>
      </w:pPr>
      <w:r>
        <w:rPr>
          <w:sz w:val="22"/>
        </w:rPr>
        <w:t>Views on which data should be</w:t>
      </w:r>
      <w:r>
        <w:rPr>
          <w:spacing w:val="-1"/>
          <w:sz w:val="22"/>
        </w:rPr>
        <w:t> </w:t>
      </w:r>
      <w:r>
        <w:rPr>
          <w:sz w:val="22"/>
        </w:rPr>
        <w:t>mandatory/non-mandatory.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9"/>
        </w:rPr>
      </w:pPr>
      <w:r>
        <w:rPr/>
        <w:pict>
          <v:shape style="position:absolute;margin-left:72.024002pt;margin-top:13.198437pt;width:144.050pt;height:.1pt;mso-position-horizontal-relative:page;mso-position-vertical-relative:paragraph;z-index:-251656192;mso-wrap-distance-left:0;mso-wrap-distance-right:0" coordorigin="1440,264" coordsize="2881,0" path="m1440,264l4321,264e" filled="false" stroked="true" strokeweight=".599980pt" strokecolor="#000000">
            <v:path arrowok="t"/>
            <v:stroke dashstyle="solid"/>
            <w10:wrap type="topAndBottom"/>
          </v:shape>
        </w:pict>
      </w:r>
    </w:p>
    <w:p>
      <w:pPr>
        <w:spacing w:before="30"/>
        <w:ind w:left="900" w:right="495" w:firstLine="0"/>
        <w:jc w:val="left"/>
        <w:rPr>
          <w:sz w:val="18"/>
        </w:rPr>
      </w:pPr>
      <w:r>
        <w:rPr>
          <w:position w:val="9"/>
          <w:sz w:val="12"/>
        </w:rPr>
        <w:t>1 </w:t>
      </w:r>
      <w:r>
        <w:rPr>
          <w:sz w:val="18"/>
        </w:rPr>
        <w:t>Prior to beginning the External Working Groups the project team has consulted with a range of stakeholders across the Bank to identify our needs from the data enhancements.</w:t>
      </w:r>
    </w:p>
    <w:p>
      <w:pPr>
        <w:spacing w:after="0"/>
        <w:jc w:val="left"/>
        <w:rPr>
          <w:sz w:val="18"/>
        </w:rPr>
        <w:sectPr>
          <w:pgSz w:w="11910" w:h="16840"/>
          <w:pgMar w:header="0" w:footer="928" w:top="1340" w:bottom="1200" w:left="540" w:right="1280"/>
        </w:sectPr>
      </w:pPr>
    </w:p>
    <w:p>
      <w:pPr>
        <w:pStyle w:val="Heading2"/>
        <w:spacing w:before="77"/>
      </w:pPr>
      <w:r>
        <w:rPr>
          <w:color w:val="777877"/>
        </w:rPr>
        <w:t>How will it work?</w:t>
      </w:r>
    </w:p>
    <w:p>
      <w:pPr>
        <w:pStyle w:val="BodyText"/>
        <w:rPr>
          <w:b/>
          <w:sz w:val="21"/>
        </w:rPr>
      </w:pPr>
    </w:p>
    <w:p>
      <w:pPr>
        <w:pStyle w:val="BodyText"/>
        <w:spacing w:line="276" w:lineRule="auto"/>
        <w:ind w:left="900" w:right="243"/>
      </w:pPr>
      <w:r>
        <w:rPr/>
        <w:t>Participants in the Working Group will be asked to consider what information they would like to incorporate into the new messages and to send this to the Bank in advance of the meetings. The Bank will then use this to create documentation to be distributed in advance of the meetings in order to facilitate discussion. Participants may be asked to present ideas to the group for discussion and comment.</w:t>
      </w:r>
    </w:p>
    <w:p>
      <w:pPr>
        <w:pStyle w:val="Heading2"/>
        <w:spacing w:before="196"/>
      </w:pPr>
      <w:r>
        <w:rPr>
          <w:color w:val="777877"/>
        </w:rPr>
        <w:t>Dates</w:t>
      </w:r>
    </w:p>
    <w:p>
      <w:pPr>
        <w:pStyle w:val="BodyText"/>
        <w:spacing w:before="3"/>
        <w:rPr>
          <w:b/>
          <w:sz w:val="21"/>
        </w:rPr>
      </w:pPr>
    </w:p>
    <w:tbl>
      <w:tblPr>
        <w:tblW w:w="0" w:type="auto"/>
        <w:jc w:val="left"/>
        <w:tblInd w:w="22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77"/>
        <w:gridCol w:w="1610"/>
        <w:gridCol w:w="2165"/>
      </w:tblGrid>
      <w:tr>
        <w:trPr>
          <w:trHeight w:val="395" w:hRule="atLeast"/>
        </w:trPr>
        <w:tc>
          <w:tcPr>
            <w:tcW w:w="2477" w:type="dxa"/>
            <w:shd w:val="clear" w:color="auto" w:fill="8B0D64"/>
          </w:tcPr>
          <w:p>
            <w:pPr>
              <w:pStyle w:val="TableParagraph"/>
              <w:spacing w:line="240" w:lineRule="auto" w:before="69"/>
              <w:ind w:left="123" w:right="103"/>
              <w:jc w:val="center"/>
              <w:rPr>
                <w:rFonts w:ascii="Arial"/>
                <w:sz w:val="22"/>
              </w:rPr>
            </w:pPr>
            <w:r>
              <w:rPr>
                <w:rFonts w:ascii="Arial"/>
                <w:color w:val="FFFFFF"/>
                <w:sz w:val="22"/>
              </w:rPr>
              <w:t>Title</w:t>
            </w:r>
          </w:p>
        </w:tc>
        <w:tc>
          <w:tcPr>
            <w:tcW w:w="1610" w:type="dxa"/>
            <w:shd w:val="clear" w:color="auto" w:fill="8B0D64"/>
          </w:tcPr>
          <w:p>
            <w:pPr>
              <w:pStyle w:val="TableParagraph"/>
              <w:spacing w:line="240" w:lineRule="auto" w:before="69"/>
              <w:ind w:left="551" w:right="533"/>
              <w:jc w:val="center"/>
              <w:rPr>
                <w:rFonts w:ascii="Arial"/>
                <w:sz w:val="22"/>
              </w:rPr>
            </w:pPr>
            <w:r>
              <w:rPr>
                <w:rFonts w:ascii="Arial"/>
                <w:color w:val="FFFFFF"/>
                <w:sz w:val="22"/>
              </w:rPr>
              <w:t>Date</w:t>
            </w:r>
          </w:p>
        </w:tc>
        <w:tc>
          <w:tcPr>
            <w:tcW w:w="2165" w:type="dxa"/>
            <w:shd w:val="clear" w:color="auto" w:fill="8B0D64"/>
          </w:tcPr>
          <w:p>
            <w:pPr>
              <w:pStyle w:val="TableParagraph"/>
              <w:spacing w:line="240" w:lineRule="auto" w:before="69"/>
              <w:ind w:left="82" w:right="64"/>
              <w:jc w:val="center"/>
              <w:rPr>
                <w:rFonts w:ascii="Arial"/>
                <w:sz w:val="22"/>
              </w:rPr>
            </w:pPr>
            <w:r>
              <w:rPr>
                <w:rFonts w:ascii="Arial"/>
                <w:color w:val="FFFFFF"/>
                <w:sz w:val="22"/>
              </w:rPr>
              <w:t>Time</w:t>
            </w:r>
          </w:p>
        </w:tc>
      </w:tr>
      <w:tr>
        <w:trPr>
          <w:trHeight w:val="397" w:hRule="atLeast"/>
        </w:trPr>
        <w:tc>
          <w:tcPr>
            <w:tcW w:w="2477" w:type="dxa"/>
          </w:tcPr>
          <w:p>
            <w:pPr>
              <w:pStyle w:val="TableParagraph"/>
              <w:spacing w:line="240" w:lineRule="auto" w:before="71"/>
              <w:ind w:left="124" w:right="103"/>
              <w:jc w:val="center"/>
              <w:rPr>
                <w:rFonts w:ascii="Arial"/>
                <w:sz w:val="22"/>
              </w:rPr>
            </w:pPr>
            <w:r>
              <w:rPr>
                <w:rFonts w:ascii="Arial"/>
                <w:sz w:val="22"/>
              </w:rPr>
              <w:t>Data Working Group 1</w:t>
            </w:r>
          </w:p>
        </w:tc>
        <w:tc>
          <w:tcPr>
            <w:tcW w:w="1610" w:type="dxa"/>
          </w:tcPr>
          <w:p>
            <w:pPr>
              <w:pStyle w:val="TableParagraph"/>
              <w:spacing w:line="240" w:lineRule="auto" w:before="71"/>
              <w:ind w:left="259"/>
              <w:rPr>
                <w:rFonts w:ascii="Arial"/>
                <w:sz w:val="22"/>
              </w:rPr>
            </w:pPr>
            <w:r>
              <w:rPr>
                <w:rFonts w:ascii="Arial"/>
                <w:sz w:val="22"/>
              </w:rPr>
              <w:t>31 October</w:t>
            </w:r>
          </w:p>
        </w:tc>
        <w:tc>
          <w:tcPr>
            <w:tcW w:w="2165" w:type="dxa"/>
          </w:tcPr>
          <w:p>
            <w:pPr>
              <w:pStyle w:val="TableParagraph"/>
              <w:spacing w:line="240" w:lineRule="auto" w:before="71"/>
              <w:ind w:left="80" w:right="64"/>
              <w:jc w:val="center"/>
              <w:rPr>
                <w:rFonts w:ascii="Arial" w:hAnsi="Arial"/>
                <w:sz w:val="22"/>
              </w:rPr>
            </w:pPr>
            <w:r>
              <w:rPr>
                <w:rFonts w:ascii="Arial" w:hAnsi="Arial"/>
                <w:sz w:val="22"/>
              </w:rPr>
              <w:t>10.30am – 13.30pm</w:t>
            </w:r>
          </w:p>
        </w:tc>
      </w:tr>
      <w:tr>
        <w:trPr>
          <w:trHeight w:val="397" w:hRule="atLeast"/>
        </w:trPr>
        <w:tc>
          <w:tcPr>
            <w:tcW w:w="2477" w:type="dxa"/>
          </w:tcPr>
          <w:p>
            <w:pPr>
              <w:pStyle w:val="TableParagraph"/>
              <w:spacing w:line="240" w:lineRule="auto" w:before="69"/>
              <w:ind w:left="124" w:right="103"/>
              <w:jc w:val="center"/>
              <w:rPr>
                <w:rFonts w:ascii="Arial"/>
                <w:sz w:val="22"/>
              </w:rPr>
            </w:pPr>
            <w:r>
              <w:rPr>
                <w:rFonts w:ascii="Arial"/>
                <w:sz w:val="22"/>
              </w:rPr>
              <w:t>Data Working Group 2</w:t>
            </w:r>
          </w:p>
        </w:tc>
        <w:tc>
          <w:tcPr>
            <w:tcW w:w="1610" w:type="dxa"/>
          </w:tcPr>
          <w:p>
            <w:pPr>
              <w:pStyle w:val="TableParagraph"/>
              <w:spacing w:line="240" w:lineRule="auto" w:before="69"/>
              <w:ind w:left="143"/>
              <w:rPr>
                <w:rFonts w:ascii="Arial"/>
                <w:sz w:val="22"/>
              </w:rPr>
            </w:pPr>
            <w:r>
              <w:rPr>
                <w:rFonts w:ascii="Arial"/>
                <w:sz w:val="22"/>
              </w:rPr>
              <w:t>24 November</w:t>
            </w:r>
          </w:p>
        </w:tc>
        <w:tc>
          <w:tcPr>
            <w:tcW w:w="2165" w:type="dxa"/>
          </w:tcPr>
          <w:p>
            <w:pPr>
              <w:pStyle w:val="TableParagraph"/>
              <w:spacing w:line="240" w:lineRule="auto" w:before="69"/>
              <w:ind w:left="82" w:right="62"/>
              <w:jc w:val="center"/>
              <w:rPr>
                <w:rFonts w:ascii="Arial" w:hAnsi="Arial"/>
                <w:sz w:val="22"/>
              </w:rPr>
            </w:pPr>
            <w:r>
              <w:rPr>
                <w:rFonts w:ascii="Arial" w:hAnsi="Arial"/>
                <w:sz w:val="22"/>
              </w:rPr>
              <w:t>13.00pm – 16.00pm</w:t>
            </w:r>
          </w:p>
        </w:tc>
      </w:tr>
      <w:tr>
        <w:trPr>
          <w:trHeight w:val="398" w:hRule="atLeast"/>
        </w:trPr>
        <w:tc>
          <w:tcPr>
            <w:tcW w:w="2477" w:type="dxa"/>
          </w:tcPr>
          <w:p>
            <w:pPr>
              <w:pStyle w:val="TableParagraph"/>
              <w:spacing w:line="240" w:lineRule="auto" w:before="69"/>
              <w:ind w:left="124" w:right="103"/>
              <w:jc w:val="center"/>
              <w:rPr>
                <w:rFonts w:ascii="Arial"/>
                <w:sz w:val="22"/>
              </w:rPr>
            </w:pPr>
            <w:r>
              <w:rPr>
                <w:rFonts w:ascii="Arial"/>
                <w:sz w:val="22"/>
              </w:rPr>
              <w:t>Data Working Group 3</w:t>
            </w:r>
          </w:p>
        </w:tc>
        <w:tc>
          <w:tcPr>
            <w:tcW w:w="1610" w:type="dxa"/>
          </w:tcPr>
          <w:p>
            <w:pPr>
              <w:pStyle w:val="TableParagraph"/>
              <w:spacing w:line="240" w:lineRule="auto" w:before="69"/>
              <w:ind w:left="203"/>
              <w:rPr>
                <w:rFonts w:ascii="Arial"/>
                <w:sz w:val="22"/>
              </w:rPr>
            </w:pPr>
            <w:r>
              <w:rPr>
                <w:rFonts w:ascii="Arial"/>
                <w:sz w:val="22"/>
              </w:rPr>
              <w:t>8 December</w:t>
            </w:r>
          </w:p>
        </w:tc>
        <w:tc>
          <w:tcPr>
            <w:tcW w:w="2165" w:type="dxa"/>
          </w:tcPr>
          <w:p>
            <w:pPr>
              <w:pStyle w:val="TableParagraph"/>
              <w:spacing w:line="240" w:lineRule="auto" w:before="69"/>
              <w:ind w:left="82" w:right="62"/>
              <w:jc w:val="center"/>
              <w:rPr>
                <w:rFonts w:ascii="Arial" w:hAnsi="Arial"/>
                <w:sz w:val="22"/>
              </w:rPr>
            </w:pPr>
            <w:r>
              <w:rPr>
                <w:rFonts w:ascii="Arial" w:hAnsi="Arial"/>
                <w:sz w:val="22"/>
              </w:rPr>
              <w:t>11.00pm – 14.00pm</w:t>
            </w:r>
          </w:p>
        </w:tc>
      </w:tr>
    </w:tbl>
    <w:p>
      <w:pPr>
        <w:pStyle w:val="BodyText"/>
        <w:rPr>
          <w:b/>
          <w:sz w:val="24"/>
        </w:rPr>
      </w:pPr>
    </w:p>
    <w:p>
      <w:pPr>
        <w:pStyle w:val="Heading2"/>
        <w:spacing w:before="182"/>
      </w:pPr>
      <w:r>
        <w:rPr>
          <w:color w:val="777877"/>
        </w:rPr>
        <w:t>Members</w:t>
      </w:r>
    </w:p>
    <w:p>
      <w:pPr>
        <w:pStyle w:val="BodyText"/>
        <w:rPr>
          <w:b/>
          <w:sz w:val="21"/>
        </w:rPr>
      </w:pPr>
    </w:p>
    <w:p>
      <w:pPr>
        <w:pStyle w:val="BodyText"/>
        <w:ind w:left="900"/>
      </w:pPr>
      <w:r>
        <w:rPr/>
        <w:t>Each organisation should send one representative only to the Working Group.</w:t>
      </w:r>
    </w:p>
    <w:p>
      <w:pPr>
        <w:pStyle w:val="BodyText"/>
        <w:spacing w:before="6"/>
        <w:rPr>
          <w:sz w:val="20"/>
        </w:rPr>
      </w:pPr>
    </w:p>
    <w:p>
      <w:pPr>
        <w:pStyle w:val="ListParagraph"/>
        <w:numPr>
          <w:ilvl w:val="0"/>
          <w:numId w:val="2"/>
        </w:numPr>
        <w:tabs>
          <w:tab w:pos="1620" w:val="left" w:leader="none"/>
          <w:tab w:pos="1621" w:val="left" w:leader="none"/>
        </w:tabs>
        <w:spacing w:line="276" w:lineRule="auto" w:before="0" w:after="0"/>
        <w:ind w:left="1620" w:right="253" w:hanging="360"/>
        <w:jc w:val="left"/>
        <w:rPr>
          <w:sz w:val="22"/>
        </w:rPr>
      </w:pPr>
      <w:r>
        <w:rPr>
          <w:sz w:val="22"/>
        </w:rPr>
        <w:t>A wide pool of participants from banks, payment schemes and corporates will consider macroeconomic and other ambitious data enhancements. This group will also consider the additional inputs to the message that participants and end-users of CHAPS may wish to</w:t>
      </w:r>
      <w:r>
        <w:rPr>
          <w:spacing w:val="-3"/>
          <w:sz w:val="22"/>
        </w:rPr>
        <w:t> </w:t>
      </w:r>
      <w:r>
        <w:rPr>
          <w:sz w:val="22"/>
        </w:rPr>
        <w:t>utilise.</w:t>
      </w:r>
    </w:p>
    <w:p>
      <w:pPr>
        <w:pStyle w:val="ListParagraph"/>
        <w:numPr>
          <w:ilvl w:val="0"/>
          <w:numId w:val="2"/>
        </w:numPr>
        <w:tabs>
          <w:tab w:pos="1620" w:val="left" w:leader="none"/>
          <w:tab w:pos="1621" w:val="left" w:leader="none"/>
        </w:tabs>
        <w:spacing w:line="273" w:lineRule="auto" w:before="0" w:after="0"/>
        <w:ind w:left="1620" w:right="230" w:hanging="360"/>
        <w:jc w:val="left"/>
        <w:rPr>
          <w:sz w:val="22"/>
        </w:rPr>
      </w:pPr>
      <w:r>
        <w:rPr>
          <w:sz w:val="22"/>
        </w:rPr>
        <w:t>We will engage public bodies bilaterally in advance of the working groups in order to explore their requirements for additional data in greater detail. This will be used to inform discussion. </w:t>
      </w:r>
      <w:r>
        <w:rPr>
          <w:spacing w:val="3"/>
          <w:sz w:val="22"/>
        </w:rPr>
        <w:t>We </w:t>
      </w:r>
      <w:r>
        <w:rPr>
          <w:sz w:val="22"/>
        </w:rPr>
        <w:t>may then invite certain representatives to meetings in order</w:t>
      </w:r>
      <w:r>
        <w:rPr>
          <w:spacing w:val="-31"/>
          <w:sz w:val="22"/>
        </w:rPr>
        <w:t> </w:t>
      </w:r>
      <w:r>
        <w:rPr>
          <w:sz w:val="22"/>
        </w:rPr>
        <w:t>to discuss specific</w:t>
      </w:r>
      <w:r>
        <w:rPr>
          <w:spacing w:val="-3"/>
          <w:sz w:val="22"/>
        </w:rPr>
        <w:t> </w:t>
      </w:r>
      <w:r>
        <w:rPr>
          <w:sz w:val="22"/>
        </w:rPr>
        <w:t>topics.</w:t>
      </w:r>
    </w:p>
    <w:p>
      <w:pPr>
        <w:pStyle w:val="BodyText"/>
        <w:spacing w:before="8"/>
        <w:rPr>
          <w:sz w:val="25"/>
        </w:rPr>
      </w:pPr>
    </w:p>
    <w:p>
      <w:pPr>
        <w:pStyle w:val="BodyText"/>
        <w:spacing w:line="276" w:lineRule="auto"/>
        <w:ind w:left="900" w:right="597"/>
      </w:pPr>
      <w:r>
        <w:rPr/>
        <w:t>An invitation was sent to the payments industry, via the RTGS renewal programme’s industry round up in September 2017, to register interest in attending the working group. Following this, the below attendees have been invited to attend the working group:</w:t>
      </w:r>
    </w:p>
    <w:p>
      <w:pPr>
        <w:pStyle w:val="BodyText"/>
        <w:spacing w:before="7"/>
        <w:rPr>
          <w:sz w:val="17"/>
        </w:rPr>
      </w:pPr>
    </w:p>
    <w:tbl>
      <w:tblPr>
        <w:tblW w:w="0" w:type="auto"/>
        <w:jc w:val="left"/>
        <w:tblInd w:w="905" w:type="dxa"/>
        <w:tblBorders>
          <w:top w:val="single" w:sz="4" w:space="0" w:color="460531"/>
          <w:left w:val="single" w:sz="4" w:space="0" w:color="460531"/>
          <w:bottom w:val="single" w:sz="4" w:space="0" w:color="460531"/>
          <w:right w:val="single" w:sz="4" w:space="0" w:color="460531"/>
          <w:insideH w:val="single" w:sz="4" w:space="0" w:color="460531"/>
          <w:insideV w:val="single" w:sz="4" w:space="0" w:color="460531"/>
        </w:tblBorders>
        <w:tblLayout w:type="fixed"/>
        <w:tblCellMar>
          <w:top w:w="0" w:type="dxa"/>
          <w:left w:w="0" w:type="dxa"/>
          <w:bottom w:w="0" w:type="dxa"/>
          <w:right w:w="0" w:type="dxa"/>
        </w:tblCellMar>
        <w:tblLook w:val="01E0"/>
      </w:tblPr>
      <w:tblGrid>
        <w:gridCol w:w="4537"/>
        <w:gridCol w:w="4537"/>
      </w:tblGrid>
      <w:tr>
        <w:trPr>
          <w:trHeight w:val="402" w:hRule="atLeast"/>
        </w:trPr>
        <w:tc>
          <w:tcPr>
            <w:tcW w:w="4537" w:type="dxa"/>
            <w:shd w:val="clear" w:color="auto" w:fill="8B0D64"/>
          </w:tcPr>
          <w:p>
            <w:pPr>
              <w:pStyle w:val="TableParagraph"/>
              <w:spacing w:line="240" w:lineRule="auto" w:before="72"/>
              <w:ind w:left="1659" w:right="1652"/>
              <w:jc w:val="center"/>
              <w:rPr>
                <w:rFonts w:ascii="Arial"/>
                <w:sz w:val="22"/>
              </w:rPr>
            </w:pPr>
            <w:r>
              <w:rPr>
                <w:rFonts w:ascii="Arial"/>
                <w:color w:val="FFFFFF"/>
                <w:sz w:val="22"/>
              </w:rPr>
              <w:t>Stakeholder</w:t>
            </w:r>
          </w:p>
        </w:tc>
        <w:tc>
          <w:tcPr>
            <w:tcW w:w="4537" w:type="dxa"/>
            <w:shd w:val="clear" w:color="auto" w:fill="8B0D64"/>
          </w:tcPr>
          <w:p>
            <w:pPr>
              <w:pStyle w:val="TableParagraph"/>
              <w:spacing w:line="240" w:lineRule="auto" w:before="72"/>
              <w:ind w:left="1659" w:right="1649"/>
              <w:jc w:val="center"/>
              <w:rPr>
                <w:rFonts w:ascii="Arial"/>
                <w:sz w:val="22"/>
              </w:rPr>
            </w:pPr>
            <w:r>
              <w:rPr>
                <w:rFonts w:ascii="Arial"/>
                <w:color w:val="FFFFFF"/>
                <w:sz w:val="22"/>
              </w:rPr>
              <w:t>Contact</w:t>
            </w:r>
          </w:p>
        </w:tc>
      </w:tr>
      <w:tr>
        <w:trPr>
          <w:trHeight w:val="2023" w:hRule="atLeast"/>
        </w:trPr>
        <w:tc>
          <w:tcPr>
            <w:tcW w:w="4537" w:type="dxa"/>
          </w:tcPr>
          <w:p>
            <w:pPr>
              <w:pStyle w:val="TableParagraph"/>
              <w:spacing w:line="240" w:lineRule="auto"/>
              <w:rPr>
                <w:rFonts w:ascii="Arial"/>
                <w:sz w:val="24"/>
              </w:rPr>
            </w:pPr>
          </w:p>
          <w:p>
            <w:pPr>
              <w:pStyle w:val="TableParagraph"/>
              <w:spacing w:line="240" w:lineRule="auto"/>
              <w:rPr>
                <w:rFonts w:ascii="Arial"/>
                <w:sz w:val="24"/>
              </w:rPr>
            </w:pPr>
          </w:p>
          <w:p>
            <w:pPr>
              <w:pStyle w:val="TableParagraph"/>
              <w:spacing w:line="240" w:lineRule="auto" w:before="9"/>
              <w:rPr>
                <w:rFonts w:ascii="Arial"/>
                <w:sz w:val="28"/>
              </w:rPr>
            </w:pPr>
          </w:p>
          <w:p>
            <w:pPr>
              <w:pStyle w:val="TableParagraph"/>
              <w:spacing w:line="240" w:lineRule="auto"/>
              <w:ind w:left="107"/>
              <w:rPr>
                <w:rFonts w:ascii="Arial"/>
                <w:sz w:val="22"/>
              </w:rPr>
            </w:pPr>
            <w:r>
              <w:rPr>
                <w:rFonts w:ascii="Arial"/>
                <w:sz w:val="22"/>
              </w:rPr>
              <w:t>CHAPS participants</w:t>
            </w:r>
          </w:p>
        </w:tc>
        <w:tc>
          <w:tcPr>
            <w:tcW w:w="4537" w:type="dxa"/>
          </w:tcPr>
          <w:p>
            <w:pPr>
              <w:pStyle w:val="TableParagraph"/>
              <w:spacing w:line="240" w:lineRule="auto"/>
              <w:ind w:left="107" w:right="1612"/>
              <w:rPr>
                <w:rFonts w:ascii="Arial"/>
                <w:sz w:val="22"/>
              </w:rPr>
            </w:pPr>
            <w:r>
              <w:rPr>
                <w:rFonts w:ascii="Arial"/>
                <w:sz w:val="22"/>
              </w:rPr>
              <w:t>Mariano Diaz (Barclays) Robert Preece (BNY Mellon) Howard Middleton (CLS)</w:t>
            </w:r>
          </w:p>
          <w:p>
            <w:pPr>
              <w:pStyle w:val="TableParagraph"/>
              <w:spacing w:line="240" w:lineRule="auto"/>
              <w:ind w:left="107" w:right="780"/>
              <w:rPr>
                <w:rFonts w:ascii="Arial"/>
                <w:sz w:val="22"/>
              </w:rPr>
            </w:pPr>
            <w:r>
              <w:rPr>
                <w:rFonts w:ascii="Arial"/>
                <w:sz w:val="22"/>
              </w:rPr>
              <w:t>Patricia McLoughlin (Deutsche Bank) Alex Loyden (JP Morgan)</w:t>
            </w:r>
          </w:p>
          <w:p>
            <w:pPr>
              <w:pStyle w:val="TableParagraph"/>
              <w:spacing w:line="240" w:lineRule="auto"/>
              <w:ind w:left="107" w:right="2431"/>
              <w:rPr>
                <w:rFonts w:ascii="Arial"/>
                <w:sz w:val="22"/>
              </w:rPr>
            </w:pPr>
            <w:r>
              <w:rPr>
                <w:rFonts w:ascii="Arial"/>
                <w:sz w:val="22"/>
              </w:rPr>
              <w:t>Tim Decker (Lloyds) Tim Lewis (RBS)</w:t>
            </w:r>
          </w:p>
          <w:p>
            <w:pPr>
              <w:pStyle w:val="TableParagraph"/>
              <w:spacing w:line="234" w:lineRule="exact"/>
              <w:ind w:left="107"/>
              <w:rPr>
                <w:rFonts w:ascii="Arial"/>
                <w:sz w:val="22"/>
              </w:rPr>
            </w:pPr>
            <w:r>
              <w:rPr>
                <w:rFonts w:ascii="Arial"/>
                <w:sz w:val="22"/>
              </w:rPr>
              <w:t>Paul Waller (Santander)</w:t>
            </w:r>
          </w:p>
        </w:tc>
      </w:tr>
      <w:tr>
        <w:trPr>
          <w:trHeight w:val="254" w:hRule="atLeast"/>
        </w:trPr>
        <w:tc>
          <w:tcPr>
            <w:tcW w:w="4537" w:type="dxa"/>
          </w:tcPr>
          <w:p>
            <w:pPr>
              <w:pStyle w:val="TableParagraph"/>
              <w:spacing w:line="234" w:lineRule="exact"/>
              <w:ind w:left="107"/>
              <w:rPr>
                <w:rFonts w:ascii="Arial"/>
                <w:sz w:val="22"/>
              </w:rPr>
            </w:pPr>
            <w:r>
              <w:rPr>
                <w:rFonts w:ascii="Arial"/>
                <w:sz w:val="22"/>
              </w:rPr>
              <w:t>Non-CHAPS banks</w:t>
            </w:r>
          </w:p>
        </w:tc>
        <w:tc>
          <w:tcPr>
            <w:tcW w:w="4537" w:type="dxa"/>
          </w:tcPr>
          <w:p>
            <w:pPr>
              <w:pStyle w:val="TableParagraph"/>
              <w:spacing w:line="234" w:lineRule="exact"/>
              <w:ind w:left="107"/>
              <w:rPr>
                <w:rFonts w:ascii="Arial"/>
                <w:sz w:val="22"/>
              </w:rPr>
            </w:pPr>
            <w:r>
              <w:rPr>
                <w:rFonts w:ascii="Arial"/>
                <w:sz w:val="22"/>
              </w:rPr>
              <w:t>Julian Sawyer (Starling Bank)</w:t>
            </w:r>
          </w:p>
        </w:tc>
      </w:tr>
      <w:tr>
        <w:trPr>
          <w:trHeight w:val="505" w:hRule="atLeast"/>
        </w:trPr>
        <w:tc>
          <w:tcPr>
            <w:tcW w:w="4537" w:type="dxa"/>
          </w:tcPr>
          <w:p>
            <w:pPr>
              <w:pStyle w:val="TableParagraph"/>
              <w:spacing w:line="240" w:lineRule="auto" w:before="124"/>
              <w:ind w:left="107"/>
              <w:rPr>
                <w:rFonts w:ascii="Arial"/>
                <w:sz w:val="22"/>
              </w:rPr>
            </w:pPr>
            <w:r>
              <w:rPr>
                <w:rFonts w:ascii="Arial"/>
                <w:sz w:val="22"/>
              </w:rPr>
              <w:t>Non-bank PSPs</w:t>
            </w:r>
          </w:p>
        </w:tc>
        <w:tc>
          <w:tcPr>
            <w:tcW w:w="4537" w:type="dxa"/>
          </w:tcPr>
          <w:p>
            <w:pPr>
              <w:pStyle w:val="TableParagraph"/>
              <w:spacing w:line="252" w:lineRule="exact" w:before="2"/>
              <w:ind w:left="107" w:right="1905"/>
              <w:rPr>
                <w:rFonts w:ascii="Arial"/>
                <w:sz w:val="22"/>
              </w:rPr>
            </w:pPr>
            <w:r>
              <w:rPr>
                <w:rFonts w:ascii="Arial"/>
                <w:sz w:val="22"/>
              </w:rPr>
              <w:t>Toby Young (Ebury) Andrew Kaye (Transpact)</w:t>
            </w:r>
          </w:p>
        </w:tc>
      </w:tr>
      <w:tr>
        <w:trPr>
          <w:trHeight w:val="506" w:hRule="atLeast"/>
        </w:trPr>
        <w:tc>
          <w:tcPr>
            <w:tcW w:w="4537" w:type="dxa"/>
          </w:tcPr>
          <w:p>
            <w:pPr>
              <w:pStyle w:val="TableParagraph"/>
              <w:spacing w:line="240" w:lineRule="auto" w:before="124"/>
              <w:ind w:left="107"/>
              <w:rPr>
                <w:rFonts w:ascii="Arial"/>
                <w:sz w:val="22"/>
              </w:rPr>
            </w:pPr>
            <w:r>
              <w:rPr>
                <w:rFonts w:ascii="Arial"/>
                <w:sz w:val="22"/>
              </w:rPr>
              <w:t>Retail schemes</w:t>
            </w:r>
          </w:p>
        </w:tc>
        <w:tc>
          <w:tcPr>
            <w:tcW w:w="4537" w:type="dxa"/>
          </w:tcPr>
          <w:p>
            <w:pPr>
              <w:pStyle w:val="TableParagraph"/>
              <w:spacing w:line="250" w:lineRule="exact"/>
              <w:ind w:left="107"/>
              <w:rPr>
                <w:rFonts w:ascii="Arial"/>
                <w:sz w:val="22"/>
              </w:rPr>
            </w:pPr>
            <w:r>
              <w:rPr>
                <w:rFonts w:ascii="Arial"/>
                <w:sz w:val="22"/>
              </w:rPr>
              <w:t>Neil Cannon (BACS)</w:t>
            </w:r>
          </w:p>
          <w:p>
            <w:pPr>
              <w:pStyle w:val="TableParagraph"/>
              <w:spacing w:line="236" w:lineRule="exact"/>
              <w:ind w:left="107"/>
              <w:rPr>
                <w:rFonts w:ascii="Arial"/>
                <w:sz w:val="22"/>
              </w:rPr>
            </w:pPr>
            <w:r>
              <w:rPr>
                <w:rFonts w:ascii="Arial"/>
                <w:sz w:val="22"/>
              </w:rPr>
              <w:t>David Gradwell or Andy Milner (FPS)</w:t>
            </w:r>
          </w:p>
        </w:tc>
      </w:tr>
      <w:tr>
        <w:trPr>
          <w:trHeight w:val="251" w:hRule="atLeast"/>
        </w:trPr>
        <w:tc>
          <w:tcPr>
            <w:tcW w:w="4537" w:type="dxa"/>
          </w:tcPr>
          <w:p>
            <w:pPr>
              <w:pStyle w:val="TableParagraph"/>
              <w:spacing w:line="232" w:lineRule="exact"/>
              <w:ind w:left="107"/>
              <w:rPr>
                <w:rFonts w:ascii="Arial"/>
                <w:sz w:val="22"/>
              </w:rPr>
            </w:pPr>
            <w:r>
              <w:rPr>
                <w:rFonts w:ascii="Arial"/>
                <w:sz w:val="22"/>
              </w:rPr>
              <w:t>ONS</w:t>
            </w:r>
          </w:p>
        </w:tc>
        <w:tc>
          <w:tcPr>
            <w:tcW w:w="4537" w:type="dxa"/>
          </w:tcPr>
          <w:p>
            <w:pPr>
              <w:pStyle w:val="TableParagraph"/>
              <w:spacing w:line="232" w:lineRule="exact"/>
              <w:ind w:left="107"/>
              <w:rPr>
                <w:rFonts w:ascii="Arial"/>
                <w:sz w:val="22"/>
              </w:rPr>
            </w:pPr>
            <w:r>
              <w:rPr>
                <w:rFonts w:ascii="Arial"/>
                <w:sz w:val="22"/>
              </w:rPr>
              <w:t>Phillip Davies (ONS)</w:t>
            </w:r>
          </w:p>
        </w:tc>
      </w:tr>
      <w:tr>
        <w:trPr>
          <w:trHeight w:val="254" w:hRule="atLeast"/>
        </w:trPr>
        <w:tc>
          <w:tcPr>
            <w:tcW w:w="4537" w:type="dxa"/>
          </w:tcPr>
          <w:p>
            <w:pPr>
              <w:pStyle w:val="TableParagraph"/>
              <w:spacing w:line="234" w:lineRule="exact"/>
              <w:ind w:left="107"/>
              <w:rPr>
                <w:rFonts w:ascii="Arial"/>
                <w:sz w:val="22"/>
              </w:rPr>
            </w:pPr>
            <w:r>
              <w:rPr>
                <w:rFonts w:ascii="Arial"/>
                <w:sz w:val="22"/>
              </w:rPr>
              <w:t>CHAPS Co</w:t>
            </w:r>
          </w:p>
        </w:tc>
        <w:tc>
          <w:tcPr>
            <w:tcW w:w="4537" w:type="dxa"/>
          </w:tcPr>
          <w:p>
            <w:pPr>
              <w:pStyle w:val="TableParagraph"/>
              <w:spacing w:line="234" w:lineRule="exact"/>
              <w:ind w:left="107"/>
              <w:rPr>
                <w:rFonts w:ascii="Arial"/>
                <w:sz w:val="22"/>
              </w:rPr>
            </w:pPr>
            <w:r>
              <w:rPr>
                <w:rFonts w:ascii="Arial"/>
                <w:sz w:val="22"/>
              </w:rPr>
              <w:t>Katherine Pakenham</w:t>
            </w:r>
          </w:p>
        </w:tc>
      </w:tr>
    </w:tbl>
    <w:p>
      <w:pPr>
        <w:spacing w:after="0" w:line="234" w:lineRule="exact"/>
        <w:rPr>
          <w:rFonts w:ascii="Arial"/>
          <w:sz w:val="22"/>
        </w:rPr>
        <w:sectPr>
          <w:pgSz w:w="11910" w:h="16840"/>
          <w:pgMar w:header="0" w:footer="928" w:top="1340" w:bottom="1200" w:left="540" w:right="1280"/>
        </w:sectPr>
      </w:pPr>
    </w:p>
    <w:tbl>
      <w:tblPr>
        <w:tblW w:w="0" w:type="auto"/>
        <w:jc w:val="left"/>
        <w:tblInd w:w="905" w:type="dxa"/>
        <w:tblBorders>
          <w:top w:val="single" w:sz="4" w:space="0" w:color="460531"/>
          <w:left w:val="single" w:sz="4" w:space="0" w:color="460531"/>
          <w:bottom w:val="single" w:sz="4" w:space="0" w:color="460531"/>
          <w:right w:val="single" w:sz="4" w:space="0" w:color="460531"/>
          <w:insideH w:val="single" w:sz="4" w:space="0" w:color="460531"/>
          <w:insideV w:val="single" w:sz="4" w:space="0" w:color="460531"/>
        </w:tblBorders>
        <w:tblLayout w:type="fixed"/>
        <w:tblCellMar>
          <w:top w:w="0" w:type="dxa"/>
          <w:left w:w="0" w:type="dxa"/>
          <w:bottom w:w="0" w:type="dxa"/>
          <w:right w:w="0" w:type="dxa"/>
        </w:tblCellMar>
        <w:tblLook w:val="01E0"/>
      </w:tblPr>
      <w:tblGrid>
        <w:gridCol w:w="4537"/>
        <w:gridCol w:w="4537"/>
      </w:tblGrid>
      <w:tr>
        <w:trPr>
          <w:trHeight w:val="254" w:hRule="atLeast"/>
        </w:trPr>
        <w:tc>
          <w:tcPr>
            <w:tcW w:w="4537" w:type="dxa"/>
          </w:tcPr>
          <w:p>
            <w:pPr>
              <w:pStyle w:val="TableParagraph"/>
              <w:spacing w:line="234" w:lineRule="exact"/>
              <w:ind w:left="107"/>
              <w:rPr>
                <w:rFonts w:ascii="Arial"/>
                <w:sz w:val="22"/>
              </w:rPr>
            </w:pPr>
            <w:r>
              <w:rPr>
                <w:rFonts w:ascii="Arial"/>
                <w:sz w:val="22"/>
              </w:rPr>
              <w:t>UK Finance</w:t>
            </w:r>
          </w:p>
        </w:tc>
        <w:tc>
          <w:tcPr>
            <w:tcW w:w="4537" w:type="dxa"/>
          </w:tcPr>
          <w:p>
            <w:pPr>
              <w:pStyle w:val="TableParagraph"/>
              <w:spacing w:line="234" w:lineRule="exact"/>
              <w:ind w:left="107"/>
              <w:rPr>
                <w:rFonts w:ascii="Arial"/>
                <w:sz w:val="22"/>
              </w:rPr>
            </w:pPr>
            <w:r>
              <w:rPr>
                <w:rFonts w:ascii="Arial"/>
                <w:sz w:val="22"/>
              </w:rPr>
              <w:t>Lindsay Curtis</w:t>
            </w:r>
          </w:p>
        </w:tc>
      </w:tr>
      <w:tr>
        <w:trPr>
          <w:trHeight w:val="506" w:hRule="atLeast"/>
        </w:trPr>
        <w:tc>
          <w:tcPr>
            <w:tcW w:w="4537" w:type="dxa"/>
          </w:tcPr>
          <w:p>
            <w:pPr>
              <w:pStyle w:val="TableParagraph"/>
              <w:spacing w:line="240" w:lineRule="auto" w:before="122"/>
              <w:ind w:left="107"/>
              <w:rPr>
                <w:rFonts w:ascii="Arial"/>
                <w:sz w:val="22"/>
              </w:rPr>
            </w:pPr>
            <w:r>
              <w:rPr>
                <w:rFonts w:ascii="Arial"/>
                <w:sz w:val="22"/>
              </w:rPr>
              <w:t>PSR</w:t>
            </w:r>
          </w:p>
        </w:tc>
        <w:tc>
          <w:tcPr>
            <w:tcW w:w="4537" w:type="dxa"/>
          </w:tcPr>
          <w:p>
            <w:pPr>
              <w:pStyle w:val="TableParagraph"/>
              <w:spacing w:line="252" w:lineRule="exact" w:before="2"/>
              <w:ind w:left="107" w:right="621"/>
              <w:rPr>
                <w:rFonts w:ascii="Arial"/>
                <w:sz w:val="22"/>
              </w:rPr>
            </w:pPr>
            <w:r>
              <w:rPr>
                <w:rFonts w:ascii="Arial"/>
                <w:sz w:val="22"/>
              </w:rPr>
              <w:t>Nick Davey or Dora Guzeleva or David McPhee</w:t>
            </w:r>
          </w:p>
        </w:tc>
      </w:tr>
      <w:tr>
        <w:trPr>
          <w:trHeight w:val="251" w:hRule="atLeast"/>
        </w:trPr>
        <w:tc>
          <w:tcPr>
            <w:tcW w:w="4537" w:type="dxa"/>
          </w:tcPr>
          <w:p>
            <w:pPr>
              <w:pStyle w:val="TableParagraph"/>
              <w:spacing w:line="232" w:lineRule="exact"/>
              <w:ind w:left="107"/>
              <w:rPr>
                <w:rFonts w:ascii="Arial"/>
                <w:sz w:val="22"/>
              </w:rPr>
            </w:pPr>
            <w:r>
              <w:rPr>
                <w:rFonts w:ascii="Arial"/>
                <w:sz w:val="22"/>
              </w:rPr>
              <w:t>NPSO</w:t>
            </w:r>
          </w:p>
        </w:tc>
        <w:tc>
          <w:tcPr>
            <w:tcW w:w="4537" w:type="dxa"/>
          </w:tcPr>
          <w:p>
            <w:pPr>
              <w:pStyle w:val="TableParagraph"/>
              <w:spacing w:line="232" w:lineRule="exact"/>
              <w:ind w:left="107"/>
              <w:rPr>
                <w:rFonts w:ascii="Arial"/>
                <w:sz w:val="22"/>
              </w:rPr>
            </w:pPr>
            <w:r>
              <w:rPr>
                <w:rFonts w:ascii="Arial"/>
                <w:sz w:val="22"/>
              </w:rPr>
              <w:t>James Whittle</w:t>
            </w:r>
          </w:p>
        </w:tc>
      </w:tr>
      <w:tr>
        <w:trPr>
          <w:trHeight w:val="254" w:hRule="atLeast"/>
        </w:trPr>
        <w:tc>
          <w:tcPr>
            <w:tcW w:w="4537" w:type="dxa"/>
          </w:tcPr>
          <w:p>
            <w:pPr>
              <w:pStyle w:val="TableParagraph"/>
              <w:spacing w:line="234" w:lineRule="exact"/>
              <w:ind w:left="107"/>
              <w:rPr>
                <w:rFonts w:ascii="Arial"/>
                <w:sz w:val="22"/>
              </w:rPr>
            </w:pPr>
            <w:r>
              <w:rPr>
                <w:rFonts w:ascii="Arial"/>
                <w:sz w:val="22"/>
              </w:rPr>
              <w:t>SWIFT</w:t>
            </w:r>
          </w:p>
        </w:tc>
        <w:tc>
          <w:tcPr>
            <w:tcW w:w="4537" w:type="dxa"/>
          </w:tcPr>
          <w:p>
            <w:pPr>
              <w:pStyle w:val="TableParagraph"/>
              <w:spacing w:line="234" w:lineRule="exact"/>
              <w:ind w:left="107"/>
              <w:rPr>
                <w:rFonts w:ascii="Arial"/>
                <w:sz w:val="22"/>
              </w:rPr>
            </w:pPr>
            <w:r>
              <w:rPr>
                <w:rFonts w:ascii="Arial"/>
                <w:sz w:val="22"/>
              </w:rPr>
              <w:t>Isabelle Bouille or Astrid Thorsen</w:t>
            </w:r>
          </w:p>
        </w:tc>
      </w:tr>
      <w:tr>
        <w:trPr>
          <w:trHeight w:val="251" w:hRule="atLeast"/>
        </w:trPr>
        <w:tc>
          <w:tcPr>
            <w:tcW w:w="4537" w:type="dxa"/>
          </w:tcPr>
          <w:p>
            <w:pPr>
              <w:pStyle w:val="TableParagraph"/>
              <w:spacing w:line="232" w:lineRule="exact"/>
              <w:ind w:left="107"/>
              <w:rPr>
                <w:rFonts w:ascii="Arial"/>
                <w:sz w:val="22"/>
              </w:rPr>
            </w:pPr>
            <w:r>
              <w:rPr>
                <w:rFonts w:ascii="Arial"/>
                <w:sz w:val="22"/>
              </w:rPr>
              <w:t>Government</w:t>
            </w:r>
          </w:p>
        </w:tc>
        <w:tc>
          <w:tcPr>
            <w:tcW w:w="4537" w:type="dxa"/>
          </w:tcPr>
          <w:p>
            <w:pPr>
              <w:pStyle w:val="TableParagraph"/>
              <w:spacing w:line="232" w:lineRule="exact"/>
              <w:ind w:left="107"/>
              <w:rPr>
                <w:rFonts w:ascii="Arial"/>
                <w:sz w:val="22"/>
              </w:rPr>
            </w:pPr>
            <w:r>
              <w:rPr>
                <w:rFonts w:ascii="Arial"/>
                <w:sz w:val="22"/>
              </w:rPr>
              <w:t>Brendan Peilow (Cabinet Office)</w:t>
            </w:r>
          </w:p>
        </w:tc>
      </w:tr>
      <w:tr>
        <w:trPr>
          <w:trHeight w:val="760" w:hRule="atLeast"/>
        </w:trPr>
        <w:tc>
          <w:tcPr>
            <w:tcW w:w="4537" w:type="dxa"/>
          </w:tcPr>
          <w:p>
            <w:pPr>
              <w:pStyle w:val="TableParagraph"/>
              <w:spacing w:line="240" w:lineRule="auto" w:before="10"/>
              <w:rPr>
                <w:rFonts w:ascii="Arial"/>
                <w:sz w:val="21"/>
              </w:rPr>
            </w:pPr>
          </w:p>
          <w:p>
            <w:pPr>
              <w:pStyle w:val="TableParagraph"/>
              <w:spacing w:line="240" w:lineRule="auto"/>
              <w:ind w:left="107"/>
              <w:rPr>
                <w:rFonts w:ascii="Arial"/>
                <w:sz w:val="22"/>
              </w:rPr>
            </w:pPr>
            <w:r>
              <w:rPr>
                <w:rFonts w:ascii="Arial"/>
                <w:sz w:val="22"/>
              </w:rPr>
              <w:t>The Bank of England</w:t>
            </w:r>
          </w:p>
        </w:tc>
        <w:tc>
          <w:tcPr>
            <w:tcW w:w="4537" w:type="dxa"/>
          </w:tcPr>
          <w:p>
            <w:pPr>
              <w:pStyle w:val="TableParagraph"/>
              <w:spacing w:line="250" w:lineRule="exact"/>
              <w:ind w:left="107"/>
              <w:rPr>
                <w:rFonts w:ascii="Arial"/>
                <w:sz w:val="22"/>
              </w:rPr>
            </w:pPr>
            <w:r>
              <w:rPr>
                <w:rFonts w:ascii="Arial"/>
                <w:sz w:val="22"/>
              </w:rPr>
              <w:t>Luke Charters-Reid [minutes], Rebecca</w:t>
            </w:r>
          </w:p>
          <w:p>
            <w:pPr>
              <w:pStyle w:val="TableParagraph"/>
              <w:spacing w:line="252" w:lineRule="exact" w:before="6"/>
              <w:ind w:left="107" w:right="426"/>
              <w:rPr>
                <w:rFonts w:ascii="Arial"/>
                <w:sz w:val="22"/>
              </w:rPr>
            </w:pPr>
            <w:r>
              <w:rPr>
                <w:rFonts w:ascii="Arial"/>
                <w:sz w:val="22"/>
              </w:rPr>
              <w:t>Hall, Neil Pearston, John Jackson, Gwyn Jones, and Grace Blundell or Sara Ward</w:t>
            </w:r>
          </w:p>
        </w:tc>
      </w:tr>
    </w:tbl>
    <w:p>
      <w:pPr>
        <w:pStyle w:val="BodyText"/>
        <w:rPr>
          <w:sz w:val="20"/>
        </w:rPr>
      </w:pPr>
    </w:p>
    <w:p>
      <w:pPr>
        <w:pStyle w:val="BodyText"/>
        <w:spacing w:before="9"/>
        <w:rPr>
          <w:sz w:val="19"/>
        </w:rPr>
      </w:pPr>
    </w:p>
    <w:p>
      <w:pPr>
        <w:pStyle w:val="Heading2"/>
        <w:spacing w:before="1"/>
      </w:pPr>
      <w:r>
        <w:rPr>
          <w:color w:val="777877"/>
        </w:rPr>
        <w:t>Conflicts of interest</w:t>
      </w:r>
    </w:p>
    <w:p>
      <w:pPr>
        <w:pStyle w:val="BodyText"/>
        <w:spacing w:before="11"/>
        <w:rPr>
          <w:b/>
          <w:sz w:val="20"/>
        </w:rPr>
      </w:pPr>
    </w:p>
    <w:p>
      <w:pPr>
        <w:pStyle w:val="BodyText"/>
        <w:ind w:left="900"/>
      </w:pPr>
      <w:r>
        <w:rPr/>
        <w:t>Members are responsible for identifying and declaring any conflicts of interest.</w:t>
      </w:r>
    </w:p>
    <w:p>
      <w:pPr>
        <w:pStyle w:val="BodyText"/>
        <w:spacing w:before="4"/>
        <w:rPr>
          <w:sz w:val="20"/>
        </w:rPr>
      </w:pPr>
    </w:p>
    <w:p>
      <w:pPr>
        <w:pStyle w:val="Heading2"/>
      </w:pPr>
      <w:r>
        <w:rPr>
          <w:color w:val="777877"/>
        </w:rPr>
        <w:t>Changes to the membership</w:t>
      </w:r>
    </w:p>
    <w:p>
      <w:pPr>
        <w:pStyle w:val="BodyText"/>
        <w:spacing w:before="1"/>
        <w:rPr>
          <w:b/>
          <w:sz w:val="21"/>
        </w:rPr>
      </w:pPr>
    </w:p>
    <w:p>
      <w:pPr>
        <w:pStyle w:val="BodyText"/>
        <w:spacing w:line="276" w:lineRule="auto"/>
        <w:ind w:left="900" w:right="303"/>
      </w:pPr>
      <w:r>
        <w:rPr/>
        <w:t>Changes to membership will be made by the Secretariat as necessary to support the Group’s objectives. Membership is conferred on an individual, so it does not necessarily follow that departing members should be replaced by someone from the same institution. Members must inform the Bank if they are to send an alternate in the event they are unable to attend a meeting. The alternate must be in a position to review the material distributed in advance of the meeting and have the technical expertise to contribute.</w:t>
      </w:r>
    </w:p>
    <w:p>
      <w:pPr>
        <w:pStyle w:val="Heading2"/>
        <w:spacing w:before="198"/>
      </w:pPr>
      <w:r>
        <w:rPr>
          <w:color w:val="777877"/>
        </w:rPr>
        <w:t>Chair &amp; Secretariat</w:t>
      </w:r>
    </w:p>
    <w:p>
      <w:pPr>
        <w:pStyle w:val="BodyText"/>
        <w:spacing w:before="9"/>
        <w:rPr>
          <w:b/>
          <w:sz w:val="20"/>
        </w:rPr>
      </w:pPr>
    </w:p>
    <w:p>
      <w:pPr>
        <w:pStyle w:val="BodyText"/>
        <w:spacing w:line="276" w:lineRule="auto"/>
        <w:ind w:left="900" w:right="561"/>
      </w:pPr>
      <w:r>
        <w:rPr/>
        <w:t>The Group will be chaired by the Policy Lead for the Bank’s RTGS Renewal programme. The Bank will also provide the Secretariat, take the minutes and record any actions.</w:t>
      </w:r>
    </w:p>
    <w:p>
      <w:pPr>
        <w:pStyle w:val="Heading2"/>
        <w:spacing w:before="199"/>
      </w:pPr>
      <w:r>
        <w:rPr>
          <w:color w:val="777877"/>
        </w:rPr>
        <w:t>Decision making</w:t>
      </w:r>
    </w:p>
    <w:p>
      <w:pPr>
        <w:pStyle w:val="BodyText"/>
        <w:rPr>
          <w:b/>
          <w:sz w:val="21"/>
        </w:rPr>
      </w:pPr>
    </w:p>
    <w:p>
      <w:pPr>
        <w:pStyle w:val="BodyText"/>
        <w:spacing w:line="276" w:lineRule="auto"/>
        <w:ind w:left="900" w:right="415"/>
      </w:pPr>
      <w:r>
        <w:rPr/>
        <w:t>The body is not a decision-making body for the RTGS Renewal Programme. Outputs from the Working Groups will be used to inform the Bank’s decisions. The Bank will be transparent in its decision making process and will seek to share the reasons for its decisions as far as is practicable.</w:t>
      </w:r>
    </w:p>
    <w:p>
      <w:pPr>
        <w:pStyle w:val="Heading2"/>
        <w:spacing w:before="197"/>
      </w:pPr>
      <w:r>
        <w:rPr>
          <w:color w:val="777877"/>
        </w:rPr>
        <w:t>Frequency of meetings</w:t>
      </w:r>
    </w:p>
    <w:p>
      <w:pPr>
        <w:pStyle w:val="BodyText"/>
        <w:spacing w:before="9"/>
        <w:rPr>
          <w:b/>
          <w:sz w:val="20"/>
        </w:rPr>
      </w:pPr>
    </w:p>
    <w:p>
      <w:pPr>
        <w:pStyle w:val="BodyText"/>
        <w:spacing w:line="278" w:lineRule="auto"/>
        <w:ind w:left="900" w:right="769"/>
      </w:pPr>
      <w:r>
        <w:rPr/>
        <w:t>This Group will run until January 2018 and will meet monthly. The Group may vary this timetable or hold extraordinary meetings on agreement with the Secretariat.</w:t>
      </w:r>
    </w:p>
    <w:p>
      <w:pPr>
        <w:pStyle w:val="Heading2"/>
        <w:spacing w:before="193"/>
      </w:pPr>
      <w:r>
        <w:rPr>
          <w:color w:val="777877"/>
        </w:rPr>
        <w:t>Papers and Minutes</w:t>
      </w:r>
    </w:p>
    <w:p>
      <w:pPr>
        <w:pStyle w:val="BodyText"/>
        <w:rPr>
          <w:b/>
          <w:sz w:val="21"/>
        </w:rPr>
      </w:pPr>
    </w:p>
    <w:p>
      <w:pPr>
        <w:pStyle w:val="BodyText"/>
        <w:spacing w:line="465" w:lineRule="auto"/>
        <w:ind w:left="900" w:right="1270"/>
      </w:pPr>
      <w:r>
        <w:rPr/>
        <w:t>The Bank will issue minutes no later than ten working days following the meeting. Papers will be circulated at least four working days before each meeting.</w:t>
      </w:r>
    </w:p>
    <w:p>
      <w:pPr>
        <w:pStyle w:val="Heading2"/>
        <w:spacing w:line="251" w:lineRule="exact"/>
      </w:pPr>
      <w:r>
        <w:rPr>
          <w:color w:val="777877"/>
        </w:rPr>
        <w:t>Changes to terms of reference</w:t>
      </w:r>
    </w:p>
    <w:p>
      <w:pPr>
        <w:pStyle w:val="BodyText"/>
        <w:spacing w:before="9"/>
        <w:rPr>
          <w:b/>
          <w:sz w:val="20"/>
        </w:rPr>
      </w:pPr>
    </w:p>
    <w:p>
      <w:pPr>
        <w:pStyle w:val="BodyText"/>
        <w:spacing w:line="276" w:lineRule="auto"/>
        <w:ind w:left="900" w:right="486"/>
      </w:pPr>
      <w:r>
        <w:rPr/>
        <w:t>These terms of reference will be agreed at the first meeting of the group on 31</w:t>
      </w:r>
      <w:r>
        <w:rPr>
          <w:vertAlign w:val="superscript"/>
        </w:rPr>
        <w:t>st</w:t>
      </w:r>
      <w:r>
        <w:rPr>
          <w:vertAlign w:val="baseline"/>
        </w:rPr>
        <w:t> October 2017. It is envisaged that they be updated throughout the project as necessary to support the Group’s objectives and the successful delivery of RTGS Renewal. Any updates from members should be proposed via the Secretariat.</w:t>
      </w:r>
    </w:p>
    <w:p>
      <w:pPr>
        <w:spacing w:after="0" w:line="276" w:lineRule="auto"/>
        <w:sectPr>
          <w:pgSz w:w="11910" w:h="16840"/>
          <w:pgMar w:header="0" w:footer="928" w:top="1420" w:bottom="1200" w:left="540" w:right="1280"/>
        </w:sectPr>
      </w:pPr>
    </w:p>
    <w:p>
      <w:pPr>
        <w:pStyle w:val="Heading1"/>
      </w:pPr>
      <w:bookmarkStart w:name="_bookmark3" w:id="4"/>
      <w:bookmarkEnd w:id="4"/>
      <w:r>
        <w:rPr>
          <w:b w:val="0"/>
        </w:rPr>
      </w:r>
      <w:r>
        <w:rPr>
          <w:color w:val="8B0D64"/>
        </w:rPr>
        <w:t>Categories where data may be improved</w:t>
      </w:r>
    </w:p>
    <w:p>
      <w:pPr>
        <w:pStyle w:val="BodyText"/>
        <w:rPr>
          <w:b/>
          <w:sz w:val="26"/>
        </w:rPr>
      </w:pPr>
    </w:p>
    <w:p>
      <w:pPr>
        <w:pStyle w:val="BodyText"/>
        <w:spacing w:before="6"/>
        <w:rPr>
          <w:b/>
          <w:sz w:val="20"/>
        </w:rPr>
      </w:pPr>
    </w:p>
    <w:p>
      <w:pPr>
        <w:pStyle w:val="BodyText"/>
        <w:spacing w:line="276" w:lineRule="auto"/>
        <w:ind w:left="900" w:right="548"/>
      </w:pPr>
      <w:r>
        <w:rPr/>
        <w:t>This list is not intended in any way to be exhaustive, but it indicates areas which the data working group may wish to direct its efforts.</w:t>
      </w:r>
    </w:p>
    <w:p>
      <w:pPr>
        <w:pStyle w:val="BodyText"/>
        <w:rPr>
          <w:sz w:val="24"/>
        </w:rPr>
      </w:pPr>
    </w:p>
    <w:p>
      <w:pPr>
        <w:pStyle w:val="BodyText"/>
        <w:rPr>
          <w:sz w:val="24"/>
        </w:rPr>
      </w:pPr>
    </w:p>
    <w:p>
      <w:pPr>
        <w:pStyle w:val="ListParagraph"/>
        <w:numPr>
          <w:ilvl w:val="0"/>
          <w:numId w:val="3"/>
        </w:numPr>
        <w:tabs>
          <w:tab w:pos="1614" w:val="left" w:leader="none"/>
        </w:tabs>
        <w:spacing w:line="276" w:lineRule="auto" w:before="138" w:after="0"/>
        <w:ind w:left="1613" w:right="815" w:hanging="356"/>
        <w:jc w:val="left"/>
        <w:rPr>
          <w:sz w:val="22"/>
        </w:rPr>
      </w:pPr>
      <w:r>
        <w:rPr>
          <w:sz w:val="22"/>
        </w:rPr>
        <w:t>More detailed payer and payee information, as well as ultimate beneficiary and ultimate originator</w:t>
      </w:r>
      <w:r>
        <w:rPr>
          <w:spacing w:val="-3"/>
          <w:sz w:val="22"/>
        </w:rPr>
        <w:t> </w:t>
      </w:r>
      <w:r>
        <w:rPr>
          <w:sz w:val="22"/>
        </w:rPr>
        <w:t>information</w:t>
      </w:r>
    </w:p>
    <w:p>
      <w:pPr>
        <w:pStyle w:val="ListParagraph"/>
        <w:numPr>
          <w:ilvl w:val="0"/>
          <w:numId w:val="3"/>
        </w:numPr>
        <w:tabs>
          <w:tab w:pos="1614" w:val="left" w:leader="none"/>
        </w:tabs>
        <w:spacing w:line="240" w:lineRule="auto" w:before="2" w:after="0"/>
        <w:ind w:left="1613" w:right="0" w:hanging="356"/>
        <w:jc w:val="left"/>
        <w:rPr>
          <w:sz w:val="22"/>
        </w:rPr>
      </w:pPr>
      <w:r>
        <w:rPr>
          <w:sz w:val="22"/>
        </w:rPr>
        <w:t>Data that may assist with remittance</w:t>
      </w:r>
      <w:r>
        <w:rPr>
          <w:spacing w:val="-2"/>
          <w:sz w:val="22"/>
        </w:rPr>
        <w:t> </w:t>
      </w:r>
      <w:r>
        <w:rPr>
          <w:sz w:val="22"/>
        </w:rPr>
        <w:t>payments</w:t>
      </w:r>
    </w:p>
    <w:p>
      <w:pPr>
        <w:pStyle w:val="ListParagraph"/>
        <w:numPr>
          <w:ilvl w:val="0"/>
          <w:numId w:val="3"/>
        </w:numPr>
        <w:tabs>
          <w:tab w:pos="1614" w:val="left" w:leader="none"/>
        </w:tabs>
        <w:spacing w:line="240" w:lineRule="auto" w:before="37" w:after="0"/>
        <w:ind w:left="1613" w:right="0" w:hanging="356"/>
        <w:jc w:val="left"/>
        <w:rPr>
          <w:sz w:val="22"/>
        </w:rPr>
      </w:pPr>
      <w:r>
        <w:rPr>
          <w:sz w:val="22"/>
        </w:rPr>
        <w:t>More data on what the purpose of a payment is</w:t>
      </w:r>
      <w:r>
        <w:rPr>
          <w:spacing w:val="-5"/>
          <w:sz w:val="22"/>
        </w:rPr>
        <w:t> </w:t>
      </w:r>
      <w:r>
        <w:rPr>
          <w:sz w:val="22"/>
        </w:rPr>
        <w:t>for</w:t>
      </w:r>
    </w:p>
    <w:p>
      <w:pPr>
        <w:pStyle w:val="ListParagraph"/>
        <w:numPr>
          <w:ilvl w:val="0"/>
          <w:numId w:val="3"/>
        </w:numPr>
        <w:tabs>
          <w:tab w:pos="1614" w:val="left" w:leader="none"/>
        </w:tabs>
        <w:spacing w:line="240" w:lineRule="auto" w:before="38" w:after="0"/>
        <w:ind w:left="1613" w:right="0" w:hanging="356"/>
        <w:jc w:val="left"/>
        <w:rPr>
          <w:sz w:val="22"/>
        </w:rPr>
      </w:pPr>
      <w:r>
        <w:rPr>
          <w:sz w:val="22"/>
        </w:rPr>
        <w:t>Transaction ID to identify linked</w:t>
      </w:r>
      <w:r>
        <w:rPr>
          <w:spacing w:val="-12"/>
          <w:sz w:val="22"/>
        </w:rPr>
        <w:t> </w:t>
      </w:r>
      <w:r>
        <w:rPr>
          <w:sz w:val="22"/>
        </w:rPr>
        <w:t>payments</w:t>
      </w:r>
    </w:p>
    <w:p>
      <w:pPr>
        <w:pStyle w:val="ListParagraph"/>
        <w:numPr>
          <w:ilvl w:val="0"/>
          <w:numId w:val="3"/>
        </w:numPr>
        <w:tabs>
          <w:tab w:pos="1614" w:val="left" w:leader="none"/>
        </w:tabs>
        <w:spacing w:line="240" w:lineRule="auto" w:before="37" w:after="0"/>
        <w:ind w:left="1613" w:right="0" w:hanging="356"/>
        <w:jc w:val="left"/>
        <w:rPr>
          <w:sz w:val="22"/>
        </w:rPr>
      </w:pPr>
      <w:r>
        <w:rPr>
          <w:sz w:val="22"/>
        </w:rPr>
        <w:t>Space for data that would enable API calls and promote competition and</w:t>
      </w:r>
      <w:r>
        <w:rPr>
          <w:spacing w:val="-20"/>
          <w:sz w:val="22"/>
        </w:rPr>
        <w:t> </w:t>
      </w:r>
      <w:r>
        <w:rPr>
          <w:sz w:val="22"/>
        </w:rPr>
        <w:t>innovation</w:t>
      </w:r>
    </w:p>
    <w:p>
      <w:pPr>
        <w:pStyle w:val="ListParagraph"/>
        <w:numPr>
          <w:ilvl w:val="0"/>
          <w:numId w:val="3"/>
        </w:numPr>
        <w:tabs>
          <w:tab w:pos="1614" w:val="left" w:leader="none"/>
        </w:tabs>
        <w:spacing w:line="240" w:lineRule="auto" w:before="37" w:after="0"/>
        <w:ind w:left="1613" w:right="0" w:hanging="356"/>
        <w:jc w:val="left"/>
        <w:rPr>
          <w:sz w:val="22"/>
        </w:rPr>
      </w:pPr>
      <w:r>
        <w:rPr>
          <w:sz w:val="22"/>
        </w:rPr>
        <w:t>More reference data, for instance, for the reconciliation of data</w:t>
      </w:r>
      <w:r>
        <w:rPr>
          <w:spacing w:val="-10"/>
          <w:sz w:val="22"/>
        </w:rPr>
        <w:t> </w:t>
      </w:r>
      <w:r>
        <w:rPr>
          <w:sz w:val="22"/>
        </w:rPr>
        <w:t>sets</w:t>
      </w:r>
    </w:p>
    <w:p>
      <w:pPr>
        <w:pStyle w:val="ListParagraph"/>
        <w:numPr>
          <w:ilvl w:val="0"/>
          <w:numId w:val="3"/>
        </w:numPr>
        <w:tabs>
          <w:tab w:pos="1614" w:val="left" w:leader="none"/>
        </w:tabs>
        <w:spacing w:line="240" w:lineRule="auto" w:before="41" w:after="0"/>
        <w:ind w:left="1613" w:right="0" w:hanging="356"/>
        <w:jc w:val="left"/>
        <w:rPr>
          <w:sz w:val="22"/>
        </w:rPr>
      </w:pPr>
      <w:r>
        <w:rPr>
          <w:sz w:val="22"/>
        </w:rPr>
        <w:t>Data structured to ensure more efficient straight-through processing of</w:t>
      </w:r>
      <w:r>
        <w:rPr>
          <w:spacing w:val="-12"/>
          <w:sz w:val="22"/>
        </w:rPr>
        <w:t> </w:t>
      </w:r>
      <w:r>
        <w:rPr>
          <w:sz w:val="22"/>
        </w:rPr>
        <w:t>payments</w:t>
      </w:r>
    </w:p>
    <w:p>
      <w:pPr>
        <w:pStyle w:val="ListParagraph"/>
        <w:numPr>
          <w:ilvl w:val="0"/>
          <w:numId w:val="3"/>
        </w:numPr>
        <w:tabs>
          <w:tab w:pos="1614" w:val="left" w:leader="none"/>
        </w:tabs>
        <w:spacing w:line="240" w:lineRule="auto" w:before="37" w:after="0"/>
        <w:ind w:left="1613" w:right="0" w:hanging="356"/>
        <w:jc w:val="left"/>
        <w:rPr>
          <w:sz w:val="22"/>
        </w:rPr>
      </w:pPr>
      <w:r>
        <w:rPr>
          <w:sz w:val="22"/>
        </w:rPr>
        <w:t>Data to ensure the better identification of parties and entities in the</w:t>
      </w:r>
      <w:r>
        <w:rPr>
          <w:spacing w:val="-19"/>
          <w:sz w:val="22"/>
        </w:rPr>
        <w:t> </w:t>
      </w:r>
      <w:r>
        <w:rPr>
          <w:sz w:val="22"/>
        </w:rPr>
        <w:t>transaction</w:t>
      </w:r>
    </w:p>
    <w:p>
      <w:pPr>
        <w:pStyle w:val="ListParagraph"/>
        <w:numPr>
          <w:ilvl w:val="0"/>
          <w:numId w:val="3"/>
        </w:numPr>
        <w:tabs>
          <w:tab w:pos="1614" w:val="left" w:leader="none"/>
        </w:tabs>
        <w:spacing w:line="240" w:lineRule="auto" w:before="38" w:after="0"/>
        <w:ind w:left="1613" w:right="0" w:hanging="356"/>
        <w:jc w:val="left"/>
        <w:rPr>
          <w:sz w:val="22"/>
        </w:rPr>
      </w:pPr>
      <w:r>
        <w:rPr>
          <w:sz w:val="22"/>
        </w:rPr>
        <w:t>Data to assist financial institutions with their regulatory reporting</w:t>
      </w:r>
      <w:r>
        <w:rPr>
          <w:spacing w:val="-16"/>
          <w:sz w:val="22"/>
        </w:rPr>
        <w:t> </w:t>
      </w:r>
      <w:r>
        <w:rPr>
          <w:sz w:val="22"/>
        </w:rPr>
        <w:t>requirements</w:t>
      </w:r>
    </w:p>
    <w:p>
      <w:pPr>
        <w:pStyle w:val="ListParagraph"/>
        <w:numPr>
          <w:ilvl w:val="0"/>
          <w:numId w:val="3"/>
        </w:numPr>
        <w:tabs>
          <w:tab w:pos="1614" w:val="left" w:leader="none"/>
        </w:tabs>
        <w:spacing w:line="278" w:lineRule="auto" w:before="37" w:after="0"/>
        <w:ind w:left="1613" w:right="591" w:hanging="356"/>
        <w:jc w:val="left"/>
        <w:rPr>
          <w:sz w:val="22"/>
        </w:rPr>
      </w:pPr>
      <w:r>
        <w:rPr>
          <w:sz w:val="22"/>
        </w:rPr>
        <w:t>Other areas in which the experience for end-users may be improved, such as the ability to track the progress of a</w:t>
      </w:r>
      <w:r>
        <w:rPr>
          <w:spacing w:val="-3"/>
          <w:sz w:val="22"/>
        </w:rPr>
        <w:t> </w:t>
      </w:r>
      <w:r>
        <w:rPr>
          <w:sz w:val="22"/>
        </w:rPr>
        <w:t>payment</w:t>
      </w:r>
    </w:p>
    <w:p>
      <w:pPr>
        <w:pStyle w:val="ListParagraph"/>
        <w:numPr>
          <w:ilvl w:val="0"/>
          <w:numId w:val="3"/>
        </w:numPr>
        <w:tabs>
          <w:tab w:pos="1614" w:val="left" w:leader="none"/>
        </w:tabs>
        <w:spacing w:line="276" w:lineRule="auto" w:before="0" w:after="0"/>
        <w:ind w:left="1613" w:right="566" w:hanging="356"/>
        <w:jc w:val="left"/>
        <w:rPr>
          <w:sz w:val="22"/>
        </w:rPr>
      </w:pPr>
      <w:r>
        <w:rPr>
          <w:sz w:val="22"/>
        </w:rPr>
        <w:t>Data to assist with compliance, involving: sanctions monitoring, anti-money laundering (AML), KYC, KYCC, counter-terrorism financing (CTF), anti-corruption anti-bribery, measures against modern day slavery (MDS), and the protection of vulnerable customers. A separate sub-working group is to be held to cover this range of</w:t>
      </w:r>
      <w:r>
        <w:rPr>
          <w:spacing w:val="1"/>
          <w:sz w:val="22"/>
        </w:rPr>
        <w:t> </w:t>
      </w:r>
      <w:r>
        <w:rPr>
          <w:sz w:val="22"/>
        </w:rPr>
        <w:t>issues.</w:t>
      </w:r>
    </w:p>
    <w:p>
      <w:pPr>
        <w:spacing w:after="0" w:line="276" w:lineRule="auto"/>
        <w:jc w:val="left"/>
        <w:rPr>
          <w:sz w:val="22"/>
        </w:rPr>
        <w:sectPr>
          <w:pgSz w:w="11910" w:h="16840"/>
          <w:pgMar w:header="0" w:footer="928" w:top="1340" w:bottom="1200" w:left="540" w:right="1280"/>
        </w:sectPr>
      </w:pPr>
    </w:p>
    <w:p>
      <w:pPr>
        <w:pStyle w:val="Heading1"/>
      </w:pPr>
      <w:bookmarkStart w:name="_bookmark4" w:id="5"/>
      <w:bookmarkEnd w:id="5"/>
      <w:r>
        <w:rPr>
          <w:b w:val="0"/>
        </w:rPr>
      </w:r>
      <w:r>
        <w:rPr>
          <w:color w:val="8B0D64"/>
        </w:rPr>
        <w:t>Data Carried In Current Messaging</w:t>
      </w:r>
    </w:p>
    <w:p>
      <w:pPr>
        <w:pStyle w:val="BodyText"/>
        <w:rPr>
          <w:b/>
          <w:sz w:val="26"/>
        </w:rPr>
      </w:pPr>
    </w:p>
    <w:p>
      <w:pPr>
        <w:pStyle w:val="BodyText"/>
        <w:spacing w:before="6"/>
        <w:rPr>
          <w:b/>
          <w:sz w:val="20"/>
        </w:rPr>
      </w:pPr>
    </w:p>
    <w:p>
      <w:pPr>
        <w:pStyle w:val="BodyText"/>
        <w:spacing w:line="276" w:lineRule="auto"/>
        <w:ind w:left="900" w:right="228"/>
        <w:jc w:val="both"/>
      </w:pPr>
      <w:r>
        <w:rPr/>
        <w:t>This section outlines what data is currently carried in existing SWIFT MT messages. </w:t>
      </w:r>
      <w:r>
        <w:rPr>
          <w:u w:val="single"/>
        </w:rPr>
        <w:t>All data</w:t>
      </w:r>
      <w:r>
        <w:rPr/>
        <w:t> </w:t>
      </w:r>
      <w:r>
        <w:rPr>
          <w:u w:val="single"/>
        </w:rPr>
        <w:t>provided is indicative only, and is not from any real raw payments data.</w:t>
      </w:r>
    </w:p>
    <w:p>
      <w:pPr>
        <w:pStyle w:val="BodyText"/>
        <w:spacing w:before="201"/>
        <w:ind w:left="900"/>
      </w:pPr>
      <w:r>
        <w:rPr/>
        <w:t>More detailed information can be found in the CHAPS Technical Reference Manual.</w:t>
      </w:r>
      <w:r>
        <w:rPr>
          <w:vertAlign w:val="superscript"/>
        </w:rPr>
        <w:t>2</w:t>
      </w:r>
    </w:p>
    <w:p>
      <w:pPr>
        <w:pStyle w:val="BodyText"/>
        <w:rPr>
          <w:sz w:val="26"/>
        </w:rPr>
      </w:pPr>
    </w:p>
    <w:p>
      <w:pPr>
        <w:pStyle w:val="BodyText"/>
        <w:rPr>
          <w:sz w:val="26"/>
        </w:rPr>
      </w:pPr>
    </w:p>
    <w:p>
      <w:pPr>
        <w:pStyle w:val="Heading2"/>
        <w:spacing w:before="154"/>
      </w:pPr>
      <w:r>
        <w:rPr>
          <w:color w:val="777877"/>
        </w:rPr>
        <w:t>Information Carried in MT103s</w:t>
      </w:r>
    </w:p>
    <w:p>
      <w:pPr>
        <w:pStyle w:val="BodyText"/>
        <w:spacing w:before="9"/>
        <w:rPr>
          <w:b/>
          <w:sz w:val="20"/>
        </w:rPr>
      </w:pPr>
    </w:p>
    <w:p>
      <w:pPr>
        <w:pStyle w:val="BodyText"/>
        <w:ind w:left="900"/>
      </w:pPr>
      <w:r>
        <w:rPr/>
        <w:t>MT103s are customer to financial institution payments.</w:t>
      </w:r>
    </w:p>
    <w:p>
      <w:pPr>
        <w:pStyle w:val="BodyText"/>
        <w:spacing w:before="9"/>
        <w:rPr>
          <w:sz w:val="20"/>
        </w:rPr>
      </w:pPr>
    </w:p>
    <w:p>
      <w:pPr>
        <w:pStyle w:val="BodyText"/>
        <w:spacing w:line="276" w:lineRule="auto" w:before="1"/>
        <w:ind w:left="900" w:right="302"/>
        <w:jc w:val="both"/>
      </w:pPr>
      <w:r>
        <w:rPr/>
        <w:t>Below is a hypothetical MT103 message from the CHAPS technical manual issue 1.1 in the CHAPS specification of MT103 messages:</w:t>
      </w:r>
    </w:p>
    <w:p>
      <w:pPr>
        <w:pStyle w:val="BodyText"/>
        <w:spacing w:before="201"/>
        <w:ind w:left="3781" w:right="3319"/>
        <w:rPr>
          <w:rFonts w:ascii="SimSun"/>
        </w:rPr>
      </w:pPr>
      <w:r>
        <w:rPr>
          <w:rFonts w:ascii="SimSun"/>
        </w:rPr>
        <w:t>SWIFT Sender: MIDLGB22XXX SWIFT Receiver: BARCGB22XXX</w:t>
      </w:r>
    </w:p>
    <w:p>
      <w:pPr>
        <w:pStyle w:val="BodyText"/>
        <w:spacing w:before="5"/>
        <w:ind w:left="3781"/>
        <w:rPr>
          <w:rFonts w:ascii="SimSun"/>
        </w:rPr>
      </w:pPr>
      <w:r>
        <w:rPr>
          <w:rFonts w:ascii="SimSun"/>
        </w:rPr>
        <w:t>:20:394882</w:t>
      </w:r>
    </w:p>
    <w:p>
      <w:pPr>
        <w:pStyle w:val="BodyText"/>
        <w:spacing w:before="4"/>
        <w:ind w:left="3781"/>
        <w:rPr>
          <w:rFonts w:ascii="SimSun"/>
        </w:rPr>
      </w:pPr>
      <w:r>
        <w:rPr>
          <w:rFonts w:ascii="SimSun"/>
        </w:rPr>
        <w:t>:23B:CRED</w:t>
      </w:r>
    </w:p>
    <w:p>
      <w:pPr>
        <w:pStyle w:val="BodyText"/>
        <w:spacing w:before="4"/>
        <w:ind w:left="3781"/>
        <w:rPr>
          <w:rFonts w:ascii="SimSun"/>
        </w:rPr>
      </w:pPr>
      <w:r>
        <w:rPr>
          <w:rFonts w:ascii="SimSun"/>
        </w:rPr>
        <w:t>:32A:990104GBP37509,53</w:t>
      </w:r>
    </w:p>
    <w:p>
      <w:pPr>
        <w:pStyle w:val="BodyText"/>
        <w:spacing w:before="4"/>
        <w:ind w:left="3781"/>
        <w:rPr>
          <w:rFonts w:ascii="SimSun"/>
        </w:rPr>
      </w:pPr>
      <w:r>
        <w:rPr>
          <w:rFonts w:ascii="SimSun"/>
        </w:rPr>
        <w:t>:33B:GBP37509,53</w:t>
      </w:r>
    </w:p>
    <w:p>
      <w:pPr>
        <w:pStyle w:val="BodyText"/>
        <w:spacing w:before="3"/>
        <w:ind w:left="3781"/>
        <w:rPr>
          <w:rFonts w:ascii="SimSun"/>
        </w:rPr>
      </w:pPr>
      <w:r>
        <w:rPr>
          <w:rFonts w:ascii="SimSun"/>
        </w:rPr>
        <w:t>:50K:ABC PURCHASING FLEET ST</w:t>
      </w:r>
    </w:p>
    <w:p>
      <w:pPr>
        <w:pStyle w:val="BodyText"/>
        <w:spacing w:before="4"/>
        <w:ind w:left="3781"/>
        <w:rPr>
          <w:rFonts w:ascii="SimSun"/>
        </w:rPr>
      </w:pPr>
      <w:r>
        <w:rPr>
          <w:rFonts w:ascii="SimSun"/>
        </w:rPr>
        <w:t>:52A:MIDLGB22</w:t>
      </w:r>
    </w:p>
    <w:p>
      <w:pPr>
        <w:pStyle w:val="BodyText"/>
        <w:spacing w:before="4"/>
        <w:ind w:left="3781"/>
        <w:rPr>
          <w:rFonts w:ascii="SimSun"/>
        </w:rPr>
      </w:pPr>
      <w:r>
        <w:rPr>
          <w:rFonts w:ascii="SimSun"/>
        </w:rPr>
        <w:t>:57A:BARCGB2105N</w:t>
      </w:r>
    </w:p>
    <w:p>
      <w:pPr>
        <w:pStyle w:val="BodyText"/>
        <w:spacing w:before="1"/>
        <w:ind w:left="3781"/>
        <w:rPr>
          <w:rFonts w:ascii="SimSun"/>
        </w:rPr>
      </w:pPr>
      <w:r>
        <w:rPr>
          <w:rFonts w:ascii="SimSun"/>
        </w:rPr>
        <w:t>:59:/63720381 ACME WHOLESALERS LTD</w:t>
      </w:r>
      <w:r>
        <w:rPr>
          <w:rFonts w:ascii="SimSun"/>
          <w:spacing w:val="-83"/>
        </w:rPr>
        <w:t> </w:t>
      </w:r>
      <w:r>
        <w:rPr>
          <w:rFonts w:ascii="SimSun"/>
        </w:rPr>
        <w:t>LONDON</w:t>
      </w:r>
    </w:p>
    <w:p>
      <w:pPr>
        <w:pStyle w:val="BodyText"/>
        <w:spacing w:before="4"/>
        <w:ind w:left="3781"/>
        <w:rPr>
          <w:rFonts w:ascii="SimSun"/>
        </w:rPr>
      </w:pPr>
      <w:r>
        <w:rPr>
          <w:rFonts w:ascii="SimSun"/>
        </w:rPr>
        <w:t>:70:/RFB/INVOICE 559661</w:t>
      </w:r>
    </w:p>
    <w:p>
      <w:pPr>
        <w:pStyle w:val="BodyText"/>
        <w:spacing w:before="4"/>
        <w:ind w:left="3781"/>
        <w:rPr>
          <w:rFonts w:ascii="SimSun"/>
        </w:rPr>
      </w:pPr>
      <w:r>
        <w:rPr>
          <w:rFonts w:ascii="SimSun"/>
        </w:rPr>
        <w:t>:71A:OUR</w:t>
      </w:r>
    </w:p>
    <w:p>
      <w:pPr>
        <w:pStyle w:val="BodyText"/>
        <w:spacing w:line="276" w:lineRule="auto" w:before="185"/>
        <w:ind w:left="900" w:right="172"/>
        <w:jc w:val="both"/>
      </w:pPr>
      <w:r>
        <w:rPr/>
        <w:t>This represents a hypothetical payment from HSBC to Barclays Bank to credit the account of ACME Wholesalers Ltd by the sum of £37509.53 at their Cheapside Branch, in settlement of their invoice number 559661.</w:t>
      </w:r>
    </w:p>
    <w:p>
      <w:pPr>
        <w:pStyle w:val="BodyText"/>
        <w:spacing w:line="276" w:lineRule="auto" w:before="200"/>
        <w:ind w:left="900" w:right="438"/>
      </w:pPr>
      <w:r>
        <w:rPr/>
        <w:t>The field codes in the above message each have a corresponding field name. Below is a table outlining this, as well as offering an example of what might be located in some of the fields.</w:t>
      </w:r>
    </w:p>
    <w:p>
      <w:pPr>
        <w:pStyle w:val="BodyText"/>
        <w:rPr>
          <w:sz w:val="20"/>
        </w:rPr>
      </w:pPr>
    </w:p>
    <w:p>
      <w:pPr>
        <w:pStyle w:val="BodyText"/>
        <w:spacing w:before="2" w:after="1"/>
        <w:rPr>
          <w:sz w:val="16"/>
        </w:rPr>
      </w:pPr>
    </w:p>
    <w:tbl>
      <w:tblPr>
        <w:tblW w:w="0" w:type="auto"/>
        <w:jc w:val="left"/>
        <w:tblInd w:w="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9"/>
        <w:gridCol w:w="3442"/>
        <w:gridCol w:w="3562"/>
      </w:tblGrid>
      <w:tr>
        <w:trPr>
          <w:trHeight w:val="355" w:hRule="atLeast"/>
        </w:trPr>
        <w:tc>
          <w:tcPr>
            <w:tcW w:w="1229" w:type="dxa"/>
          </w:tcPr>
          <w:p>
            <w:pPr>
              <w:pStyle w:val="TableParagraph"/>
              <w:spacing w:line="274" w:lineRule="exact"/>
              <w:ind w:left="9"/>
              <w:rPr>
                <w:b/>
                <w:sz w:val="24"/>
              </w:rPr>
            </w:pPr>
            <w:r>
              <w:rPr>
                <w:b/>
                <w:sz w:val="24"/>
              </w:rPr>
              <w:t>Field code</w:t>
            </w:r>
          </w:p>
        </w:tc>
        <w:tc>
          <w:tcPr>
            <w:tcW w:w="3442" w:type="dxa"/>
          </w:tcPr>
          <w:p>
            <w:pPr>
              <w:pStyle w:val="TableParagraph"/>
              <w:spacing w:line="274" w:lineRule="exact"/>
              <w:ind w:left="1205"/>
              <w:rPr>
                <w:b/>
                <w:sz w:val="24"/>
              </w:rPr>
            </w:pPr>
            <w:r>
              <w:rPr>
                <w:b/>
                <w:sz w:val="24"/>
              </w:rPr>
              <w:t>Field name</w:t>
            </w:r>
          </w:p>
        </w:tc>
        <w:tc>
          <w:tcPr>
            <w:tcW w:w="3562" w:type="dxa"/>
          </w:tcPr>
          <w:p>
            <w:pPr>
              <w:pStyle w:val="TableParagraph"/>
              <w:spacing w:line="274" w:lineRule="exact"/>
              <w:ind w:left="418"/>
              <w:rPr>
                <w:b/>
                <w:sz w:val="24"/>
              </w:rPr>
            </w:pPr>
            <w:r>
              <w:rPr>
                <w:b/>
                <w:sz w:val="24"/>
              </w:rPr>
              <w:t>Indicative Field example</w:t>
            </w:r>
          </w:p>
        </w:tc>
      </w:tr>
      <w:tr>
        <w:trPr>
          <w:trHeight w:val="390" w:hRule="atLeast"/>
        </w:trPr>
        <w:tc>
          <w:tcPr>
            <w:tcW w:w="1229" w:type="dxa"/>
            <w:tcBorders>
              <w:bottom w:val="single" w:sz="4" w:space="0" w:color="460531"/>
            </w:tcBorders>
          </w:tcPr>
          <w:p>
            <w:pPr>
              <w:pStyle w:val="TableParagraph"/>
              <w:spacing w:line="289" w:lineRule="exact" w:before="81"/>
              <w:ind w:left="9"/>
              <w:rPr>
                <w:sz w:val="24"/>
              </w:rPr>
            </w:pPr>
            <w:r>
              <w:rPr>
                <w:sz w:val="24"/>
              </w:rPr>
              <w:t>20</w:t>
            </w:r>
          </w:p>
        </w:tc>
        <w:tc>
          <w:tcPr>
            <w:tcW w:w="3442" w:type="dxa"/>
            <w:tcBorders>
              <w:bottom w:val="single" w:sz="4" w:space="0" w:color="460531"/>
            </w:tcBorders>
          </w:tcPr>
          <w:p>
            <w:pPr>
              <w:pStyle w:val="TableParagraph"/>
              <w:spacing w:line="289" w:lineRule="exact" w:before="81"/>
              <w:ind w:left="9"/>
              <w:rPr>
                <w:sz w:val="24"/>
              </w:rPr>
            </w:pPr>
            <w:r>
              <w:rPr>
                <w:sz w:val="24"/>
              </w:rPr>
              <w:t>Transaction Reference Number</w:t>
            </w:r>
          </w:p>
        </w:tc>
        <w:tc>
          <w:tcPr>
            <w:tcW w:w="3562" w:type="dxa"/>
            <w:tcBorders>
              <w:bottom w:val="single" w:sz="4" w:space="0" w:color="460531"/>
            </w:tcBorders>
          </w:tcPr>
          <w:p>
            <w:pPr>
              <w:pStyle w:val="TableParagraph"/>
              <w:spacing w:line="240" w:lineRule="auto"/>
              <w:rPr>
                <w:rFonts w:ascii="Times New Roman"/>
                <w:sz w:val="22"/>
              </w:rPr>
            </w:pPr>
          </w:p>
        </w:tc>
      </w:tr>
      <w:tr>
        <w:trPr>
          <w:trHeight w:val="318" w:hRule="atLeast"/>
        </w:trPr>
        <w:tc>
          <w:tcPr>
            <w:tcW w:w="1229" w:type="dxa"/>
            <w:tcBorders>
              <w:top w:val="single" w:sz="4" w:space="0" w:color="460531"/>
              <w:bottom w:val="single" w:sz="4" w:space="0" w:color="460531"/>
            </w:tcBorders>
          </w:tcPr>
          <w:p>
            <w:pPr>
              <w:pStyle w:val="TableParagraph"/>
              <w:spacing w:before="7"/>
              <w:ind w:left="9"/>
              <w:rPr>
                <w:sz w:val="24"/>
              </w:rPr>
            </w:pPr>
            <w:r>
              <w:rPr>
                <w:sz w:val="24"/>
              </w:rPr>
              <w:t>13C</w:t>
            </w:r>
          </w:p>
        </w:tc>
        <w:tc>
          <w:tcPr>
            <w:tcW w:w="3442" w:type="dxa"/>
            <w:tcBorders>
              <w:top w:val="single" w:sz="4" w:space="0" w:color="460531"/>
              <w:bottom w:val="single" w:sz="4" w:space="0" w:color="460531"/>
            </w:tcBorders>
          </w:tcPr>
          <w:p>
            <w:pPr>
              <w:pStyle w:val="TableParagraph"/>
              <w:spacing w:before="7"/>
              <w:ind w:left="9"/>
              <w:rPr>
                <w:sz w:val="24"/>
              </w:rPr>
            </w:pPr>
            <w:r>
              <w:rPr>
                <w:sz w:val="24"/>
              </w:rPr>
              <w:t>Time indication</w:t>
            </w:r>
          </w:p>
        </w:tc>
        <w:tc>
          <w:tcPr>
            <w:tcW w:w="3562" w:type="dxa"/>
            <w:tcBorders>
              <w:top w:val="single" w:sz="4" w:space="0" w:color="460531"/>
              <w:bottom w:val="single" w:sz="4" w:space="0" w:color="460531"/>
            </w:tcBorders>
          </w:tcPr>
          <w:p>
            <w:pPr>
              <w:pStyle w:val="TableParagraph"/>
              <w:spacing w:before="7"/>
              <w:ind w:left="190"/>
              <w:rPr>
                <w:sz w:val="24"/>
              </w:rPr>
            </w:pPr>
            <w:r>
              <w:rPr>
                <w:sz w:val="24"/>
              </w:rPr>
              <w:t>11:14:43</w:t>
            </w:r>
          </w:p>
        </w:tc>
      </w:tr>
      <w:tr>
        <w:trPr>
          <w:trHeight w:val="355" w:hRule="atLeast"/>
        </w:trPr>
        <w:tc>
          <w:tcPr>
            <w:tcW w:w="1229" w:type="dxa"/>
            <w:tcBorders>
              <w:top w:val="single" w:sz="4" w:space="0" w:color="460531"/>
              <w:bottom w:val="single" w:sz="6" w:space="0" w:color="460531"/>
            </w:tcBorders>
          </w:tcPr>
          <w:p>
            <w:pPr>
              <w:pStyle w:val="TableParagraph"/>
              <w:spacing w:line="287" w:lineRule="exact" w:before="47"/>
              <w:ind w:left="9"/>
              <w:rPr>
                <w:sz w:val="24"/>
              </w:rPr>
            </w:pPr>
            <w:r>
              <w:rPr>
                <w:sz w:val="24"/>
              </w:rPr>
              <w:t>23B</w:t>
            </w:r>
          </w:p>
        </w:tc>
        <w:tc>
          <w:tcPr>
            <w:tcW w:w="3442" w:type="dxa"/>
            <w:tcBorders>
              <w:top w:val="single" w:sz="4" w:space="0" w:color="460531"/>
              <w:bottom w:val="single" w:sz="6" w:space="0" w:color="460531"/>
            </w:tcBorders>
          </w:tcPr>
          <w:p>
            <w:pPr>
              <w:pStyle w:val="TableParagraph"/>
              <w:spacing w:line="287" w:lineRule="exact" w:before="47"/>
              <w:ind w:left="9"/>
              <w:rPr>
                <w:sz w:val="24"/>
              </w:rPr>
            </w:pPr>
            <w:r>
              <w:rPr>
                <w:sz w:val="24"/>
              </w:rPr>
              <w:t>Bank Operation Code</w:t>
            </w:r>
          </w:p>
        </w:tc>
        <w:tc>
          <w:tcPr>
            <w:tcW w:w="3562" w:type="dxa"/>
            <w:tcBorders>
              <w:top w:val="single" w:sz="4" w:space="0" w:color="460531"/>
              <w:bottom w:val="single" w:sz="6" w:space="0" w:color="460531"/>
            </w:tcBorders>
          </w:tcPr>
          <w:p>
            <w:pPr>
              <w:pStyle w:val="TableParagraph"/>
              <w:spacing w:line="287" w:lineRule="exact" w:before="47"/>
              <w:ind w:left="190"/>
              <w:rPr>
                <w:sz w:val="24"/>
              </w:rPr>
            </w:pPr>
            <w:r>
              <w:rPr>
                <w:sz w:val="24"/>
              </w:rPr>
              <w:t>CRED</w:t>
            </w:r>
          </w:p>
        </w:tc>
      </w:tr>
      <w:tr>
        <w:trPr>
          <w:trHeight w:val="316" w:hRule="atLeast"/>
        </w:trPr>
        <w:tc>
          <w:tcPr>
            <w:tcW w:w="1229" w:type="dxa"/>
            <w:tcBorders>
              <w:top w:val="single" w:sz="6" w:space="0" w:color="460531"/>
              <w:bottom w:val="single" w:sz="4" w:space="0" w:color="460531"/>
            </w:tcBorders>
          </w:tcPr>
          <w:p>
            <w:pPr>
              <w:pStyle w:val="TableParagraph"/>
              <w:spacing w:before="4"/>
              <w:ind w:left="9"/>
              <w:rPr>
                <w:sz w:val="24"/>
              </w:rPr>
            </w:pPr>
            <w:r>
              <w:rPr>
                <w:sz w:val="24"/>
              </w:rPr>
              <w:t>23E</w:t>
            </w:r>
          </w:p>
        </w:tc>
        <w:tc>
          <w:tcPr>
            <w:tcW w:w="3442" w:type="dxa"/>
            <w:tcBorders>
              <w:top w:val="single" w:sz="6" w:space="0" w:color="460531"/>
              <w:bottom w:val="single" w:sz="4" w:space="0" w:color="460531"/>
            </w:tcBorders>
          </w:tcPr>
          <w:p>
            <w:pPr>
              <w:pStyle w:val="TableParagraph"/>
              <w:spacing w:before="4"/>
              <w:ind w:left="9"/>
              <w:rPr>
                <w:sz w:val="24"/>
              </w:rPr>
            </w:pPr>
            <w:r>
              <w:rPr>
                <w:sz w:val="24"/>
              </w:rPr>
              <w:t>Instruction Code</w:t>
            </w:r>
          </w:p>
        </w:tc>
        <w:tc>
          <w:tcPr>
            <w:tcW w:w="3562" w:type="dxa"/>
            <w:tcBorders>
              <w:top w:val="single" w:sz="6" w:space="0" w:color="460531"/>
              <w:bottom w:val="single" w:sz="4" w:space="0" w:color="460531"/>
            </w:tcBorders>
          </w:tcPr>
          <w:p>
            <w:pPr>
              <w:pStyle w:val="TableParagraph"/>
              <w:spacing w:line="240" w:lineRule="auto"/>
              <w:rPr>
                <w:rFonts w:ascii="Times New Roman"/>
                <w:sz w:val="22"/>
              </w:rPr>
            </w:pPr>
          </w:p>
        </w:tc>
      </w:tr>
      <w:tr>
        <w:trPr>
          <w:trHeight w:val="357" w:hRule="atLeast"/>
        </w:trPr>
        <w:tc>
          <w:tcPr>
            <w:tcW w:w="1229" w:type="dxa"/>
            <w:tcBorders>
              <w:top w:val="single" w:sz="4" w:space="0" w:color="460531"/>
              <w:bottom w:val="single" w:sz="4" w:space="0" w:color="460531"/>
            </w:tcBorders>
          </w:tcPr>
          <w:p>
            <w:pPr>
              <w:pStyle w:val="TableParagraph"/>
              <w:spacing w:line="289" w:lineRule="exact" w:before="48"/>
              <w:ind w:left="9"/>
              <w:rPr>
                <w:sz w:val="24"/>
              </w:rPr>
            </w:pPr>
            <w:r>
              <w:rPr>
                <w:sz w:val="24"/>
              </w:rPr>
              <w:t>26T</w:t>
            </w:r>
          </w:p>
        </w:tc>
        <w:tc>
          <w:tcPr>
            <w:tcW w:w="3442" w:type="dxa"/>
            <w:tcBorders>
              <w:top w:val="single" w:sz="4" w:space="0" w:color="460531"/>
              <w:bottom w:val="single" w:sz="4" w:space="0" w:color="460531"/>
            </w:tcBorders>
          </w:tcPr>
          <w:p>
            <w:pPr>
              <w:pStyle w:val="TableParagraph"/>
              <w:spacing w:line="289" w:lineRule="exact" w:before="48"/>
              <w:ind w:left="9"/>
              <w:rPr>
                <w:sz w:val="24"/>
              </w:rPr>
            </w:pPr>
            <w:r>
              <w:rPr>
                <w:sz w:val="24"/>
              </w:rPr>
              <w:t>Transaction Type Code</w:t>
            </w:r>
          </w:p>
        </w:tc>
        <w:tc>
          <w:tcPr>
            <w:tcW w:w="3562" w:type="dxa"/>
            <w:tcBorders>
              <w:top w:val="single" w:sz="4" w:space="0" w:color="460531"/>
              <w:bottom w:val="single" w:sz="4" w:space="0" w:color="460531"/>
            </w:tcBorders>
          </w:tcPr>
          <w:p>
            <w:pPr>
              <w:pStyle w:val="TableParagraph"/>
              <w:spacing w:line="240" w:lineRule="auto"/>
              <w:rPr>
                <w:rFonts w:ascii="Times New Roman"/>
                <w:sz w:val="22"/>
              </w:rPr>
            </w:pPr>
          </w:p>
        </w:tc>
      </w:tr>
      <w:tr>
        <w:trPr>
          <w:trHeight w:val="362" w:hRule="atLeast"/>
        </w:trPr>
        <w:tc>
          <w:tcPr>
            <w:tcW w:w="1229" w:type="dxa"/>
            <w:tcBorders>
              <w:top w:val="single" w:sz="4" w:space="0" w:color="460531"/>
              <w:bottom w:val="single" w:sz="4" w:space="0" w:color="460531"/>
            </w:tcBorders>
          </w:tcPr>
          <w:p>
            <w:pPr>
              <w:pStyle w:val="TableParagraph"/>
              <w:spacing w:before="50"/>
              <w:ind w:left="9"/>
              <w:rPr>
                <w:sz w:val="24"/>
              </w:rPr>
            </w:pPr>
            <w:r>
              <w:rPr>
                <w:sz w:val="24"/>
              </w:rPr>
              <w:t>32A</w:t>
            </w:r>
          </w:p>
        </w:tc>
        <w:tc>
          <w:tcPr>
            <w:tcW w:w="3442" w:type="dxa"/>
            <w:tcBorders>
              <w:top w:val="single" w:sz="4" w:space="0" w:color="460531"/>
              <w:bottom w:val="single" w:sz="4" w:space="0" w:color="460531"/>
            </w:tcBorders>
          </w:tcPr>
          <w:p>
            <w:pPr>
              <w:pStyle w:val="TableParagraph"/>
              <w:spacing w:before="50"/>
              <w:ind w:left="9"/>
              <w:rPr>
                <w:sz w:val="24"/>
              </w:rPr>
            </w:pPr>
            <w:r>
              <w:rPr>
                <w:sz w:val="24"/>
              </w:rPr>
              <w:t>Date, Currency Code, Amount</w:t>
            </w:r>
          </w:p>
        </w:tc>
        <w:tc>
          <w:tcPr>
            <w:tcW w:w="3562" w:type="dxa"/>
            <w:tcBorders>
              <w:top w:val="single" w:sz="4" w:space="0" w:color="460531"/>
              <w:bottom w:val="single" w:sz="4" w:space="0" w:color="460531"/>
            </w:tcBorders>
          </w:tcPr>
          <w:p>
            <w:pPr>
              <w:pStyle w:val="TableParagraph"/>
              <w:spacing w:before="50"/>
              <w:ind w:left="190"/>
              <w:rPr>
                <w:sz w:val="24"/>
              </w:rPr>
            </w:pPr>
            <w:r>
              <w:rPr>
                <w:sz w:val="24"/>
              </w:rPr>
              <w:t>08/02/2017 / GBP / 1000</w:t>
            </w:r>
          </w:p>
        </w:tc>
      </w:tr>
    </w:tbl>
    <w:p>
      <w:pPr>
        <w:pStyle w:val="BodyText"/>
        <w:spacing w:before="10"/>
        <w:rPr>
          <w:sz w:val="23"/>
        </w:rPr>
      </w:pPr>
      <w:r>
        <w:rPr/>
        <w:pict>
          <v:shape style="position:absolute;margin-left:72.024002pt;margin-top:16.02001pt;width:144.050pt;height:.1pt;mso-position-horizontal-relative:page;mso-position-vertical-relative:paragraph;z-index:-251655168;mso-wrap-distance-left:0;mso-wrap-distance-right:0" coordorigin="1440,320" coordsize="2881,0" path="m1440,320l4321,320e" filled="false" stroked="true" strokeweight=".599980pt" strokecolor="#000000">
            <v:path arrowok="t"/>
            <v:stroke dashstyle="solid"/>
            <w10:wrap type="topAndBottom"/>
          </v:shape>
        </w:pict>
      </w:r>
    </w:p>
    <w:p>
      <w:pPr>
        <w:spacing w:before="27"/>
        <w:ind w:left="900" w:right="165" w:firstLine="0"/>
        <w:jc w:val="left"/>
        <w:rPr>
          <w:sz w:val="20"/>
        </w:rPr>
      </w:pPr>
      <w:r>
        <w:rPr>
          <w:position w:val="10"/>
          <w:sz w:val="13"/>
        </w:rPr>
        <w:t>2 </w:t>
      </w:r>
      <w:r>
        <w:rPr>
          <w:sz w:val="20"/>
        </w:rPr>
        <w:t>Latest version (31/07/17) of the Technical Refernce Manual can be found at: </w:t>
      </w:r>
      <w:hyperlink r:id="rId8">
        <w:r>
          <w:rPr>
            <w:color w:val="006FC0"/>
            <w:w w:val="95"/>
            <w:sz w:val="20"/>
            <w:u w:val="single" w:color="006FC0"/>
          </w:rPr>
          <w:t>http://www.chapsco.co.uk/sites/default/files/documents/chaps_reference_manual_version_31_july_20</w:t>
        </w:r>
      </w:hyperlink>
      <w:r>
        <w:rPr>
          <w:color w:val="006FC0"/>
          <w:w w:val="95"/>
          <w:sz w:val="20"/>
        </w:rPr>
        <w:t> </w:t>
      </w:r>
      <w:hyperlink r:id="rId8">
        <w:r>
          <w:rPr>
            <w:color w:val="006FC0"/>
            <w:sz w:val="20"/>
            <w:u w:val="single" w:color="006FC0"/>
          </w:rPr>
          <w:t>17.pdf</w:t>
        </w:r>
      </w:hyperlink>
    </w:p>
    <w:p>
      <w:pPr>
        <w:spacing w:after="0"/>
        <w:jc w:val="left"/>
        <w:rPr>
          <w:sz w:val="20"/>
        </w:rPr>
        <w:sectPr>
          <w:pgSz w:w="11910" w:h="16840"/>
          <w:pgMar w:header="0" w:footer="928" w:top="1340" w:bottom="1200" w:left="540" w:right="1280"/>
        </w:sectPr>
      </w:pPr>
    </w:p>
    <w:tbl>
      <w:tblPr>
        <w:tblW w:w="0" w:type="auto"/>
        <w:jc w:val="left"/>
        <w:tblInd w:w="1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4045"/>
        <w:gridCol w:w="3371"/>
      </w:tblGrid>
      <w:tr>
        <w:trPr>
          <w:trHeight w:val="357" w:hRule="atLeast"/>
        </w:trPr>
        <w:tc>
          <w:tcPr>
            <w:tcW w:w="794" w:type="dxa"/>
            <w:tcBorders>
              <w:top w:val="single" w:sz="4" w:space="0" w:color="460531"/>
              <w:bottom w:val="single" w:sz="4" w:space="0" w:color="460531"/>
            </w:tcBorders>
          </w:tcPr>
          <w:p>
            <w:pPr>
              <w:pStyle w:val="TableParagraph"/>
              <w:spacing w:line="289" w:lineRule="exact" w:before="48"/>
              <w:rPr>
                <w:sz w:val="24"/>
              </w:rPr>
            </w:pPr>
            <w:r>
              <w:rPr>
                <w:sz w:val="24"/>
              </w:rPr>
              <w:t>33B</w:t>
            </w:r>
          </w:p>
        </w:tc>
        <w:tc>
          <w:tcPr>
            <w:tcW w:w="4045" w:type="dxa"/>
            <w:tcBorders>
              <w:top w:val="single" w:sz="4" w:space="0" w:color="460531"/>
              <w:bottom w:val="single" w:sz="4" w:space="0" w:color="460531"/>
            </w:tcBorders>
          </w:tcPr>
          <w:p>
            <w:pPr>
              <w:pStyle w:val="TableParagraph"/>
              <w:spacing w:line="289" w:lineRule="exact" w:before="48"/>
              <w:ind w:left="434"/>
              <w:rPr>
                <w:sz w:val="24"/>
              </w:rPr>
            </w:pPr>
            <w:r>
              <w:rPr>
                <w:sz w:val="24"/>
              </w:rPr>
              <w:t>Currency/Instructed Amount</w:t>
            </w:r>
          </w:p>
        </w:tc>
        <w:tc>
          <w:tcPr>
            <w:tcW w:w="3371" w:type="dxa"/>
            <w:tcBorders>
              <w:top w:val="single" w:sz="4" w:space="0" w:color="460531"/>
              <w:bottom w:val="single" w:sz="4" w:space="0" w:color="460531"/>
            </w:tcBorders>
          </w:tcPr>
          <w:p>
            <w:pPr>
              <w:pStyle w:val="TableParagraph"/>
              <w:spacing w:line="289" w:lineRule="exact" w:before="48"/>
              <w:ind w:left="12"/>
              <w:rPr>
                <w:sz w:val="24"/>
              </w:rPr>
            </w:pPr>
            <w:r>
              <w:rPr>
                <w:sz w:val="24"/>
              </w:rPr>
              <w:t>EUR / 1000</w:t>
            </w:r>
          </w:p>
        </w:tc>
      </w:tr>
      <w:tr>
        <w:trPr>
          <w:trHeight w:val="319" w:hRule="atLeast"/>
        </w:trPr>
        <w:tc>
          <w:tcPr>
            <w:tcW w:w="794" w:type="dxa"/>
            <w:tcBorders>
              <w:top w:val="single" w:sz="4" w:space="0" w:color="460531"/>
              <w:bottom w:val="single" w:sz="4" w:space="0" w:color="460531"/>
            </w:tcBorders>
          </w:tcPr>
          <w:p>
            <w:pPr>
              <w:pStyle w:val="TableParagraph"/>
              <w:spacing w:before="7"/>
              <w:rPr>
                <w:sz w:val="24"/>
              </w:rPr>
            </w:pPr>
            <w:r>
              <w:rPr>
                <w:sz w:val="24"/>
              </w:rPr>
              <w:t>36</w:t>
            </w:r>
          </w:p>
        </w:tc>
        <w:tc>
          <w:tcPr>
            <w:tcW w:w="4045" w:type="dxa"/>
            <w:tcBorders>
              <w:top w:val="single" w:sz="4" w:space="0" w:color="460531"/>
              <w:bottom w:val="single" w:sz="4" w:space="0" w:color="460531"/>
            </w:tcBorders>
          </w:tcPr>
          <w:p>
            <w:pPr>
              <w:pStyle w:val="TableParagraph"/>
              <w:spacing w:before="7"/>
              <w:ind w:left="434"/>
              <w:rPr>
                <w:sz w:val="24"/>
              </w:rPr>
            </w:pPr>
            <w:r>
              <w:rPr>
                <w:sz w:val="24"/>
              </w:rPr>
              <w:t>Exchange Rate</w:t>
            </w:r>
          </w:p>
        </w:tc>
        <w:tc>
          <w:tcPr>
            <w:tcW w:w="3371" w:type="dxa"/>
            <w:tcBorders>
              <w:top w:val="single" w:sz="4" w:space="0" w:color="460531"/>
              <w:bottom w:val="single" w:sz="4" w:space="0" w:color="460531"/>
            </w:tcBorders>
          </w:tcPr>
          <w:p>
            <w:pPr>
              <w:pStyle w:val="TableParagraph"/>
              <w:spacing w:before="7"/>
              <w:ind w:left="12"/>
              <w:rPr>
                <w:sz w:val="24"/>
              </w:rPr>
            </w:pPr>
            <w:r>
              <w:rPr>
                <w:sz w:val="24"/>
              </w:rPr>
              <w:t>0.85</w:t>
            </w:r>
          </w:p>
        </w:tc>
      </w:tr>
      <w:tr>
        <w:trPr>
          <w:trHeight w:val="318" w:hRule="atLeast"/>
        </w:trPr>
        <w:tc>
          <w:tcPr>
            <w:tcW w:w="794" w:type="dxa"/>
            <w:tcBorders>
              <w:top w:val="single" w:sz="4" w:space="0" w:color="460531"/>
              <w:bottom w:val="single" w:sz="4" w:space="0" w:color="460531"/>
            </w:tcBorders>
          </w:tcPr>
          <w:p>
            <w:pPr>
              <w:pStyle w:val="TableParagraph"/>
              <w:spacing w:before="7"/>
              <w:rPr>
                <w:sz w:val="24"/>
              </w:rPr>
            </w:pPr>
            <w:r>
              <w:rPr>
                <w:sz w:val="24"/>
              </w:rPr>
              <w:t>50A</w:t>
            </w:r>
          </w:p>
        </w:tc>
        <w:tc>
          <w:tcPr>
            <w:tcW w:w="4045" w:type="dxa"/>
            <w:tcBorders>
              <w:top w:val="single" w:sz="4" w:space="0" w:color="460531"/>
              <w:bottom w:val="single" w:sz="4" w:space="0" w:color="460531"/>
            </w:tcBorders>
          </w:tcPr>
          <w:p>
            <w:pPr>
              <w:pStyle w:val="TableParagraph"/>
              <w:spacing w:before="7"/>
              <w:ind w:left="434"/>
              <w:rPr>
                <w:sz w:val="24"/>
              </w:rPr>
            </w:pPr>
            <w:r>
              <w:rPr>
                <w:sz w:val="24"/>
              </w:rPr>
              <w:t>Ordering Customer</w:t>
            </w:r>
          </w:p>
        </w:tc>
        <w:tc>
          <w:tcPr>
            <w:tcW w:w="3371" w:type="dxa"/>
            <w:tcBorders>
              <w:top w:val="single" w:sz="4" w:space="0" w:color="460531"/>
              <w:bottom w:val="single" w:sz="4" w:space="0" w:color="460531"/>
            </w:tcBorders>
          </w:tcPr>
          <w:p>
            <w:pPr>
              <w:pStyle w:val="TableParagraph"/>
              <w:spacing w:before="7"/>
              <w:ind w:left="12"/>
              <w:rPr>
                <w:sz w:val="24"/>
              </w:rPr>
            </w:pPr>
            <w:r>
              <w:rPr>
                <w:sz w:val="24"/>
              </w:rPr>
              <w:t>[Name, address etc.]</w:t>
            </w:r>
          </w:p>
        </w:tc>
      </w:tr>
      <w:tr>
        <w:trPr>
          <w:trHeight w:val="318" w:hRule="atLeast"/>
        </w:trPr>
        <w:tc>
          <w:tcPr>
            <w:tcW w:w="794" w:type="dxa"/>
            <w:tcBorders>
              <w:top w:val="single" w:sz="4" w:space="0" w:color="460531"/>
              <w:bottom w:val="single" w:sz="4" w:space="0" w:color="460531"/>
            </w:tcBorders>
          </w:tcPr>
          <w:p>
            <w:pPr>
              <w:pStyle w:val="TableParagraph"/>
              <w:spacing w:before="7"/>
              <w:rPr>
                <w:sz w:val="24"/>
              </w:rPr>
            </w:pPr>
            <w:r>
              <w:rPr>
                <w:sz w:val="24"/>
              </w:rPr>
              <w:t>50F</w:t>
            </w:r>
          </w:p>
        </w:tc>
        <w:tc>
          <w:tcPr>
            <w:tcW w:w="4045" w:type="dxa"/>
            <w:tcBorders>
              <w:top w:val="single" w:sz="4" w:space="0" w:color="460531"/>
              <w:bottom w:val="single" w:sz="4" w:space="0" w:color="460531"/>
            </w:tcBorders>
          </w:tcPr>
          <w:p>
            <w:pPr>
              <w:pStyle w:val="TableParagraph"/>
              <w:spacing w:line="240" w:lineRule="auto"/>
              <w:rPr>
                <w:rFonts w:ascii="Times New Roman"/>
                <w:sz w:val="22"/>
              </w:rPr>
            </w:pPr>
          </w:p>
        </w:tc>
        <w:tc>
          <w:tcPr>
            <w:tcW w:w="3371" w:type="dxa"/>
            <w:tcBorders>
              <w:top w:val="single" w:sz="4" w:space="0" w:color="460531"/>
              <w:bottom w:val="single" w:sz="4" w:space="0" w:color="460531"/>
            </w:tcBorders>
          </w:tcPr>
          <w:p>
            <w:pPr>
              <w:pStyle w:val="TableParagraph"/>
              <w:spacing w:before="7"/>
              <w:ind w:left="12"/>
              <w:rPr>
                <w:sz w:val="24"/>
              </w:rPr>
            </w:pPr>
            <w:r>
              <w:rPr>
                <w:sz w:val="24"/>
              </w:rPr>
              <w:t>“”</w:t>
            </w:r>
          </w:p>
        </w:tc>
      </w:tr>
      <w:tr>
        <w:trPr>
          <w:trHeight w:val="316" w:hRule="atLeast"/>
        </w:trPr>
        <w:tc>
          <w:tcPr>
            <w:tcW w:w="794" w:type="dxa"/>
            <w:tcBorders>
              <w:top w:val="single" w:sz="4" w:space="0" w:color="460531"/>
              <w:bottom w:val="single" w:sz="4" w:space="0" w:color="460531"/>
            </w:tcBorders>
          </w:tcPr>
          <w:p>
            <w:pPr>
              <w:pStyle w:val="TableParagraph"/>
              <w:spacing w:line="289" w:lineRule="exact" w:before="7"/>
              <w:rPr>
                <w:sz w:val="24"/>
              </w:rPr>
            </w:pPr>
            <w:r>
              <w:rPr>
                <w:sz w:val="24"/>
              </w:rPr>
              <w:t>50K</w:t>
            </w:r>
          </w:p>
        </w:tc>
        <w:tc>
          <w:tcPr>
            <w:tcW w:w="4045" w:type="dxa"/>
            <w:tcBorders>
              <w:top w:val="single" w:sz="4" w:space="0" w:color="460531"/>
              <w:bottom w:val="single" w:sz="4" w:space="0" w:color="460531"/>
            </w:tcBorders>
          </w:tcPr>
          <w:p>
            <w:pPr>
              <w:pStyle w:val="TableParagraph"/>
              <w:spacing w:line="240" w:lineRule="auto"/>
              <w:rPr>
                <w:rFonts w:ascii="Times New Roman"/>
                <w:sz w:val="22"/>
              </w:rPr>
            </w:pPr>
          </w:p>
        </w:tc>
        <w:tc>
          <w:tcPr>
            <w:tcW w:w="3371" w:type="dxa"/>
            <w:tcBorders>
              <w:top w:val="single" w:sz="4" w:space="0" w:color="460531"/>
              <w:bottom w:val="single" w:sz="4" w:space="0" w:color="460531"/>
            </w:tcBorders>
          </w:tcPr>
          <w:p>
            <w:pPr>
              <w:pStyle w:val="TableParagraph"/>
              <w:spacing w:line="289" w:lineRule="exact" w:before="7"/>
              <w:ind w:left="12"/>
              <w:rPr>
                <w:sz w:val="24"/>
              </w:rPr>
            </w:pPr>
            <w:r>
              <w:rPr>
                <w:sz w:val="24"/>
              </w:rPr>
              <w:t>“”</w:t>
            </w:r>
          </w:p>
        </w:tc>
      </w:tr>
      <w:tr>
        <w:trPr>
          <w:trHeight w:val="318" w:hRule="atLeast"/>
        </w:trPr>
        <w:tc>
          <w:tcPr>
            <w:tcW w:w="794" w:type="dxa"/>
            <w:tcBorders>
              <w:top w:val="single" w:sz="4" w:space="0" w:color="460531"/>
              <w:bottom w:val="single" w:sz="4" w:space="0" w:color="460531"/>
            </w:tcBorders>
          </w:tcPr>
          <w:p>
            <w:pPr>
              <w:pStyle w:val="TableParagraph"/>
              <w:spacing w:line="289" w:lineRule="exact" w:before="9"/>
              <w:rPr>
                <w:sz w:val="24"/>
              </w:rPr>
            </w:pPr>
            <w:r>
              <w:rPr>
                <w:sz w:val="24"/>
              </w:rPr>
              <w:t>52A</w:t>
            </w:r>
          </w:p>
        </w:tc>
        <w:tc>
          <w:tcPr>
            <w:tcW w:w="4045" w:type="dxa"/>
            <w:tcBorders>
              <w:top w:val="single" w:sz="4" w:space="0" w:color="460531"/>
              <w:bottom w:val="single" w:sz="4" w:space="0" w:color="460531"/>
            </w:tcBorders>
          </w:tcPr>
          <w:p>
            <w:pPr>
              <w:pStyle w:val="TableParagraph"/>
              <w:spacing w:line="289" w:lineRule="exact" w:before="9"/>
              <w:ind w:left="434"/>
              <w:rPr>
                <w:sz w:val="24"/>
              </w:rPr>
            </w:pPr>
            <w:r>
              <w:rPr>
                <w:sz w:val="24"/>
              </w:rPr>
              <w:t>Ordering Institution</w:t>
            </w:r>
          </w:p>
        </w:tc>
        <w:tc>
          <w:tcPr>
            <w:tcW w:w="3371" w:type="dxa"/>
            <w:tcBorders>
              <w:top w:val="single" w:sz="4" w:space="0" w:color="460531"/>
              <w:bottom w:val="single" w:sz="4" w:space="0" w:color="460531"/>
            </w:tcBorders>
          </w:tcPr>
          <w:p>
            <w:pPr>
              <w:pStyle w:val="TableParagraph"/>
              <w:spacing w:line="289" w:lineRule="exact" w:before="9"/>
              <w:ind w:left="12"/>
              <w:rPr>
                <w:sz w:val="24"/>
              </w:rPr>
            </w:pPr>
            <w:r>
              <w:rPr>
                <w:sz w:val="24"/>
              </w:rPr>
              <w:t>BKENGB2LXXX</w:t>
            </w:r>
          </w:p>
        </w:tc>
      </w:tr>
      <w:tr>
        <w:trPr>
          <w:trHeight w:val="318" w:hRule="atLeast"/>
        </w:trPr>
        <w:tc>
          <w:tcPr>
            <w:tcW w:w="794" w:type="dxa"/>
            <w:tcBorders>
              <w:top w:val="single" w:sz="4" w:space="0" w:color="460531"/>
              <w:bottom w:val="single" w:sz="4" w:space="0" w:color="460531"/>
            </w:tcBorders>
          </w:tcPr>
          <w:p>
            <w:pPr>
              <w:pStyle w:val="TableParagraph"/>
              <w:spacing w:before="7"/>
              <w:rPr>
                <w:sz w:val="24"/>
              </w:rPr>
            </w:pPr>
            <w:r>
              <w:rPr>
                <w:sz w:val="24"/>
              </w:rPr>
              <w:t>52D</w:t>
            </w:r>
          </w:p>
        </w:tc>
        <w:tc>
          <w:tcPr>
            <w:tcW w:w="4045" w:type="dxa"/>
            <w:tcBorders>
              <w:top w:val="single" w:sz="4" w:space="0" w:color="460531"/>
              <w:bottom w:val="single" w:sz="4" w:space="0" w:color="460531"/>
            </w:tcBorders>
          </w:tcPr>
          <w:p>
            <w:pPr>
              <w:pStyle w:val="TableParagraph"/>
              <w:spacing w:line="240" w:lineRule="auto"/>
              <w:rPr>
                <w:rFonts w:ascii="Times New Roman"/>
                <w:sz w:val="22"/>
              </w:rPr>
            </w:pPr>
          </w:p>
        </w:tc>
        <w:tc>
          <w:tcPr>
            <w:tcW w:w="3371" w:type="dxa"/>
            <w:tcBorders>
              <w:top w:val="single" w:sz="4" w:space="0" w:color="460531"/>
              <w:bottom w:val="single" w:sz="4" w:space="0" w:color="460531"/>
            </w:tcBorders>
          </w:tcPr>
          <w:p>
            <w:pPr>
              <w:pStyle w:val="TableParagraph"/>
              <w:spacing w:line="240" w:lineRule="auto"/>
              <w:rPr>
                <w:rFonts w:ascii="Times New Roman"/>
                <w:sz w:val="22"/>
              </w:rPr>
            </w:pPr>
          </w:p>
        </w:tc>
      </w:tr>
      <w:tr>
        <w:trPr>
          <w:trHeight w:val="318" w:hRule="atLeast"/>
        </w:trPr>
        <w:tc>
          <w:tcPr>
            <w:tcW w:w="794" w:type="dxa"/>
            <w:tcBorders>
              <w:top w:val="single" w:sz="4" w:space="0" w:color="460531"/>
              <w:bottom w:val="single" w:sz="4" w:space="0" w:color="460531"/>
            </w:tcBorders>
          </w:tcPr>
          <w:p>
            <w:pPr>
              <w:pStyle w:val="TableParagraph"/>
              <w:spacing w:before="7"/>
              <w:rPr>
                <w:sz w:val="24"/>
              </w:rPr>
            </w:pPr>
            <w:r>
              <w:rPr>
                <w:sz w:val="24"/>
              </w:rPr>
              <w:t>56A</w:t>
            </w:r>
          </w:p>
        </w:tc>
        <w:tc>
          <w:tcPr>
            <w:tcW w:w="4045" w:type="dxa"/>
            <w:tcBorders>
              <w:top w:val="single" w:sz="4" w:space="0" w:color="460531"/>
              <w:bottom w:val="single" w:sz="4" w:space="0" w:color="460531"/>
            </w:tcBorders>
          </w:tcPr>
          <w:p>
            <w:pPr>
              <w:pStyle w:val="TableParagraph"/>
              <w:spacing w:before="7"/>
              <w:ind w:left="434"/>
              <w:rPr>
                <w:sz w:val="24"/>
              </w:rPr>
            </w:pPr>
            <w:r>
              <w:rPr>
                <w:sz w:val="24"/>
              </w:rPr>
              <w:t>Intermediary</w:t>
            </w:r>
          </w:p>
        </w:tc>
        <w:tc>
          <w:tcPr>
            <w:tcW w:w="3371" w:type="dxa"/>
            <w:tcBorders>
              <w:top w:val="single" w:sz="4" w:space="0" w:color="460531"/>
              <w:bottom w:val="single" w:sz="4" w:space="0" w:color="460531"/>
            </w:tcBorders>
          </w:tcPr>
          <w:p>
            <w:pPr>
              <w:pStyle w:val="TableParagraph"/>
              <w:spacing w:before="7"/>
              <w:ind w:left="12"/>
              <w:rPr>
                <w:sz w:val="24"/>
              </w:rPr>
            </w:pPr>
            <w:r>
              <w:rPr>
                <w:sz w:val="24"/>
              </w:rPr>
              <w:t>CITIGB2LXXX</w:t>
            </w:r>
          </w:p>
        </w:tc>
      </w:tr>
      <w:tr>
        <w:trPr>
          <w:trHeight w:val="318" w:hRule="atLeast"/>
        </w:trPr>
        <w:tc>
          <w:tcPr>
            <w:tcW w:w="794" w:type="dxa"/>
            <w:tcBorders>
              <w:top w:val="single" w:sz="4" w:space="0" w:color="460531"/>
              <w:bottom w:val="single" w:sz="4" w:space="0" w:color="460531"/>
            </w:tcBorders>
          </w:tcPr>
          <w:p>
            <w:pPr>
              <w:pStyle w:val="TableParagraph"/>
              <w:spacing w:before="7"/>
              <w:rPr>
                <w:sz w:val="24"/>
              </w:rPr>
            </w:pPr>
            <w:r>
              <w:rPr>
                <w:sz w:val="24"/>
              </w:rPr>
              <w:t>56D</w:t>
            </w:r>
          </w:p>
        </w:tc>
        <w:tc>
          <w:tcPr>
            <w:tcW w:w="4045" w:type="dxa"/>
            <w:tcBorders>
              <w:top w:val="single" w:sz="4" w:space="0" w:color="460531"/>
              <w:bottom w:val="single" w:sz="4" w:space="0" w:color="460531"/>
            </w:tcBorders>
          </w:tcPr>
          <w:p>
            <w:pPr>
              <w:pStyle w:val="TableParagraph"/>
              <w:spacing w:line="240" w:lineRule="auto"/>
              <w:rPr>
                <w:rFonts w:ascii="Times New Roman"/>
                <w:sz w:val="22"/>
              </w:rPr>
            </w:pPr>
          </w:p>
        </w:tc>
        <w:tc>
          <w:tcPr>
            <w:tcW w:w="3371" w:type="dxa"/>
            <w:tcBorders>
              <w:top w:val="single" w:sz="4" w:space="0" w:color="460531"/>
              <w:bottom w:val="single" w:sz="4" w:space="0" w:color="460531"/>
            </w:tcBorders>
          </w:tcPr>
          <w:p>
            <w:pPr>
              <w:pStyle w:val="TableParagraph"/>
              <w:spacing w:line="240" w:lineRule="auto"/>
              <w:rPr>
                <w:rFonts w:ascii="Times New Roman"/>
                <w:sz w:val="22"/>
              </w:rPr>
            </w:pPr>
          </w:p>
        </w:tc>
      </w:tr>
      <w:tr>
        <w:trPr>
          <w:trHeight w:val="357" w:hRule="atLeast"/>
        </w:trPr>
        <w:tc>
          <w:tcPr>
            <w:tcW w:w="794" w:type="dxa"/>
            <w:tcBorders>
              <w:top w:val="single" w:sz="4" w:space="0" w:color="460531"/>
              <w:bottom w:val="single" w:sz="4" w:space="0" w:color="460531"/>
            </w:tcBorders>
          </w:tcPr>
          <w:p>
            <w:pPr>
              <w:pStyle w:val="TableParagraph"/>
              <w:spacing w:before="45"/>
              <w:rPr>
                <w:sz w:val="24"/>
              </w:rPr>
            </w:pPr>
            <w:r>
              <w:rPr>
                <w:sz w:val="24"/>
              </w:rPr>
              <w:t>57A</w:t>
            </w:r>
          </w:p>
        </w:tc>
        <w:tc>
          <w:tcPr>
            <w:tcW w:w="4045" w:type="dxa"/>
            <w:tcBorders>
              <w:top w:val="single" w:sz="4" w:space="0" w:color="460531"/>
              <w:bottom w:val="single" w:sz="4" w:space="0" w:color="460531"/>
            </w:tcBorders>
          </w:tcPr>
          <w:p>
            <w:pPr>
              <w:pStyle w:val="TableParagraph"/>
              <w:spacing w:before="45"/>
              <w:ind w:left="434"/>
              <w:rPr>
                <w:sz w:val="24"/>
              </w:rPr>
            </w:pPr>
            <w:r>
              <w:rPr>
                <w:sz w:val="24"/>
              </w:rPr>
              <w:t>Account With Institution</w:t>
            </w:r>
          </w:p>
        </w:tc>
        <w:tc>
          <w:tcPr>
            <w:tcW w:w="3371" w:type="dxa"/>
            <w:tcBorders>
              <w:top w:val="single" w:sz="4" w:space="0" w:color="460531"/>
              <w:bottom w:val="single" w:sz="4" w:space="0" w:color="460531"/>
            </w:tcBorders>
          </w:tcPr>
          <w:p>
            <w:pPr>
              <w:pStyle w:val="TableParagraph"/>
              <w:spacing w:before="45"/>
              <w:ind w:left="12"/>
              <w:rPr>
                <w:sz w:val="24"/>
              </w:rPr>
            </w:pPr>
            <w:r>
              <w:rPr>
                <w:sz w:val="24"/>
              </w:rPr>
              <w:t>SC / 10-00-00 BKENGB2LXXX</w:t>
            </w:r>
          </w:p>
        </w:tc>
      </w:tr>
      <w:tr>
        <w:trPr>
          <w:trHeight w:val="318" w:hRule="atLeast"/>
        </w:trPr>
        <w:tc>
          <w:tcPr>
            <w:tcW w:w="794" w:type="dxa"/>
            <w:tcBorders>
              <w:top w:val="single" w:sz="4" w:space="0" w:color="460531"/>
              <w:bottom w:val="single" w:sz="4" w:space="0" w:color="460531"/>
            </w:tcBorders>
          </w:tcPr>
          <w:p>
            <w:pPr>
              <w:pStyle w:val="TableParagraph"/>
              <w:spacing w:before="7"/>
              <w:rPr>
                <w:sz w:val="24"/>
              </w:rPr>
            </w:pPr>
            <w:r>
              <w:rPr>
                <w:sz w:val="24"/>
              </w:rPr>
              <w:t>57D</w:t>
            </w:r>
          </w:p>
        </w:tc>
        <w:tc>
          <w:tcPr>
            <w:tcW w:w="4045" w:type="dxa"/>
            <w:tcBorders>
              <w:top w:val="single" w:sz="4" w:space="0" w:color="460531"/>
              <w:bottom w:val="single" w:sz="4" w:space="0" w:color="460531"/>
            </w:tcBorders>
          </w:tcPr>
          <w:p>
            <w:pPr>
              <w:pStyle w:val="TableParagraph"/>
              <w:spacing w:line="240" w:lineRule="auto"/>
              <w:rPr>
                <w:rFonts w:ascii="Times New Roman"/>
                <w:sz w:val="22"/>
              </w:rPr>
            </w:pPr>
          </w:p>
        </w:tc>
        <w:tc>
          <w:tcPr>
            <w:tcW w:w="3371" w:type="dxa"/>
            <w:tcBorders>
              <w:top w:val="single" w:sz="4" w:space="0" w:color="460531"/>
              <w:bottom w:val="single" w:sz="4" w:space="0" w:color="460531"/>
            </w:tcBorders>
          </w:tcPr>
          <w:p>
            <w:pPr>
              <w:pStyle w:val="TableParagraph"/>
              <w:spacing w:line="240" w:lineRule="auto"/>
              <w:rPr>
                <w:rFonts w:ascii="Times New Roman"/>
                <w:sz w:val="22"/>
              </w:rPr>
            </w:pPr>
          </w:p>
        </w:tc>
      </w:tr>
      <w:tr>
        <w:trPr>
          <w:trHeight w:val="357" w:hRule="atLeast"/>
        </w:trPr>
        <w:tc>
          <w:tcPr>
            <w:tcW w:w="794" w:type="dxa"/>
            <w:tcBorders>
              <w:top w:val="single" w:sz="4" w:space="0" w:color="460531"/>
              <w:bottom w:val="single" w:sz="4" w:space="0" w:color="460531"/>
            </w:tcBorders>
          </w:tcPr>
          <w:p>
            <w:pPr>
              <w:pStyle w:val="TableParagraph"/>
              <w:spacing w:before="45"/>
              <w:rPr>
                <w:sz w:val="24"/>
              </w:rPr>
            </w:pPr>
            <w:r>
              <w:rPr>
                <w:sz w:val="24"/>
              </w:rPr>
              <w:t>59</w:t>
            </w:r>
          </w:p>
        </w:tc>
        <w:tc>
          <w:tcPr>
            <w:tcW w:w="4045" w:type="dxa"/>
            <w:tcBorders>
              <w:top w:val="single" w:sz="4" w:space="0" w:color="460531"/>
              <w:bottom w:val="single" w:sz="4" w:space="0" w:color="460531"/>
            </w:tcBorders>
          </w:tcPr>
          <w:p>
            <w:pPr>
              <w:pStyle w:val="TableParagraph"/>
              <w:spacing w:before="45"/>
              <w:ind w:left="434"/>
              <w:rPr>
                <w:sz w:val="24"/>
              </w:rPr>
            </w:pPr>
            <w:r>
              <w:rPr>
                <w:sz w:val="24"/>
              </w:rPr>
              <w:t>Beneficiary Customer</w:t>
            </w:r>
          </w:p>
        </w:tc>
        <w:tc>
          <w:tcPr>
            <w:tcW w:w="3371" w:type="dxa"/>
            <w:tcBorders>
              <w:top w:val="single" w:sz="4" w:space="0" w:color="460531"/>
              <w:bottom w:val="single" w:sz="4" w:space="0" w:color="460531"/>
            </w:tcBorders>
          </w:tcPr>
          <w:p>
            <w:pPr>
              <w:pStyle w:val="TableParagraph"/>
              <w:spacing w:before="45"/>
              <w:ind w:left="12"/>
              <w:rPr>
                <w:sz w:val="24"/>
              </w:rPr>
            </w:pPr>
            <w:r>
              <w:rPr>
                <w:sz w:val="24"/>
              </w:rPr>
              <w:t>[Name, address etc.]</w:t>
            </w:r>
          </w:p>
        </w:tc>
      </w:tr>
      <w:tr>
        <w:trPr>
          <w:trHeight w:val="319" w:hRule="atLeast"/>
        </w:trPr>
        <w:tc>
          <w:tcPr>
            <w:tcW w:w="794" w:type="dxa"/>
            <w:tcBorders>
              <w:top w:val="single" w:sz="4" w:space="0" w:color="460531"/>
              <w:bottom w:val="single" w:sz="4" w:space="0" w:color="460531"/>
            </w:tcBorders>
          </w:tcPr>
          <w:p>
            <w:pPr>
              <w:pStyle w:val="TableParagraph"/>
              <w:spacing w:before="7"/>
              <w:rPr>
                <w:sz w:val="24"/>
              </w:rPr>
            </w:pPr>
            <w:r>
              <w:rPr>
                <w:sz w:val="24"/>
              </w:rPr>
              <w:t>59A</w:t>
            </w:r>
          </w:p>
        </w:tc>
        <w:tc>
          <w:tcPr>
            <w:tcW w:w="4045" w:type="dxa"/>
            <w:tcBorders>
              <w:top w:val="single" w:sz="4" w:space="0" w:color="460531"/>
              <w:bottom w:val="single" w:sz="4" w:space="0" w:color="460531"/>
            </w:tcBorders>
          </w:tcPr>
          <w:p>
            <w:pPr>
              <w:pStyle w:val="TableParagraph"/>
              <w:spacing w:line="240" w:lineRule="auto"/>
              <w:rPr>
                <w:rFonts w:ascii="Times New Roman"/>
                <w:sz w:val="22"/>
              </w:rPr>
            </w:pPr>
          </w:p>
        </w:tc>
        <w:tc>
          <w:tcPr>
            <w:tcW w:w="3371" w:type="dxa"/>
            <w:tcBorders>
              <w:top w:val="single" w:sz="4" w:space="0" w:color="460531"/>
              <w:bottom w:val="single" w:sz="4" w:space="0" w:color="460531"/>
            </w:tcBorders>
          </w:tcPr>
          <w:p>
            <w:pPr>
              <w:pStyle w:val="TableParagraph"/>
              <w:spacing w:before="7"/>
              <w:ind w:left="12"/>
              <w:rPr>
                <w:sz w:val="24"/>
              </w:rPr>
            </w:pPr>
            <w:r>
              <w:rPr>
                <w:sz w:val="24"/>
              </w:rPr>
              <w:t>“”</w:t>
            </w:r>
          </w:p>
        </w:tc>
      </w:tr>
      <w:tr>
        <w:trPr>
          <w:trHeight w:val="472" w:hRule="atLeast"/>
        </w:trPr>
        <w:tc>
          <w:tcPr>
            <w:tcW w:w="794" w:type="dxa"/>
            <w:tcBorders>
              <w:top w:val="single" w:sz="4" w:space="0" w:color="460531"/>
              <w:bottom w:val="single" w:sz="4" w:space="0" w:color="460531"/>
            </w:tcBorders>
          </w:tcPr>
          <w:p>
            <w:pPr>
              <w:pStyle w:val="TableParagraph"/>
              <w:spacing w:before="160"/>
              <w:rPr>
                <w:sz w:val="24"/>
              </w:rPr>
            </w:pPr>
            <w:r>
              <w:rPr>
                <w:sz w:val="24"/>
              </w:rPr>
              <w:t>70</w:t>
            </w:r>
          </w:p>
        </w:tc>
        <w:tc>
          <w:tcPr>
            <w:tcW w:w="4045" w:type="dxa"/>
            <w:tcBorders>
              <w:top w:val="single" w:sz="4" w:space="0" w:color="460531"/>
              <w:bottom w:val="single" w:sz="4" w:space="0" w:color="460531"/>
            </w:tcBorders>
          </w:tcPr>
          <w:p>
            <w:pPr>
              <w:pStyle w:val="TableParagraph"/>
              <w:spacing w:before="160"/>
              <w:ind w:left="434"/>
              <w:rPr>
                <w:sz w:val="24"/>
              </w:rPr>
            </w:pPr>
            <w:r>
              <w:rPr>
                <w:sz w:val="24"/>
              </w:rPr>
              <w:t>Remittance Information</w:t>
            </w:r>
          </w:p>
        </w:tc>
        <w:tc>
          <w:tcPr>
            <w:tcW w:w="3371" w:type="dxa"/>
            <w:tcBorders>
              <w:top w:val="single" w:sz="4" w:space="0" w:color="460531"/>
              <w:bottom w:val="single" w:sz="4" w:space="0" w:color="460531"/>
            </w:tcBorders>
          </w:tcPr>
          <w:p>
            <w:pPr>
              <w:pStyle w:val="TableParagraph"/>
              <w:spacing w:before="160"/>
              <w:ind w:left="12" w:right="-15"/>
              <w:rPr>
                <w:sz w:val="24"/>
              </w:rPr>
            </w:pPr>
            <w:r>
              <w:rPr>
                <w:sz w:val="24"/>
              </w:rPr>
              <w:t>INV12345 , HOME RENT, Import</w:t>
            </w:r>
          </w:p>
        </w:tc>
      </w:tr>
      <w:tr>
        <w:trPr>
          <w:trHeight w:val="318" w:hRule="atLeast"/>
        </w:trPr>
        <w:tc>
          <w:tcPr>
            <w:tcW w:w="794" w:type="dxa"/>
            <w:tcBorders>
              <w:top w:val="single" w:sz="4" w:space="0" w:color="460531"/>
              <w:bottom w:val="single" w:sz="4" w:space="0" w:color="460531"/>
            </w:tcBorders>
          </w:tcPr>
          <w:p>
            <w:pPr>
              <w:pStyle w:val="TableParagraph"/>
              <w:spacing w:before="7"/>
              <w:rPr>
                <w:sz w:val="24"/>
              </w:rPr>
            </w:pPr>
            <w:r>
              <w:rPr>
                <w:sz w:val="24"/>
              </w:rPr>
              <w:t>71A</w:t>
            </w:r>
          </w:p>
        </w:tc>
        <w:tc>
          <w:tcPr>
            <w:tcW w:w="4045" w:type="dxa"/>
            <w:tcBorders>
              <w:top w:val="single" w:sz="4" w:space="0" w:color="460531"/>
              <w:bottom w:val="single" w:sz="4" w:space="0" w:color="460531"/>
            </w:tcBorders>
          </w:tcPr>
          <w:p>
            <w:pPr>
              <w:pStyle w:val="TableParagraph"/>
              <w:spacing w:before="7"/>
              <w:ind w:left="434"/>
              <w:rPr>
                <w:sz w:val="24"/>
              </w:rPr>
            </w:pPr>
            <w:r>
              <w:rPr>
                <w:sz w:val="24"/>
              </w:rPr>
              <w:t>Details of Charges</w:t>
            </w:r>
          </w:p>
        </w:tc>
        <w:tc>
          <w:tcPr>
            <w:tcW w:w="3371" w:type="dxa"/>
            <w:tcBorders>
              <w:top w:val="single" w:sz="4" w:space="0" w:color="460531"/>
              <w:bottom w:val="single" w:sz="4" w:space="0" w:color="460531"/>
            </w:tcBorders>
          </w:tcPr>
          <w:p>
            <w:pPr>
              <w:pStyle w:val="TableParagraph"/>
              <w:spacing w:before="7"/>
              <w:ind w:left="12"/>
              <w:rPr>
                <w:sz w:val="24"/>
              </w:rPr>
            </w:pPr>
            <w:r>
              <w:rPr>
                <w:sz w:val="24"/>
              </w:rPr>
              <w:t>OUR</w:t>
            </w:r>
          </w:p>
        </w:tc>
      </w:tr>
      <w:tr>
        <w:trPr>
          <w:trHeight w:val="318" w:hRule="atLeast"/>
        </w:trPr>
        <w:tc>
          <w:tcPr>
            <w:tcW w:w="794" w:type="dxa"/>
            <w:tcBorders>
              <w:top w:val="single" w:sz="4" w:space="0" w:color="460531"/>
              <w:bottom w:val="single" w:sz="4" w:space="0" w:color="460531"/>
            </w:tcBorders>
          </w:tcPr>
          <w:p>
            <w:pPr>
              <w:pStyle w:val="TableParagraph"/>
              <w:spacing w:before="7"/>
              <w:rPr>
                <w:sz w:val="24"/>
              </w:rPr>
            </w:pPr>
            <w:r>
              <w:rPr>
                <w:sz w:val="24"/>
              </w:rPr>
              <w:t>71F</w:t>
            </w:r>
          </w:p>
        </w:tc>
        <w:tc>
          <w:tcPr>
            <w:tcW w:w="4045" w:type="dxa"/>
            <w:tcBorders>
              <w:top w:val="single" w:sz="4" w:space="0" w:color="460531"/>
              <w:bottom w:val="single" w:sz="4" w:space="0" w:color="460531"/>
            </w:tcBorders>
          </w:tcPr>
          <w:p>
            <w:pPr>
              <w:pStyle w:val="TableParagraph"/>
              <w:spacing w:before="7"/>
              <w:ind w:left="434"/>
              <w:rPr>
                <w:sz w:val="24"/>
              </w:rPr>
            </w:pPr>
            <w:r>
              <w:rPr>
                <w:sz w:val="24"/>
              </w:rPr>
              <w:t>Sender’s Charges</w:t>
            </w:r>
          </w:p>
        </w:tc>
        <w:tc>
          <w:tcPr>
            <w:tcW w:w="3371" w:type="dxa"/>
            <w:tcBorders>
              <w:top w:val="single" w:sz="4" w:space="0" w:color="460531"/>
              <w:bottom w:val="single" w:sz="4" w:space="0" w:color="460531"/>
            </w:tcBorders>
          </w:tcPr>
          <w:p>
            <w:pPr>
              <w:pStyle w:val="TableParagraph"/>
              <w:spacing w:before="7"/>
              <w:ind w:left="12"/>
              <w:rPr>
                <w:sz w:val="24"/>
              </w:rPr>
            </w:pPr>
            <w:r>
              <w:rPr>
                <w:sz w:val="24"/>
              </w:rPr>
              <w:t>GBP 10,00</w:t>
            </w:r>
          </w:p>
        </w:tc>
      </w:tr>
      <w:tr>
        <w:trPr>
          <w:trHeight w:val="316" w:hRule="atLeast"/>
        </w:trPr>
        <w:tc>
          <w:tcPr>
            <w:tcW w:w="794" w:type="dxa"/>
            <w:tcBorders>
              <w:top w:val="single" w:sz="4" w:space="0" w:color="460531"/>
              <w:bottom w:val="single" w:sz="4" w:space="0" w:color="460531"/>
            </w:tcBorders>
          </w:tcPr>
          <w:p>
            <w:pPr>
              <w:pStyle w:val="TableParagraph"/>
              <w:spacing w:line="289" w:lineRule="exact" w:before="7"/>
              <w:rPr>
                <w:sz w:val="24"/>
              </w:rPr>
            </w:pPr>
            <w:r>
              <w:rPr>
                <w:sz w:val="24"/>
              </w:rPr>
              <w:t>71G</w:t>
            </w:r>
          </w:p>
        </w:tc>
        <w:tc>
          <w:tcPr>
            <w:tcW w:w="4045" w:type="dxa"/>
            <w:tcBorders>
              <w:top w:val="single" w:sz="4" w:space="0" w:color="460531"/>
              <w:bottom w:val="single" w:sz="4" w:space="0" w:color="460531"/>
            </w:tcBorders>
          </w:tcPr>
          <w:p>
            <w:pPr>
              <w:pStyle w:val="TableParagraph"/>
              <w:spacing w:line="289" w:lineRule="exact" w:before="7"/>
              <w:ind w:left="434"/>
              <w:rPr>
                <w:sz w:val="24"/>
              </w:rPr>
            </w:pPr>
            <w:r>
              <w:rPr>
                <w:sz w:val="24"/>
              </w:rPr>
              <w:t>Receiver’s Charges</w:t>
            </w:r>
          </w:p>
        </w:tc>
        <w:tc>
          <w:tcPr>
            <w:tcW w:w="3371" w:type="dxa"/>
            <w:tcBorders>
              <w:top w:val="single" w:sz="4" w:space="0" w:color="460531"/>
              <w:bottom w:val="single" w:sz="4" w:space="0" w:color="460531"/>
            </w:tcBorders>
          </w:tcPr>
          <w:p>
            <w:pPr>
              <w:pStyle w:val="TableParagraph"/>
              <w:spacing w:line="289" w:lineRule="exact" w:before="7"/>
              <w:ind w:left="12"/>
              <w:rPr>
                <w:sz w:val="24"/>
              </w:rPr>
            </w:pPr>
            <w:r>
              <w:rPr>
                <w:sz w:val="24"/>
              </w:rPr>
              <w:t>GBP 0,00</w:t>
            </w:r>
          </w:p>
        </w:tc>
      </w:tr>
      <w:tr>
        <w:trPr>
          <w:trHeight w:val="474" w:hRule="atLeast"/>
        </w:trPr>
        <w:tc>
          <w:tcPr>
            <w:tcW w:w="794" w:type="dxa"/>
            <w:tcBorders>
              <w:top w:val="single" w:sz="4" w:space="0" w:color="460531"/>
              <w:bottom w:val="single" w:sz="4" w:space="0" w:color="460531"/>
            </w:tcBorders>
          </w:tcPr>
          <w:p>
            <w:pPr>
              <w:pStyle w:val="TableParagraph"/>
              <w:spacing w:before="163"/>
              <w:rPr>
                <w:sz w:val="24"/>
              </w:rPr>
            </w:pPr>
            <w:r>
              <w:rPr>
                <w:sz w:val="24"/>
              </w:rPr>
              <w:t>72</w:t>
            </w:r>
          </w:p>
        </w:tc>
        <w:tc>
          <w:tcPr>
            <w:tcW w:w="4045" w:type="dxa"/>
            <w:tcBorders>
              <w:top w:val="single" w:sz="4" w:space="0" w:color="460531"/>
              <w:bottom w:val="single" w:sz="4" w:space="0" w:color="460531"/>
            </w:tcBorders>
          </w:tcPr>
          <w:p>
            <w:pPr>
              <w:pStyle w:val="TableParagraph"/>
              <w:spacing w:before="163"/>
              <w:ind w:left="434"/>
              <w:rPr>
                <w:sz w:val="24"/>
              </w:rPr>
            </w:pPr>
            <w:r>
              <w:rPr>
                <w:sz w:val="24"/>
              </w:rPr>
              <w:t>Sender to Receiver Information</w:t>
            </w:r>
          </w:p>
        </w:tc>
        <w:tc>
          <w:tcPr>
            <w:tcW w:w="3371" w:type="dxa"/>
            <w:tcBorders>
              <w:top w:val="single" w:sz="4" w:space="0" w:color="460531"/>
              <w:bottom w:val="single" w:sz="4" w:space="0" w:color="460531"/>
            </w:tcBorders>
          </w:tcPr>
          <w:p>
            <w:pPr>
              <w:pStyle w:val="TableParagraph"/>
              <w:spacing w:before="163"/>
              <w:ind w:left="12" w:right="-15"/>
              <w:rPr>
                <w:sz w:val="24"/>
              </w:rPr>
            </w:pPr>
            <w:r>
              <w:rPr>
                <w:sz w:val="24"/>
              </w:rPr>
              <w:t>/ACC2347104701 / CITIGB2LXXX</w:t>
            </w:r>
          </w:p>
        </w:tc>
      </w:tr>
      <w:tr>
        <w:trPr>
          <w:trHeight w:val="319" w:hRule="atLeast"/>
        </w:trPr>
        <w:tc>
          <w:tcPr>
            <w:tcW w:w="794" w:type="dxa"/>
            <w:tcBorders>
              <w:top w:val="single" w:sz="4" w:space="0" w:color="460531"/>
            </w:tcBorders>
          </w:tcPr>
          <w:p>
            <w:pPr>
              <w:pStyle w:val="TableParagraph"/>
              <w:spacing w:line="254" w:lineRule="exact" w:before="45"/>
              <w:rPr>
                <w:sz w:val="24"/>
              </w:rPr>
            </w:pPr>
            <w:r>
              <w:rPr>
                <w:sz w:val="24"/>
              </w:rPr>
              <w:t>77B</w:t>
            </w:r>
          </w:p>
        </w:tc>
        <w:tc>
          <w:tcPr>
            <w:tcW w:w="4045" w:type="dxa"/>
            <w:tcBorders>
              <w:top w:val="single" w:sz="4" w:space="0" w:color="460531"/>
            </w:tcBorders>
          </w:tcPr>
          <w:p>
            <w:pPr>
              <w:pStyle w:val="TableParagraph"/>
              <w:spacing w:line="254" w:lineRule="exact" w:before="45"/>
              <w:ind w:left="434"/>
              <w:rPr>
                <w:sz w:val="24"/>
              </w:rPr>
            </w:pPr>
            <w:r>
              <w:rPr>
                <w:sz w:val="24"/>
              </w:rPr>
              <w:t>Regulatory Reporting</w:t>
            </w:r>
          </w:p>
        </w:tc>
        <w:tc>
          <w:tcPr>
            <w:tcW w:w="3371" w:type="dxa"/>
            <w:tcBorders>
              <w:top w:val="single" w:sz="4" w:space="0" w:color="460531"/>
            </w:tcBorders>
          </w:tcPr>
          <w:p>
            <w:pPr>
              <w:pStyle w:val="TableParagraph"/>
              <w:spacing w:line="254" w:lineRule="exact" w:before="45"/>
              <w:ind w:left="12"/>
              <w:rPr>
                <w:sz w:val="24"/>
              </w:rPr>
            </w:pPr>
            <w:r>
              <w:rPr>
                <w:sz w:val="24"/>
              </w:rPr>
              <w:t>/CODECODE1234</w:t>
            </w:r>
          </w:p>
        </w:tc>
      </w:tr>
    </w:tbl>
    <w:p>
      <w:pPr>
        <w:pStyle w:val="BodyText"/>
        <w:rPr>
          <w:sz w:val="20"/>
        </w:rPr>
      </w:pPr>
    </w:p>
    <w:p>
      <w:pPr>
        <w:pStyle w:val="BodyText"/>
        <w:spacing w:before="5"/>
        <w:rPr>
          <w:sz w:val="19"/>
        </w:rPr>
      </w:pPr>
    </w:p>
    <w:p>
      <w:pPr>
        <w:pStyle w:val="BodyText"/>
        <w:spacing w:line="276" w:lineRule="auto" w:before="93"/>
        <w:ind w:left="900" w:right="206"/>
      </w:pPr>
      <w:r>
        <w:rPr/>
        <w:t>As is evident from the above table, some fields are structured in nature. For instance, the 71A field (details of charges) must be completed with one of: OUR/ SHA/BEN. Other fields are mostly unstructured in nature, which involve a free text format, such as the remittance information field.</w:t>
      </w:r>
    </w:p>
    <w:p>
      <w:pPr>
        <w:pStyle w:val="BodyText"/>
        <w:spacing w:line="276" w:lineRule="auto" w:before="200"/>
        <w:ind w:left="900" w:right="475"/>
      </w:pPr>
      <w:r>
        <w:rPr/>
        <w:t>In CHAPS messages themselves, there are other fields available than those listed above, and are related to the processing of the payment, rather than the payment in itself. These involve the following fields: STP flag, message reference, message priority (urgent/non- urgent), and message input number in RTGS.</w:t>
      </w:r>
    </w:p>
    <w:p>
      <w:pPr>
        <w:pStyle w:val="BodyText"/>
        <w:rPr>
          <w:sz w:val="24"/>
        </w:rPr>
      </w:pPr>
    </w:p>
    <w:p>
      <w:pPr>
        <w:pStyle w:val="BodyText"/>
        <w:spacing w:before="11"/>
        <w:rPr>
          <w:sz w:val="35"/>
        </w:rPr>
      </w:pPr>
    </w:p>
    <w:p>
      <w:pPr>
        <w:pStyle w:val="Heading2"/>
      </w:pPr>
      <w:r>
        <w:rPr>
          <w:color w:val="777877"/>
        </w:rPr>
        <w:t>Information Carried in MT202</w:t>
      </w:r>
    </w:p>
    <w:p>
      <w:pPr>
        <w:pStyle w:val="BodyText"/>
        <w:spacing w:before="9"/>
        <w:rPr>
          <w:b/>
          <w:sz w:val="20"/>
        </w:rPr>
      </w:pPr>
    </w:p>
    <w:p>
      <w:pPr>
        <w:pStyle w:val="BodyText"/>
        <w:ind w:left="900"/>
      </w:pPr>
      <w:r>
        <w:rPr/>
        <w:t>MT202s are financial institution to financial institution payments.</w:t>
      </w:r>
    </w:p>
    <w:p>
      <w:pPr>
        <w:pStyle w:val="BodyText"/>
        <w:spacing w:before="8"/>
        <w:rPr>
          <w:sz w:val="28"/>
        </w:rPr>
      </w:pPr>
    </w:p>
    <w:p>
      <w:pPr>
        <w:pStyle w:val="BodyText"/>
        <w:spacing w:line="276" w:lineRule="auto"/>
        <w:ind w:left="900" w:right="292"/>
      </w:pPr>
      <w:r>
        <w:rPr/>
        <w:t>Below is a hypothetical MT202 message from the CHAPS technical manual issue 1.1 in the CHAPS specification of MT202 messages:</w:t>
      </w:r>
    </w:p>
    <w:p>
      <w:pPr>
        <w:pStyle w:val="BodyText"/>
        <w:spacing w:before="202"/>
        <w:ind w:left="4023"/>
        <w:rPr>
          <w:rFonts w:ascii="SimSun"/>
        </w:rPr>
      </w:pPr>
      <w:r>
        <w:rPr>
          <w:rFonts w:ascii="SimSun"/>
        </w:rPr>
        <w:t>SWIFT Sender: LOYDGB2L</w:t>
      </w:r>
    </w:p>
    <w:p>
      <w:pPr>
        <w:pStyle w:val="BodyText"/>
        <w:spacing w:before="45"/>
        <w:ind w:left="4023"/>
        <w:rPr>
          <w:rFonts w:ascii="SimSun"/>
        </w:rPr>
      </w:pPr>
      <w:r>
        <w:rPr>
          <w:rFonts w:ascii="SimSun"/>
        </w:rPr>
        <w:t>SWIFT Receiver: NWBKGB2L</w:t>
      </w:r>
    </w:p>
    <w:p>
      <w:pPr>
        <w:pStyle w:val="BodyText"/>
        <w:spacing w:before="47"/>
        <w:ind w:left="4023"/>
        <w:rPr>
          <w:rFonts w:ascii="SimSun"/>
        </w:rPr>
      </w:pPr>
      <w:r>
        <w:rPr>
          <w:rFonts w:ascii="SimSun"/>
        </w:rPr>
        <w:t>:20:990105/CB/157321</w:t>
      </w:r>
    </w:p>
    <w:p>
      <w:pPr>
        <w:pStyle w:val="BodyText"/>
        <w:spacing w:before="46"/>
        <w:ind w:left="4023"/>
        <w:rPr>
          <w:rFonts w:ascii="SimSun"/>
        </w:rPr>
      </w:pPr>
      <w:r>
        <w:rPr>
          <w:rFonts w:ascii="SimSun"/>
        </w:rPr>
        <w:t>:21:CHAS332451SBCO33</w:t>
      </w:r>
    </w:p>
    <w:p>
      <w:pPr>
        <w:pStyle w:val="BodyText"/>
        <w:spacing w:before="45"/>
        <w:ind w:left="4023"/>
        <w:rPr>
          <w:rFonts w:ascii="SimSun"/>
        </w:rPr>
      </w:pPr>
      <w:r>
        <w:rPr>
          <w:rFonts w:ascii="SimSun"/>
        </w:rPr>
        <w:t>:32A:990105GBP10000000,</w:t>
      </w:r>
    </w:p>
    <w:p>
      <w:pPr>
        <w:spacing w:after="0"/>
        <w:rPr>
          <w:rFonts w:ascii="SimSun"/>
        </w:rPr>
        <w:sectPr>
          <w:pgSz w:w="11910" w:h="16840"/>
          <w:pgMar w:header="0" w:footer="928" w:top="1420" w:bottom="1200" w:left="540" w:right="1280"/>
        </w:sectPr>
      </w:pPr>
    </w:p>
    <w:p>
      <w:pPr>
        <w:pStyle w:val="BodyText"/>
        <w:spacing w:before="40"/>
        <w:ind w:left="4008" w:right="4612"/>
        <w:jc w:val="center"/>
        <w:rPr>
          <w:rFonts w:ascii="SimSun"/>
        </w:rPr>
      </w:pPr>
      <w:r>
        <w:rPr>
          <w:rFonts w:ascii="SimSun"/>
        </w:rPr>
        <w:t>:52A:CHASUS33</w:t>
      </w:r>
    </w:p>
    <w:p>
      <w:pPr>
        <w:pStyle w:val="BodyText"/>
        <w:spacing w:before="47"/>
        <w:ind w:left="4008" w:right="4612"/>
        <w:jc w:val="center"/>
        <w:rPr>
          <w:rFonts w:ascii="SimSun"/>
        </w:rPr>
      </w:pPr>
      <w:r>
        <w:rPr>
          <w:rFonts w:ascii="SimSun"/>
        </w:rPr>
        <w:t>:58A:SBCOUS33</w:t>
      </w:r>
    </w:p>
    <w:p>
      <w:pPr>
        <w:pStyle w:val="BodyText"/>
        <w:spacing w:before="1"/>
        <w:rPr>
          <w:rFonts w:ascii="SimSun"/>
          <w:sz w:val="29"/>
        </w:rPr>
      </w:pPr>
    </w:p>
    <w:p>
      <w:pPr>
        <w:pStyle w:val="BodyText"/>
        <w:spacing w:line="276" w:lineRule="auto"/>
        <w:ind w:left="900" w:right="390"/>
      </w:pPr>
      <w:r>
        <w:rPr/>
        <w:t>This represents Chase Manhattan instructing their UK correspondent, Lloyds Bank, to pay funds to Swiss Bank Corporation’s account with NatWest Bank in settlement of an FX deal with common deal reference of CHAS332451SBCO33. The example shows the payment which Lloyds send to CHAPS.</w:t>
      </w:r>
    </w:p>
    <w:p>
      <w:pPr>
        <w:pStyle w:val="BodyText"/>
        <w:spacing w:before="3"/>
        <w:rPr>
          <w:sz w:val="25"/>
        </w:rPr>
      </w:pPr>
    </w:p>
    <w:p>
      <w:pPr>
        <w:pStyle w:val="BodyText"/>
        <w:ind w:left="900"/>
      </w:pPr>
      <w:r>
        <w:rPr/>
        <w:t>Below shows the fields involved in an MT202 payment:</w:t>
      </w:r>
    </w:p>
    <w:p>
      <w:pPr>
        <w:pStyle w:val="BodyText"/>
        <w:spacing w:before="3"/>
      </w:pPr>
    </w:p>
    <w:tbl>
      <w:tblPr>
        <w:tblW w:w="0" w:type="auto"/>
        <w:jc w:val="left"/>
        <w:tblInd w:w="16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0"/>
        <w:gridCol w:w="3321"/>
        <w:gridCol w:w="2984"/>
      </w:tblGrid>
      <w:tr>
        <w:trPr>
          <w:trHeight w:val="353" w:hRule="atLeast"/>
        </w:trPr>
        <w:tc>
          <w:tcPr>
            <w:tcW w:w="1230" w:type="dxa"/>
          </w:tcPr>
          <w:p>
            <w:pPr>
              <w:pStyle w:val="TableParagraph"/>
              <w:spacing w:line="274" w:lineRule="exact"/>
              <w:ind w:left="10"/>
              <w:rPr>
                <w:b/>
                <w:sz w:val="24"/>
              </w:rPr>
            </w:pPr>
            <w:r>
              <w:rPr>
                <w:b/>
                <w:sz w:val="24"/>
              </w:rPr>
              <w:t>Field code</w:t>
            </w:r>
          </w:p>
        </w:tc>
        <w:tc>
          <w:tcPr>
            <w:tcW w:w="3321" w:type="dxa"/>
          </w:tcPr>
          <w:p>
            <w:pPr>
              <w:pStyle w:val="TableParagraph"/>
              <w:spacing w:line="274" w:lineRule="exact"/>
              <w:ind w:left="1087"/>
              <w:rPr>
                <w:b/>
                <w:sz w:val="24"/>
              </w:rPr>
            </w:pPr>
            <w:r>
              <w:rPr>
                <w:b/>
                <w:sz w:val="24"/>
              </w:rPr>
              <w:t>Field name</w:t>
            </w:r>
          </w:p>
        </w:tc>
        <w:tc>
          <w:tcPr>
            <w:tcW w:w="2984" w:type="dxa"/>
          </w:tcPr>
          <w:p>
            <w:pPr>
              <w:pStyle w:val="TableParagraph"/>
              <w:spacing w:line="274" w:lineRule="exact"/>
              <w:ind w:left="70"/>
              <w:rPr>
                <w:b/>
                <w:sz w:val="24"/>
              </w:rPr>
            </w:pPr>
            <w:r>
              <w:rPr>
                <w:b/>
                <w:sz w:val="24"/>
              </w:rPr>
              <w:t>Indicative Field example</w:t>
            </w:r>
          </w:p>
        </w:tc>
      </w:tr>
      <w:tr>
        <w:trPr>
          <w:trHeight w:val="392" w:hRule="atLeast"/>
        </w:trPr>
        <w:tc>
          <w:tcPr>
            <w:tcW w:w="1230" w:type="dxa"/>
            <w:tcBorders>
              <w:bottom w:val="single" w:sz="4" w:space="0" w:color="460531"/>
            </w:tcBorders>
          </w:tcPr>
          <w:p>
            <w:pPr>
              <w:pStyle w:val="TableParagraph"/>
              <w:spacing w:before="80"/>
              <w:ind w:left="10"/>
              <w:rPr>
                <w:sz w:val="24"/>
              </w:rPr>
            </w:pPr>
            <w:r>
              <w:rPr>
                <w:sz w:val="24"/>
              </w:rPr>
              <w:t>20</w:t>
            </w:r>
          </w:p>
        </w:tc>
        <w:tc>
          <w:tcPr>
            <w:tcW w:w="6305" w:type="dxa"/>
            <w:gridSpan w:val="2"/>
            <w:tcBorders>
              <w:bottom w:val="single" w:sz="4" w:space="0" w:color="460531"/>
            </w:tcBorders>
          </w:tcPr>
          <w:p>
            <w:pPr>
              <w:pStyle w:val="TableParagraph"/>
              <w:spacing w:before="80"/>
              <w:ind w:left="11"/>
              <w:rPr>
                <w:sz w:val="24"/>
              </w:rPr>
            </w:pPr>
            <w:r>
              <w:rPr>
                <w:sz w:val="24"/>
              </w:rPr>
              <w:t>Transaction Reference Number</w:t>
            </w:r>
          </w:p>
        </w:tc>
      </w:tr>
      <w:tr>
        <w:trPr>
          <w:trHeight w:val="318" w:hRule="atLeast"/>
        </w:trPr>
        <w:tc>
          <w:tcPr>
            <w:tcW w:w="1230" w:type="dxa"/>
            <w:tcBorders>
              <w:top w:val="single" w:sz="4" w:space="0" w:color="460531"/>
              <w:bottom w:val="single" w:sz="4" w:space="0" w:color="460531"/>
            </w:tcBorders>
          </w:tcPr>
          <w:p>
            <w:pPr>
              <w:pStyle w:val="TableParagraph"/>
              <w:spacing w:before="7"/>
              <w:ind w:left="10"/>
              <w:rPr>
                <w:sz w:val="24"/>
              </w:rPr>
            </w:pPr>
            <w:r>
              <w:rPr>
                <w:sz w:val="24"/>
              </w:rPr>
              <w:t>21</w:t>
            </w:r>
          </w:p>
        </w:tc>
        <w:tc>
          <w:tcPr>
            <w:tcW w:w="3321" w:type="dxa"/>
            <w:tcBorders>
              <w:top w:val="single" w:sz="4" w:space="0" w:color="460531"/>
              <w:bottom w:val="single" w:sz="4" w:space="0" w:color="460531"/>
            </w:tcBorders>
          </w:tcPr>
          <w:p>
            <w:pPr>
              <w:pStyle w:val="TableParagraph"/>
              <w:spacing w:before="7"/>
              <w:ind w:left="11"/>
              <w:rPr>
                <w:sz w:val="24"/>
              </w:rPr>
            </w:pPr>
            <w:r>
              <w:rPr>
                <w:sz w:val="24"/>
              </w:rPr>
              <w:t>Related reference</w:t>
            </w:r>
          </w:p>
        </w:tc>
        <w:tc>
          <w:tcPr>
            <w:tcW w:w="2984" w:type="dxa"/>
            <w:tcBorders>
              <w:top w:val="single" w:sz="4" w:space="0" w:color="460531"/>
              <w:bottom w:val="single" w:sz="4" w:space="0" w:color="460531"/>
            </w:tcBorders>
          </w:tcPr>
          <w:p>
            <w:pPr>
              <w:pStyle w:val="TableParagraph"/>
              <w:spacing w:before="7"/>
              <w:ind w:left="70"/>
              <w:rPr>
                <w:sz w:val="24"/>
              </w:rPr>
            </w:pPr>
            <w:r>
              <w:rPr>
                <w:sz w:val="24"/>
              </w:rPr>
              <w:t>Inv.13213 / ref 131299A</w:t>
            </w:r>
          </w:p>
        </w:tc>
      </w:tr>
      <w:tr>
        <w:trPr>
          <w:trHeight w:val="360" w:hRule="atLeast"/>
        </w:trPr>
        <w:tc>
          <w:tcPr>
            <w:tcW w:w="1230" w:type="dxa"/>
            <w:tcBorders>
              <w:top w:val="single" w:sz="4" w:space="0" w:color="460531"/>
              <w:bottom w:val="single" w:sz="4" w:space="0" w:color="460531"/>
            </w:tcBorders>
          </w:tcPr>
          <w:p>
            <w:pPr>
              <w:pStyle w:val="TableParagraph"/>
              <w:spacing w:line="289" w:lineRule="exact" w:before="50"/>
              <w:ind w:left="10"/>
              <w:rPr>
                <w:sz w:val="24"/>
              </w:rPr>
            </w:pPr>
            <w:r>
              <w:rPr>
                <w:sz w:val="24"/>
              </w:rPr>
              <w:t>32A</w:t>
            </w:r>
          </w:p>
        </w:tc>
        <w:tc>
          <w:tcPr>
            <w:tcW w:w="3321" w:type="dxa"/>
            <w:tcBorders>
              <w:top w:val="single" w:sz="4" w:space="0" w:color="460531"/>
              <w:bottom w:val="single" w:sz="4" w:space="0" w:color="460531"/>
            </w:tcBorders>
          </w:tcPr>
          <w:p>
            <w:pPr>
              <w:pStyle w:val="TableParagraph"/>
              <w:spacing w:line="289" w:lineRule="exact" w:before="50"/>
              <w:ind w:left="11"/>
              <w:rPr>
                <w:sz w:val="24"/>
              </w:rPr>
            </w:pPr>
            <w:r>
              <w:rPr>
                <w:sz w:val="24"/>
              </w:rPr>
              <w:t>Date, Currency Code, Amount</w:t>
            </w:r>
          </w:p>
        </w:tc>
        <w:tc>
          <w:tcPr>
            <w:tcW w:w="2984" w:type="dxa"/>
            <w:tcBorders>
              <w:top w:val="single" w:sz="4" w:space="0" w:color="460531"/>
              <w:bottom w:val="single" w:sz="4" w:space="0" w:color="460531"/>
            </w:tcBorders>
          </w:tcPr>
          <w:p>
            <w:pPr>
              <w:pStyle w:val="TableParagraph"/>
              <w:spacing w:line="289" w:lineRule="exact" w:before="50"/>
              <w:ind w:left="70"/>
              <w:rPr>
                <w:sz w:val="24"/>
              </w:rPr>
            </w:pPr>
            <w:r>
              <w:rPr>
                <w:sz w:val="24"/>
              </w:rPr>
              <w:t>08/02/2017 / GBP / 1000</w:t>
            </w:r>
          </w:p>
        </w:tc>
      </w:tr>
      <w:tr>
        <w:trPr>
          <w:trHeight w:val="318" w:hRule="atLeast"/>
        </w:trPr>
        <w:tc>
          <w:tcPr>
            <w:tcW w:w="1230" w:type="dxa"/>
            <w:tcBorders>
              <w:top w:val="single" w:sz="4" w:space="0" w:color="460531"/>
              <w:bottom w:val="single" w:sz="4" w:space="0" w:color="460531"/>
            </w:tcBorders>
          </w:tcPr>
          <w:p>
            <w:pPr>
              <w:pStyle w:val="TableParagraph"/>
              <w:spacing w:before="7"/>
              <w:ind w:left="10"/>
              <w:rPr>
                <w:sz w:val="24"/>
              </w:rPr>
            </w:pPr>
            <w:r>
              <w:rPr>
                <w:sz w:val="24"/>
              </w:rPr>
              <w:t>52A</w:t>
            </w:r>
          </w:p>
        </w:tc>
        <w:tc>
          <w:tcPr>
            <w:tcW w:w="3321" w:type="dxa"/>
            <w:tcBorders>
              <w:top w:val="single" w:sz="4" w:space="0" w:color="460531"/>
              <w:bottom w:val="single" w:sz="4" w:space="0" w:color="460531"/>
            </w:tcBorders>
          </w:tcPr>
          <w:p>
            <w:pPr>
              <w:pStyle w:val="TableParagraph"/>
              <w:spacing w:before="7"/>
              <w:ind w:left="11"/>
              <w:rPr>
                <w:sz w:val="24"/>
              </w:rPr>
            </w:pPr>
            <w:r>
              <w:rPr>
                <w:sz w:val="24"/>
              </w:rPr>
              <w:t>Ordering Institution</w:t>
            </w:r>
          </w:p>
        </w:tc>
        <w:tc>
          <w:tcPr>
            <w:tcW w:w="2984" w:type="dxa"/>
            <w:tcBorders>
              <w:top w:val="single" w:sz="4" w:space="0" w:color="460531"/>
              <w:bottom w:val="single" w:sz="4" w:space="0" w:color="460531"/>
            </w:tcBorders>
          </w:tcPr>
          <w:p>
            <w:pPr>
              <w:pStyle w:val="TableParagraph"/>
              <w:spacing w:before="7"/>
              <w:ind w:left="70"/>
              <w:rPr>
                <w:sz w:val="24"/>
              </w:rPr>
            </w:pPr>
            <w:r>
              <w:rPr>
                <w:sz w:val="24"/>
              </w:rPr>
              <w:t>BKENGB2LXXX</w:t>
            </w:r>
          </w:p>
        </w:tc>
      </w:tr>
      <w:tr>
        <w:trPr>
          <w:trHeight w:val="318" w:hRule="atLeast"/>
        </w:trPr>
        <w:tc>
          <w:tcPr>
            <w:tcW w:w="1230" w:type="dxa"/>
            <w:tcBorders>
              <w:top w:val="single" w:sz="4" w:space="0" w:color="460531"/>
              <w:bottom w:val="single" w:sz="4" w:space="0" w:color="460531"/>
            </w:tcBorders>
          </w:tcPr>
          <w:p>
            <w:pPr>
              <w:pStyle w:val="TableParagraph"/>
              <w:spacing w:before="7"/>
              <w:ind w:left="10"/>
              <w:rPr>
                <w:sz w:val="24"/>
              </w:rPr>
            </w:pPr>
            <w:r>
              <w:rPr>
                <w:sz w:val="24"/>
              </w:rPr>
              <w:t>58A</w:t>
            </w:r>
          </w:p>
        </w:tc>
        <w:tc>
          <w:tcPr>
            <w:tcW w:w="3321" w:type="dxa"/>
            <w:tcBorders>
              <w:top w:val="single" w:sz="4" w:space="0" w:color="460531"/>
              <w:bottom w:val="single" w:sz="4" w:space="0" w:color="460531"/>
            </w:tcBorders>
          </w:tcPr>
          <w:p>
            <w:pPr>
              <w:pStyle w:val="TableParagraph"/>
              <w:spacing w:before="7"/>
              <w:ind w:left="11"/>
              <w:rPr>
                <w:sz w:val="24"/>
              </w:rPr>
            </w:pPr>
            <w:r>
              <w:rPr>
                <w:sz w:val="24"/>
              </w:rPr>
              <w:t>Beneficiary Institution</w:t>
            </w:r>
          </w:p>
        </w:tc>
        <w:tc>
          <w:tcPr>
            <w:tcW w:w="2984" w:type="dxa"/>
            <w:tcBorders>
              <w:top w:val="single" w:sz="4" w:space="0" w:color="460531"/>
              <w:bottom w:val="single" w:sz="4" w:space="0" w:color="460531"/>
            </w:tcBorders>
          </w:tcPr>
          <w:p>
            <w:pPr>
              <w:pStyle w:val="TableParagraph"/>
              <w:spacing w:before="7"/>
              <w:ind w:left="70"/>
              <w:rPr>
                <w:sz w:val="24"/>
              </w:rPr>
            </w:pPr>
            <w:r>
              <w:rPr>
                <w:sz w:val="24"/>
              </w:rPr>
              <w:t>NWBKGB2L567</w:t>
            </w:r>
          </w:p>
        </w:tc>
      </w:tr>
    </w:tbl>
    <w:p>
      <w:pPr>
        <w:pStyle w:val="BodyText"/>
        <w:rPr>
          <w:sz w:val="24"/>
        </w:rPr>
      </w:pPr>
    </w:p>
    <w:p>
      <w:pPr>
        <w:pStyle w:val="BodyText"/>
        <w:rPr>
          <w:sz w:val="24"/>
        </w:rPr>
      </w:pPr>
    </w:p>
    <w:p>
      <w:pPr>
        <w:pStyle w:val="BodyText"/>
        <w:spacing w:before="8"/>
      </w:pPr>
    </w:p>
    <w:p>
      <w:pPr>
        <w:pStyle w:val="Heading2"/>
      </w:pPr>
      <w:r>
        <w:rPr>
          <w:color w:val="777877"/>
        </w:rPr>
        <w:t>Information Carried in MT202COV</w:t>
      </w:r>
    </w:p>
    <w:p>
      <w:pPr>
        <w:pStyle w:val="BodyText"/>
        <w:rPr>
          <w:b/>
          <w:sz w:val="21"/>
        </w:rPr>
      </w:pPr>
    </w:p>
    <w:p>
      <w:pPr>
        <w:pStyle w:val="BodyText"/>
        <w:spacing w:line="276" w:lineRule="auto"/>
        <w:ind w:left="900" w:right="181"/>
      </w:pPr>
      <w:r>
        <w:rPr/>
        <w:t>Following on from the 2007 publication of payment transparency standards by the Wolfsberg Group</w:t>
      </w:r>
      <w:r>
        <w:rPr>
          <w:vertAlign w:val="superscript"/>
        </w:rPr>
        <w:t>3</w:t>
      </w:r>
      <w:r>
        <w:rPr>
          <w:vertAlign w:val="baseline"/>
        </w:rPr>
        <w:t>, there was a change to the MT202 message. This is known as the ‘MT202COV’ message that was introduced as part of an update to SWIFT standards in 2009. This aimed to improve transparency in correspondent banking payments with the goal of ensuring better compliance with global AML regulation. Below shows the additional fields present in MT202COVs as opposed to MT202s:</w:t>
      </w:r>
    </w:p>
    <w:p>
      <w:pPr>
        <w:pStyle w:val="BodyText"/>
        <w:spacing w:before="5"/>
        <w:rPr>
          <w:sz w:val="20"/>
        </w:rPr>
      </w:pPr>
    </w:p>
    <w:tbl>
      <w:tblPr>
        <w:tblW w:w="0" w:type="auto"/>
        <w:jc w:val="left"/>
        <w:tblInd w:w="11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36"/>
        <w:gridCol w:w="5137"/>
      </w:tblGrid>
      <w:tr>
        <w:trPr>
          <w:trHeight w:val="278" w:hRule="atLeast"/>
        </w:trPr>
        <w:tc>
          <w:tcPr>
            <w:tcW w:w="3336" w:type="dxa"/>
            <w:tcBorders>
              <w:bottom w:val="single" w:sz="4" w:space="0" w:color="460531"/>
            </w:tcBorders>
          </w:tcPr>
          <w:p>
            <w:pPr>
              <w:pStyle w:val="TableParagraph"/>
              <w:spacing w:line="258" w:lineRule="exact"/>
              <w:ind w:left="108"/>
              <w:rPr>
                <w:b/>
                <w:sz w:val="24"/>
              </w:rPr>
            </w:pPr>
            <w:r>
              <w:rPr>
                <w:b/>
                <w:sz w:val="24"/>
              </w:rPr>
              <w:t>CHAPS field name</w:t>
            </w:r>
          </w:p>
        </w:tc>
        <w:tc>
          <w:tcPr>
            <w:tcW w:w="5137" w:type="dxa"/>
            <w:tcBorders>
              <w:bottom w:val="single" w:sz="4" w:space="0" w:color="460531"/>
            </w:tcBorders>
          </w:tcPr>
          <w:p>
            <w:pPr>
              <w:pStyle w:val="TableParagraph"/>
              <w:spacing w:line="258" w:lineRule="exact"/>
              <w:ind w:left="1116"/>
              <w:rPr>
                <w:b/>
                <w:sz w:val="24"/>
              </w:rPr>
            </w:pPr>
            <w:r>
              <w:rPr>
                <w:b/>
                <w:sz w:val="24"/>
              </w:rPr>
              <w:t>Indicative Field example</w:t>
            </w:r>
          </w:p>
        </w:tc>
      </w:tr>
      <w:tr>
        <w:trPr>
          <w:trHeight w:val="311" w:hRule="atLeast"/>
        </w:trPr>
        <w:tc>
          <w:tcPr>
            <w:tcW w:w="3336" w:type="dxa"/>
            <w:tcBorders>
              <w:top w:val="single" w:sz="4" w:space="0" w:color="460531"/>
              <w:bottom w:val="single" w:sz="4" w:space="0" w:color="460531"/>
            </w:tcBorders>
          </w:tcPr>
          <w:p>
            <w:pPr>
              <w:pStyle w:val="TableParagraph"/>
              <w:ind w:left="108"/>
              <w:rPr>
                <w:sz w:val="24"/>
              </w:rPr>
            </w:pPr>
            <w:r>
              <w:rPr>
                <w:sz w:val="24"/>
              </w:rPr>
              <w:t>Instructed_Amount_COV</w:t>
            </w:r>
          </w:p>
        </w:tc>
        <w:tc>
          <w:tcPr>
            <w:tcW w:w="5137" w:type="dxa"/>
            <w:tcBorders>
              <w:top w:val="single" w:sz="4" w:space="0" w:color="460531"/>
              <w:bottom w:val="single" w:sz="4" w:space="0" w:color="460531"/>
            </w:tcBorders>
          </w:tcPr>
          <w:p>
            <w:pPr>
              <w:pStyle w:val="TableParagraph"/>
              <w:ind w:left="108"/>
              <w:rPr>
                <w:sz w:val="24"/>
              </w:rPr>
            </w:pPr>
            <w:r>
              <w:rPr>
                <w:sz w:val="24"/>
              </w:rPr>
              <w:t>1234</w:t>
            </w:r>
          </w:p>
        </w:tc>
      </w:tr>
      <w:tr>
        <w:trPr>
          <w:trHeight w:val="311" w:hRule="atLeast"/>
        </w:trPr>
        <w:tc>
          <w:tcPr>
            <w:tcW w:w="3336" w:type="dxa"/>
            <w:tcBorders>
              <w:top w:val="single" w:sz="4" w:space="0" w:color="460531"/>
              <w:bottom w:val="single" w:sz="4" w:space="0" w:color="460531"/>
            </w:tcBorders>
          </w:tcPr>
          <w:p>
            <w:pPr>
              <w:pStyle w:val="TableParagraph"/>
              <w:ind w:left="108"/>
              <w:rPr>
                <w:sz w:val="24"/>
              </w:rPr>
            </w:pPr>
            <w:r>
              <w:rPr>
                <w:sz w:val="24"/>
              </w:rPr>
              <w:t>Instructed_Currency_COV</w:t>
            </w:r>
          </w:p>
        </w:tc>
        <w:tc>
          <w:tcPr>
            <w:tcW w:w="5137" w:type="dxa"/>
            <w:tcBorders>
              <w:top w:val="single" w:sz="4" w:space="0" w:color="460531"/>
              <w:bottom w:val="single" w:sz="4" w:space="0" w:color="460531"/>
            </w:tcBorders>
          </w:tcPr>
          <w:p>
            <w:pPr>
              <w:pStyle w:val="TableParagraph"/>
              <w:ind w:left="108"/>
              <w:rPr>
                <w:sz w:val="24"/>
              </w:rPr>
            </w:pPr>
            <w:r>
              <w:rPr>
                <w:sz w:val="24"/>
              </w:rPr>
              <w:t>GBP</w:t>
            </w:r>
          </w:p>
        </w:tc>
      </w:tr>
      <w:tr>
        <w:trPr>
          <w:trHeight w:val="621" w:hRule="atLeast"/>
        </w:trPr>
        <w:tc>
          <w:tcPr>
            <w:tcW w:w="3336" w:type="dxa"/>
            <w:tcBorders>
              <w:top w:val="single" w:sz="4" w:space="0" w:color="460531"/>
              <w:bottom w:val="single" w:sz="4" w:space="0" w:color="460531"/>
            </w:tcBorders>
          </w:tcPr>
          <w:p>
            <w:pPr>
              <w:pStyle w:val="TableParagraph"/>
              <w:spacing w:line="240" w:lineRule="auto" w:before="1"/>
              <w:rPr>
                <w:rFonts w:ascii="Arial"/>
                <w:sz w:val="27"/>
              </w:rPr>
            </w:pPr>
          </w:p>
          <w:p>
            <w:pPr>
              <w:pStyle w:val="TableParagraph"/>
              <w:spacing w:line="289" w:lineRule="exact"/>
              <w:ind w:left="108"/>
              <w:rPr>
                <w:sz w:val="24"/>
              </w:rPr>
            </w:pPr>
            <w:r>
              <w:rPr>
                <w:sz w:val="24"/>
              </w:rPr>
              <w:t>OrderingCustomer_COV</w:t>
            </w:r>
          </w:p>
        </w:tc>
        <w:tc>
          <w:tcPr>
            <w:tcW w:w="5137" w:type="dxa"/>
            <w:tcBorders>
              <w:top w:val="single" w:sz="4" w:space="0" w:color="460531"/>
              <w:bottom w:val="single" w:sz="4" w:space="0" w:color="460531"/>
            </w:tcBorders>
          </w:tcPr>
          <w:p>
            <w:pPr>
              <w:pStyle w:val="TableParagraph"/>
              <w:spacing w:line="240" w:lineRule="auto"/>
              <w:ind w:left="108"/>
              <w:rPr>
                <w:sz w:val="24"/>
              </w:rPr>
            </w:pPr>
            <w:r>
              <w:rPr>
                <w:sz w:val="24"/>
              </w:rPr>
              <w:t>/123456789B Sample Company Ltd.</w:t>
            </w:r>
          </w:p>
          <w:p>
            <w:pPr>
              <w:pStyle w:val="TableParagraph"/>
              <w:spacing w:line="289" w:lineRule="exact" w:before="4"/>
              <w:ind w:left="108"/>
              <w:rPr>
                <w:sz w:val="24"/>
              </w:rPr>
            </w:pPr>
            <w:r>
              <w:rPr>
                <w:sz w:val="24"/>
              </w:rPr>
              <w:t>1 Main Street, London, EC2R</w:t>
            </w:r>
            <w:r>
              <w:rPr>
                <w:spacing w:val="1"/>
                <w:sz w:val="24"/>
              </w:rPr>
              <w:t> </w:t>
            </w:r>
            <w:r>
              <w:rPr>
                <w:sz w:val="24"/>
              </w:rPr>
              <w:t>ABC</w:t>
            </w:r>
          </w:p>
        </w:tc>
      </w:tr>
      <w:tr>
        <w:trPr>
          <w:trHeight w:val="623" w:hRule="atLeast"/>
        </w:trPr>
        <w:tc>
          <w:tcPr>
            <w:tcW w:w="3336" w:type="dxa"/>
            <w:tcBorders>
              <w:top w:val="single" w:sz="4" w:space="0" w:color="460531"/>
              <w:bottom w:val="single" w:sz="4" w:space="0" w:color="460531"/>
            </w:tcBorders>
          </w:tcPr>
          <w:p>
            <w:pPr>
              <w:pStyle w:val="TableParagraph"/>
              <w:spacing w:line="240" w:lineRule="auto" w:before="1"/>
              <w:rPr>
                <w:rFonts w:ascii="Arial"/>
                <w:sz w:val="27"/>
              </w:rPr>
            </w:pPr>
          </w:p>
          <w:p>
            <w:pPr>
              <w:pStyle w:val="TableParagraph"/>
              <w:ind w:left="108"/>
              <w:rPr>
                <w:sz w:val="24"/>
              </w:rPr>
            </w:pPr>
            <w:r>
              <w:rPr>
                <w:sz w:val="24"/>
              </w:rPr>
              <w:t>BeneficiaryCustomer_COV</w:t>
            </w:r>
          </w:p>
        </w:tc>
        <w:tc>
          <w:tcPr>
            <w:tcW w:w="5137" w:type="dxa"/>
            <w:tcBorders>
              <w:top w:val="single" w:sz="4" w:space="0" w:color="460531"/>
              <w:bottom w:val="single" w:sz="4" w:space="0" w:color="460531"/>
            </w:tcBorders>
          </w:tcPr>
          <w:p>
            <w:pPr>
              <w:pStyle w:val="TableParagraph"/>
              <w:spacing w:line="310" w:lineRule="atLeast"/>
              <w:ind w:left="108" w:right="809"/>
              <w:rPr>
                <w:sz w:val="24"/>
              </w:rPr>
            </w:pPr>
            <w:r>
              <w:rPr>
                <w:sz w:val="24"/>
              </w:rPr>
              <w:t>/234567C Test Organisation. 1 First Street, Hong Kong, ABCDEF</w:t>
            </w:r>
          </w:p>
        </w:tc>
      </w:tr>
      <w:tr>
        <w:trPr>
          <w:trHeight w:val="311" w:hRule="atLeast"/>
        </w:trPr>
        <w:tc>
          <w:tcPr>
            <w:tcW w:w="3336" w:type="dxa"/>
            <w:tcBorders>
              <w:top w:val="single" w:sz="4" w:space="0" w:color="460531"/>
              <w:bottom w:val="single" w:sz="4" w:space="0" w:color="460531"/>
            </w:tcBorders>
          </w:tcPr>
          <w:p>
            <w:pPr>
              <w:pStyle w:val="TableParagraph"/>
              <w:ind w:left="108"/>
              <w:rPr>
                <w:sz w:val="24"/>
              </w:rPr>
            </w:pPr>
            <w:r>
              <w:rPr>
                <w:sz w:val="24"/>
              </w:rPr>
              <w:t>RemittanceInformation_COV</w:t>
            </w:r>
          </w:p>
        </w:tc>
        <w:tc>
          <w:tcPr>
            <w:tcW w:w="5137" w:type="dxa"/>
            <w:tcBorders>
              <w:top w:val="single" w:sz="4" w:space="0" w:color="460531"/>
              <w:bottom w:val="single" w:sz="4" w:space="0" w:color="460531"/>
            </w:tcBorders>
          </w:tcPr>
          <w:p>
            <w:pPr>
              <w:pStyle w:val="TableParagraph"/>
              <w:ind w:left="108"/>
              <w:rPr>
                <w:sz w:val="24"/>
              </w:rPr>
            </w:pPr>
            <w:r>
              <w:rPr>
                <w:sz w:val="24"/>
              </w:rPr>
              <w:t>1234567- CORRESPONDENT BANK HSBC MIDLGB2</w:t>
            </w:r>
          </w:p>
        </w:tc>
      </w:tr>
      <w:tr>
        <w:trPr>
          <w:trHeight w:val="311" w:hRule="atLeast"/>
        </w:trPr>
        <w:tc>
          <w:tcPr>
            <w:tcW w:w="3336" w:type="dxa"/>
            <w:tcBorders>
              <w:top w:val="single" w:sz="4" w:space="0" w:color="460531"/>
              <w:bottom w:val="single" w:sz="4" w:space="0" w:color="460531"/>
            </w:tcBorders>
          </w:tcPr>
          <w:p>
            <w:pPr>
              <w:pStyle w:val="TableParagraph"/>
              <w:ind w:left="108"/>
              <w:rPr>
                <w:sz w:val="24"/>
              </w:rPr>
            </w:pPr>
            <w:r>
              <w:rPr>
                <w:sz w:val="24"/>
              </w:rPr>
              <w:t>RelatedReference</w:t>
            </w:r>
          </w:p>
        </w:tc>
        <w:tc>
          <w:tcPr>
            <w:tcW w:w="5137" w:type="dxa"/>
            <w:tcBorders>
              <w:top w:val="single" w:sz="4" w:space="0" w:color="460531"/>
              <w:bottom w:val="single" w:sz="4" w:space="0" w:color="460531"/>
            </w:tcBorders>
          </w:tcPr>
          <w:p>
            <w:pPr>
              <w:pStyle w:val="TableParagraph"/>
              <w:ind w:left="108"/>
              <w:rPr>
                <w:sz w:val="24"/>
              </w:rPr>
            </w:pPr>
            <w:r>
              <w:rPr>
                <w:sz w:val="24"/>
              </w:rPr>
              <w:t>999999999</w:t>
            </w:r>
          </w:p>
        </w:tc>
      </w:tr>
      <w:tr>
        <w:trPr>
          <w:trHeight w:val="309" w:hRule="atLeast"/>
        </w:trPr>
        <w:tc>
          <w:tcPr>
            <w:tcW w:w="3336" w:type="dxa"/>
            <w:tcBorders>
              <w:top w:val="single" w:sz="4" w:space="0" w:color="460531"/>
              <w:bottom w:val="single" w:sz="4" w:space="0" w:color="460531"/>
            </w:tcBorders>
          </w:tcPr>
          <w:p>
            <w:pPr>
              <w:pStyle w:val="TableParagraph"/>
              <w:spacing w:line="289" w:lineRule="exact"/>
              <w:ind w:left="108"/>
              <w:rPr>
                <w:sz w:val="24"/>
              </w:rPr>
            </w:pPr>
            <w:r>
              <w:rPr>
                <w:sz w:val="24"/>
              </w:rPr>
              <w:t>OrderingInstitution_COV</w:t>
            </w:r>
          </w:p>
        </w:tc>
        <w:tc>
          <w:tcPr>
            <w:tcW w:w="5137" w:type="dxa"/>
            <w:tcBorders>
              <w:top w:val="single" w:sz="4" w:space="0" w:color="460531"/>
              <w:bottom w:val="single" w:sz="4" w:space="0" w:color="460531"/>
            </w:tcBorders>
          </w:tcPr>
          <w:p>
            <w:pPr>
              <w:pStyle w:val="TableParagraph"/>
              <w:spacing w:line="289" w:lineRule="exact"/>
              <w:ind w:left="108"/>
              <w:rPr>
                <w:sz w:val="24"/>
              </w:rPr>
            </w:pPr>
            <w:r>
              <w:rPr>
                <w:sz w:val="24"/>
              </w:rPr>
              <w:t>CITIGB2LXXX</w:t>
            </w:r>
          </w:p>
        </w:tc>
      </w:tr>
      <w:tr>
        <w:trPr>
          <w:trHeight w:val="312" w:hRule="atLeast"/>
        </w:trPr>
        <w:tc>
          <w:tcPr>
            <w:tcW w:w="3336" w:type="dxa"/>
            <w:tcBorders>
              <w:top w:val="single" w:sz="4" w:space="0" w:color="460531"/>
              <w:bottom w:val="single" w:sz="4" w:space="0" w:color="460531"/>
            </w:tcBorders>
          </w:tcPr>
          <w:p>
            <w:pPr>
              <w:pStyle w:val="TableParagraph"/>
              <w:spacing w:line="290" w:lineRule="exact" w:before="2"/>
              <w:ind w:left="108"/>
              <w:rPr>
                <w:sz w:val="24"/>
              </w:rPr>
            </w:pPr>
            <w:r>
              <w:rPr>
                <w:sz w:val="24"/>
              </w:rPr>
              <w:t>Intermediary_COV</w:t>
            </w:r>
          </w:p>
        </w:tc>
        <w:tc>
          <w:tcPr>
            <w:tcW w:w="5137" w:type="dxa"/>
            <w:tcBorders>
              <w:top w:val="single" w:sz="4" w:space="0" w:color="460531"/>
              <w:bottom w:val="single" w:sz="4" w:space="0" w:color="460531"/>
            </w:tcBorders>
          </w:tcPr>
          <w:p>
            <w:pPr>
              <w:pStyle w:val="TableParagraph"/>
              <w:spacing w:line="290" w:lineRule="exact" w:before="2"/>
              <w:ind w:left="108"/>
              <w:rPr>
                <w:sz w:val="24"/>
              </w:rPr>
            </w:pPr>
            <w:r>
              <w:rPr>
                <w:sz w:val="24"/>
              </w:rPr>
              <w:t>SC / BICAB2AXXX</w:t>
            </w:r>
          </w:p>
        </w:tc>
      </w:tr>
      <w:tr>
        <w:trPr>
          <w:trHeight w:val="311" w:hRule="atLeast"/>
        </w:trPr>
        <w:tc>
          <w:tcPr>
            <w:tcW w:w="3336" w:type="dxa"/>
            <w:tcBorders>
              <w:top w:val="single" w:sz="4" w:space="0" w:color="460531"/>
              <w:bottom w:val="single" w:sz="4" w:space="0" w:color="460531"/>
            </w:tcBorders>
          </w:tcPr>
          <w:p>
            <w:pPr>
              <w:pStyle w:val="TableParagraph"/>
              <w:ind w:left="108"/>
              <w:rPr>
                <w:sz w:val="24"/>
              </w:rPr>
            </w:pPr>
            <w:r>
              <w:rPr>
                <w:sz w:val="24"/>
              </w:rPr>
              <w:t>AccountWithInstitution_COV</w:t>
            </w:r>
          </w:p>
        </w:tc>
        <w:tc>
          <w:tcPr>
            <w:tcW w:w="5137" w:type="dxa"/>
            <w:tcBorders>
              <w:top w:val="single" w:sz="4" w:space="0" w:color="460531"/>
              <w:bottom w:val="single" w:sz="4" w:space="0" w:color="460531"/>
            </w:tcBorders>
          </w:tcPr>
          <w:p>
            <w:pPr>
              <w:pStyle w:val="TableParagraph"/>
              <w:ind w:left="108"/>
              <w:rPr>
                <w:sz w:val="24"/>
              </w:rPr>
            </w:pPr>
            <w:r>
              <w:rPr>
                <w:sz w:val="24"/>
              </w:rPr>
              <w:t>BICAB3AXXX</w:t>
            </w:r>
          </w:p>
        </w:tc>
      </w:tr>
      <w:tr>
        <w:trPr>
          <w:trHeight w:val="311" w:hRule="atLeast"/>
        </w:trPr>
        <w:tc>
          <w:tcPr>
            <w:tcW w:w="3336" w:type="dxa"/>
            <w:tcBorders>
              <w:top w:val="single" w:sz="4" w:space="0" w:color="460531"/>
              <w:bottom w:val="single" w:sz="4" w:space="0" w:color="460531"/>
            </w:tcBorders>
          </w:tcPr>
          <w:p>
            <w:pPr>
              <w:pStyle w:val="TableParagraph"/>
              <w:ind w:left="108"/>
              <w:rPr>
                <w:sz w:val="24"/>
              </w:rPr>
            </w:pPr>
            <w:r>
              <w:rPr>
                <w:sz w:val="24"/>
              </w:rPr>
              <w:t>BeneficiaryInstitution</w:t>
            </w:r>
          </w:p>
        </w:tc>
        <w:tc>
          <w:tcPr>
            <w:tcW w:w="5137" w:type="dxa"/>
            <w:tcBorders>
              <w:top w:val="single" w:sz="4" w:space="0" w:color="460531"/>
              <w:bottom w:val="single" w:sz="4" w:space="0" w:color="460531"/>
            </w:tcBorders>
          </w:tcPr>
          <w:p>
            <w:pPr>
              <w:pStyle w:val="TableParagraph"/>
              <w:ind w:left="108"/>
              <w:rPr>
                <w:sz w:val="24"/>
              </w:rPr>
            </w:pPr>
            <w:r>
              <w:rPr>
                <w:sz w:val="24"/>
              </w:rPr>
              <w:t>ABCDHKLXXX</w:t>
            </w:r>
          </w:p>
        </w:tc>
      </w:tr>
      <w:tr>
        <w:trPr>
          <w:trHeight w:val="273" w:hRule="atLeast"/>
        </w:trPr>
        <w:tc>
          <w:tcPr>
            <w:tcW w:w="3336" w:type="dxa"/>
            <w:tcBorders>
              <w:top w:val="single" w:sz="4" w:space="0" w:color="460531"/>
            </w:tcBorders>
          </w:tcPr>
          <w:p>
            <w:pPr>
              <w:pStyle w:val="TableParagraph"/>
              <w:spacing w:line="254" w:lineRule="exact"/>
              <w:ind w:left="108"/>
              <w:rPr>
                <w:sz w:val="24"/>
              </w:rPr>
            </w:pPr>
            <w:r>
              <w:rPr>
                <w:sz w:val="24"/>
              </w:rPr>
              <w:t>SenderToReceiverInfo_COV</w:t>
            </w:r>
          </w:p>
        </w:tc>
        <w:tc>
          <w:tcPr>
            <w:tcW w:w="5137" w:type="dxa"/>
            <w:tcBorders>
              <w:top w:val="single" w:sz="4" w:space="0" w:color="460531"/>
            </w:tcBorders>
          </w:tcPr>
          <w:p>
            <w:pPr>
              <w:pStyle w:val="TableParagraph"/>
              <w:spacing w:line="254" w:lineRule="exact"/>
              <w:ind w:left="108"/>
              <w:rPr>
                <w:sz w:val="24"/>
              </w:rPr>
            </w:pPr>
            <w:r>
              <w:rPr>
                <w:sz w:val="24"/>
              </w:rPr>
              <w:t>/refabc</w:t>
            </w:r>
          </w:p>
        </w:tc>
      </w:tr>
    </w:tbl>
    <w:p>
      <w:pPr>
        <w:pStyle w:val="BodyText"/>
        <w:rPr>
          <w:sz w:val="20"/>
        </w:rPr>
      </w:pPr>
    </w:p>
    <w:p>
      <w:pPr>
        <w:pStyle w:val="BodyText"/>
        <w:rPr>
          <w:sz w:val="20"/>
        </w:rPr>
      </w:pPr>
    </w:p>
    <w:p>
      <w:pPr>
        <w:pStyle w:val="BodyText"/>
        <w:spacing w:before="1"/>
        <w:rPr>
          <w:sz w:val="13"/>
        </w:rPr>
      </w:pPr>
      <w:r>
        <w:rPr/>
        <w:pict>
          <v:shape style="position:absolute;margin-left:72.024002pt;margin-top:9.810433pt;width:144.050pt;height:.1pt;mso-position-horizontal-relative:page;mso-position-vertical-relative:paragraph;z-index:-251654144;mso-wrap-distance-left:0;mso-wrap-distance-right:0" coordorigin="1440,196" coordsize="2881,0" path="m1440,196l4321,196e" filled="false" stroked="true" strokeweight=".60004pt" strokecolor="#000000">
            <v:path arrowok="t"/>
            <v:stroke dashstyle="solid"/>
            <w10:wrap type="topAndBottom"/>
          </v:shape>
        </w:pict>
      </w:r>
    </w:p>
    <w:p>
      <w:pPr>
        <w:spacing w:before="27"/>
        <w:ind w:left="900" w:right="194" w:firstLine="0"/>
        <w:jc w:val="left"/>
        <w:rPr>
          <w:sz w:val="20"/>
        </w:rPr>
      </w:pPr>
      <w:r>
        <w:rPr>
          <w:position w:val="10"/>
          <w:sz w:val="13"/>
        </w:rPr>
        <w:t>3 </w:t>
      </w:r>
      <w:r>
        <w:rPr>
          <w:sz w:val="20"/>
        </w:rPr>
        <w:t>Payment transparency standards were updated in 2017. This can be found at: </w:t>
      </w:r>
      <w:hyperlink r:id="rId9">
        <w:r>
          <w:rPr>
            <w:color w:val="006FC0"/>
            <w:sz w:val="20"/>
            <w:u w:val="single" w:color="006FC0"/>
          </w:rPr>
          <w:t>http://www.wolfsberg-</w:t>
        </w:r>
      </w:hyperlink>
      <w:r>
        <w:rPr>
          <w:color w:val="006FC0"/>
          <w:sz w:val="20"/>
        </w:rPr>
        <w:t> </w:t>
      </w:r>
      <w:hyperlink r:id="rId9">
        <w:r>
          <w:rPr>
            <w:color w:val="006FC0"/>
            <w:sz w:val="20"/>
            <w:u w:val="single" w:color="006FC0"/>
          </w:rPr>
          <w:t>principles.com/pdf/home/Wolfsberg-Payment-Transparency-Standards-October-2017.pdf</w:t>
        </w:r>
      </w:hyperlink>
    </w:p>
    <w:p>
      <w:pPr>
        <w:spacing w:after="0"/>
        <w:jc w:val="left"/>
        <w:rPr>
          <w:sz w:val="20"/>
        </w:rPr>
        <w:sectPr>
          <w:pgSz w:w="11910" w:h="16840"/>
          <w:pgMar w:header="0" w:footer="928" w:top="1380" w:bottom="1200" w:left="540" w:right="12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7"/>
        </w:rPr>
      </w:pPr>
    </w:p>
    <w:p>
      <w:pPr>
        <w:pStyle w:val="BodyText"/>
        <w:ind w:left="3503"/>
        <w:rPr>
          <w:sz w:val="20"/>
        </w:rPr>
      </w:pPr>
      <w:r>
        <w:rPr>
          <w:sz w:val="20"/>
        </w:rPr>
        <w:drawing>
          <wp:inline distT="0" distB="0" distL="0" distR="0">
            <wp:extent cx="2707937" cy="522065"/>
            <wp:effectExtent l="0" t="0" r="0" b="0"/>
            <wp:docPr id="5" name="image2.png"/>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2707937" cy="522065"/>
                    </a:xfrm>
                    <a:prstGeom prst="rect">
                      <a:avLst/>
                    </a:prstGeom>
                  </pic:spPr>
                </pic:pic>
              </a:graphicData>
            </a:graphic>
          </wp:inline>
        </w:drawing>
      </w:r>
      <w:r>
        <w:rPr>
          <w:sz w:val="20"/>
        </w:rPr>
      </w:r>
    </w:p>
    <w:sectPr>
      <w:pgSz w:w="11910" w:h="16840"/>
      <w:pgMar w:header="0" w:footer="928" w:top="1580" w:bottom="1120" w:left="54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Wingdings">
    <w:altName w:val="Wingdings"/>
    <w:charset w:val="2"/>
    <w:family w:val="auto"/>
    <w:pitch w:val="variable"/>
  </w:font>
  <w:font w:name="SimSun">
    <w:altName w:val="SimSun"/>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type id="_x0000_t202" o:spt="202" coordsize="21600,21600" path="m,l,21600r21600,l21600,xe">
          <v:stroke joinstyle="miter"/>
          <v:path gradientshapeok="t" o:connecttype="rect"/>
        </v:shapetype>
        <v:shape style="position:absolute;margin-left:288.549988pt;margin-top:780.50177pt;width:18.25pt;height:14.35pt;mso-position-horizontal-relative:page;mso-position-vertical-relative:page;z-index:-252559360" type="#_x0000_t202" filled="false" stroked="false">
          <v:textbox inset="0,0,0,0">
            <w:txbxContent>
              <w:p>
                <w:pPr>
                  <w:pStyle w:val="BodyText"/>
                  <w:spacing w:before="13"/>
                  <w:ind w:left="60"/>
                </w:pPr>
                <w:r>
                  <w:rPr/>
                  <w:fldChar w:fldCharType="begin"/>
                </w:r>
                <w:r>
                  <w:rPr/>
                  <w:instrText> PAGE </w:instrText>
                </w:r>
                <w:r>
                  <w:rPr/>
                  <w:fldChar w:fldCharType="separate"/>
                </w:r>
                <w:r>
                  <w:rPr/>
                  <w:t>12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2340" w:hanging="360"/>
        <w:jc w:val="left"/>
      </w:pPr>
      <w:rPr>
        <w:rFonts w:hint="default" w:ascii="Arial" w:hAnsi="Arial" w:eastAsia="Arial" w:cs="Arial"/>
        <w:spacing w:val="-1"/>
        <w:w w:val="100"/>
        <w:sz w:val="22"/>
        <w:szCs w:val="22"/>
        <w:lang w:val="en-gb" w:eastAsia="en-gb" w:bidi="en-gb"/>
      </w:rPr>
    </w:lvl>
    <w:lvl w:ilvl="1">
      <w:start w:val="1"/>
      <w:numFmt w:val="lowerRoman"/>
      <w:lvlText w:val="%2."/>
      <w:lvlJc w:val="left"/>
      <w:pPr>
        <w:ind w:left="3061" w:hanging="291"/>
        <w:jc w:val="left"/>
      </w:pPr>
      <w:rPr>
        <w:rFonts w:hint="default" w:ascii="Arial" w:hAnsi="Arial" w:eastAsia="Arial" w:cs="Arial"/>
        <w:spacing w:val="-2"/>
        <w:w w:val="100"/>
        <w:sz w:val="22"/>
        <w:szCs w:val="22"/>
        <w:lang w:val="en-gb" w:eastAsia="en-gb" w:bidi="en-gb"/>
      </w:rPr>
    </w:lvl>
    <w:lvl w:ilvl="2">
      <w:start w:val="0"/>
      <w:numFmt w:val="bullet"/>
      <w:lvlText w:val="•"/>
      <w:lvlJc w:val="left"/>
      <w:pPr>
        <w:ind w:left="3840" w:hanging="291"/>
      </w:pPr>
      <w:rPr>
        <w:rFonts w:hint="default"/>
        <w:lang w:val="en-gb" w:eastAsia="en-gb" w:bidi="en-gb"/>
      </w:rPr>
    </w:lvl>
    <w:lvl w:ilvl="3">
      <w:start w:val="0"/>
      <w:numFmt w:val="bullet"/>
      <w:lvlText w:val="•"/>
      <w:lvlJc w:val="left"/>
      <w:pPr>
        <w:ind w:left="4621" w:hanging="291"/>
      </w:pPr>
      <w:rPr>
        <w:rFonts w:hint="default"/>
        <w:lang w:val="en-gb" w:eastAsia="en-gb" w:bidi="en-gb"/>
      </w:rPr>
    </w:lvl>
    <w:lvl w:ilvl="4">
      <w:start w:val="0"/>
      <w:numFmt w:val="bullet"/>
      <w:lvlText w:val="•"/>
      <w:lvlJc w:val="left"/>
      <w:pPr>
        <w:ind w:left="5402" w:hanging="291"/>
      </w:pPr>
      <w:rPr>
        <w:rFonts w:hint="default"/>
        <w:lang w:val="en-gb" w:eastAsia="en-gb" w:bidi="en-gb"/>
      </w:rPr>
    </w:lvl>
    <w:lvl w:ilvl="5">
      <w:start w:val="0"/>
      <w:numFmt w:val="bullet"/>
      <w:lvlText w:val="•"/>
      <w:lvlJc w:val="left"/>
      <w:pPr>
        <w:ind w:left="6182" w:hanging="291"/>
      </w:pPr>
      <w:rPr>
        <w:rFonts w:hint="default"/>
        <w:lang w:val="en-gb" w:eastAsia="en-gb" w:bidi="en-gb"/>
      </w:rPr>
    </w:lvl>
    <w:lvl w:ilvl="6">
      <w:start w:val="0"/>
      <w:numFmt w:val="bullet"/>
      <w:lvlText w:val="•"/>
      <w:lvlJc w:val="left"/>
      <w:pPr>
        <w:ind w:left="6963" w:hanging="291"/>
      </w:pPr>
      <w:rPr>
        <w:rFonts w:hint="default"/>
        <w:lang w:val="en-gb" w:eastAsia="en-gb" w:bidi="en-gb"/>
      </w:rPr>
    </w:lvl>
    <w:lvl w:ilvl="7">
      <w:start w:val="0"/>
      <w:numFmt w:val="bullet"/>
      <w:lvlText w:val="•"/>
      <w:lvlJc w:val="left"/>
      <w:pPr>
        <w:ind w:left="7744" w:hanging="291"/>
      </w:pPr>
      <w:rPr>
        <w:rFonts w:hint="default"/>
        <w:lang w:val="en-gb" w:eastAsia="en-gb" w:bidi="en-gb"/>
      </w:rPr>
    </w:lvl>
    <w:lvl w:ilvl="8">
      <w:start w:val="0"/>
      <w:numFmt w:val="bullet"/>
      <w:lvlText w:val="•"/>
      <w:lvlJc w:val="left"/>
      <w:pPr>
        <w:ind w:left="8524" w:hanging="291"/>
      </w:pPr>
      <w:rPr>
        <w:rFonts w:hint="default"/>
        <w:lang w:val="en-gb" w:eastAsia="en-gb" w:bidi="en-gb"/>
      </w:rPr>
    </w:lvl>
  </w:abstractNum>
  <w:abstractNum w:abstractNumId="2">
    <w:multiLevelType w:val="hybridMultilevel"/>
    <w:lvl w:ilvl="0">
      <w:start w:val="0"/>
      <w:numFmt w:val="bullet"/>
      <w:lvlText w:val=""/>
      <w:lvlJc w:val="left"/>
      <w:pPr>
        <w:ind w:left="1613" w:hanging="356"/>
      </w:pPr>
      <w:rPr>
        <w:rFonts w:hint="default" w:ascii="Wingdings" w:hAnsi="Wingdings" w:eastAsia="Wingdings" w:cs="Wingdings"/>
        <w:w w:val="100"/>
        <w:sz w:val="22"/>
        <w:szCs w:val="22"/>
        <w:lang w:val="en-gb" w:eastAsia="en-gb" w:bidi="en-gb"/>
      </w:rPr>
    </w:lvl>
    <w:lvl w:ilvl="1">
      <w:start w:val="0"/>
      <w:numFmt w:val="bullet"/>
      <w:lvlText w:val="•"/>
      <w:lvlJc w:val="left"/>
      <w:pPr>
        <w:ind w:left="2466" w:hanging="356"/>
      </w:pPr>
      <w:rPr>
        <w:rFonts w:hint="default"/>
        <w:lang w:val="en-gb" w:eastAsia="en-gb" w:bidi="en-gb"/>
      </w:rPr>
    </w:lvl>
    <w:lvl w:ilvl="2">
      <w:start w:val="0"/>
      <w:numFmt w:val="bullet"/>
      <w:lvlText w:val="•"/>
      <w:lvlJc w:val="left"/>
      <w:pPr>
        <w:ind w:left="3313" w:hanging="356"/>
      </w:pPr>
      <w:rPr>
        <w:rFonts w:hint="default"/>
        <w:lang w:val="en-gb" w:eastAsia="en-gb" w:bidi="en-gb"/>
      </w:rPr>
    </w:lvl>
    <w:lvl w:ilvl="3">
      <w:start w:val="0"/>
      <w:numFmt w:val="bullet"/>
      <w:lvlText w:val="•"/>
      <w:lvlJc w:val="left"/>
      <w:pPr>
        <w:ind w:left="4159" w:hanging="356"/>
      </w:pPr>
      <w:rPr>
        <w:rFonts w:hint="default"/>
        <w:lang w:val="en-gb" w:eastAsia="en-gb" w:bidi="en-gb"/>
      </w:rPr>
    </w:lvl>
    <w:lvl w:ilvl="4">
      <w:start w:val="0"/>
      <w:numFmt w:val="bullet"/>
      <w:lvlText w:val="•"/>
      <w:lvlJc w:val="left"/>
      <w:pPr>
        <w:ind w:left="5006" w:hanging="356"/>
      </w:pPr>
      <w:rPr>
        <w:rFonts w:hint="default"/>
        <w:lang w:val="en-gb" w:eastAsia="en-gb" w:bidi="en-gb"/>
      </w:rPr>
    </w:lvl>
    <w:lvl w:ilvl="5">
      <w:start w:val="0"/>
      <w:numFmt w:val="bullet"/>
      <w:lvlText w:val="•"/>
      <w:lvlJc w:val="left"/>
      <w:pPr>
        <w:ind w:left="5853" w:hanging="356"/>
      </w:pPr>
      <w:rPr>
        <w:rFonts w:hint="default"/>
        <w:lang w:val="en-gb" w:eastAsia="en-gb" w:bidi="en-gb"/>
      </w:rPr>
    </w:lvl>
    <w:lvl w:ilvl="6">
      <w:start w:val="0"/>
      <w:numFmt w:val="bullet"/>
      <w:lvlText w:val="•"/>
      <w:lvlJc w:val="left"/>
      <w:pPr>
        <w:ind w:left="6699" w:hanging="356"/>
      </w:pPr>
      <w:rPr>
        <w:rFonts w:hint="default"/>
        <w:lang w:val="en-gb" w:eastAsia="en-gb" w:bidi="en-gb"/>
      </w:rPr>
    </w:lvl>
    <w:lvl w:ilvl="7">
      <w:start w:val="0"/>
      <w:numFmt w:val="bullet"/>
      <w:lvlText w:val="•"/>
      <w:lvlJc w:val="left"/>
      <w:pPr>
        <w:ind w:left="7546" w:hanging="356"/>
      </w:pPr>
      <w:rPr>
        <w:rFonts w:hint="default"/>
        <w:lang w:val="en-gb" w:eastAsia="en-gb" w:bidi="en-gb"/>
      </w:rPr>
    </w:lvl>
    <w:lvl w:ilvl="8">
      <w:start w:val="0"/>
      <w:numFmt w:val="bullet"/>
      <w:lvlText w:val="•"/>
      <w:lvlJc w:val="left"/>
      <w:pPr>
        <w:ind w:left="8393" w:hanging="356"/>
      </w:pPr>
      <w:rPr>
        <w:rFonts w:hint="default"/>
        <w:lang w:val="en-gb" w:eastAsia="en-gb" w:bidi="en-gb"/>
      </w:rPr>
    </w:lvl>
  </w:abstractNum>
  <w:abstractNum w:abstractNumId="1">
    <w:multiLevelType w:val="hybridMultilevel"/>
    <w:lvl w:ilvl="0">
      <w:start w:val="0"/>
      <w:numFmt w:val="bullet"/>
      <w:lvlText w:val=""/>
      <w:lvlJc w:val="left"/>
      <w:pPr>
        <w:ind w:left="1620" w:hanging="360"/>
      </w:pPr>
      <w:rPr>
        <w:rFonts w:hint="default" w:ascii="Symbol" w:hAnsi="Symbol" w:eastAsia="Symbol" w:cs="Symbol"/>
        <w:w w:val="100"/>
        <w:sz w:val="22"/>
        <w:szCs w:val="22"/>
        <w:lang w:val="en-gb" w:eastAsia="en-gb" w:bidi="en-gb"/>
      </w:rPr>
    </w:lvl>
    <w:lvl w:ilvl="1">
      <w:start w:val="0"/>
      <w:numFmt w:val="bullet"/>
      <w:lvlText w:val="•"/>
      <w:lvlJc w:val="left"/>
      <w:pPr>
        <w:ind w:left="2466" w:hanging="360"/>
      </w:pPr>
      <w:rPr>
        <w:rFonts w:hint="default"/>
        <w:lang w:val="en-gb" w:eastAsia="en-gb" w:bidi="en-gb"/>
      </w:rPr>
    </w:lvl>
    <w:lvl w:ilvl="2">
      <w:start w:val="0"/>
      <w:numFmt w:val="bullet"/>
      <w:lvlText w:val="•"/>
      <w:lvlJc w:val="left"/>
      <w:pPr>
        <w:ind w:left="3313" w:hanging="360"/>
      </w:pPr>
      <w:rPr>
        <w:rFonts w:hint="default"/>
        <w:lang w:val="en-gb" w:eastAsia="en-gb" w:bidi="en-gb"/>
      </w:rPr>
    </w:lvl>
    <w:lvl w:ilvl="3">
      <w:start w:val="0"/>
      <w:numFmt w:val="bullet"/>
      <w:lvlText w:val="•"/>
      <w:lvlJc w:val="left"/>
      <w:pPr>
        <w:ind w:left="4159" w:hanging="360"/>
      </w:pPr>
      <w:rPr>
        <w:rFonts w:hint="default"/>
        <w:lang w:val="en-gb" w:eastAsia="en-gb" w:bidi="en-gb"/>
      </w:rPr>
    </w:lvl>
    <w:lvl w:ilvl="4">
      <w:start w:val="0"/>
      <w:numFmt w:val="bullet"/>
      <w:lvlText w:val="•"/>
      <w:lvlJc w:val="left"/>
      <w:pPr>
        <w:ind w:left="5006" w:hanging="360"/>
      </w:pPr>
      <w:rPr>
        <w:rFonts w:hint="default"/>
        <w:lang w:val="en-gb" w:eastAsia="en-gb" w:bidi="en-gb"/>
      </w:rPr>
    </w:lvl>
    <w:lvl w:ilvl="5">
      <w:start w:val="0"/>
      <w:numFmt w:val="bullet"/>
      <w:lvlText w:val="•"/>
      <w:lvlJc w:val="left"/>
      <w:pPr>
        <w:ind w:left="5853" w:hanging="360"/>
      </w:pPr>
      <w:rPr>
        <w:rFonts w:hint="default"/>
        <w:lang w:val="en-gb" w:eastAsia="en-gb" w:bidi="en-gb"/>
      </w:rPr>
    </w:lvl>
    <w:lvl w:ilvl="6">
      <w:start w:val="0"/>
      <w:numFmt w:val="bullet"/>
      <w:lvlText w:val="•"/>
      <w:lvlJc w:val="left"/>
      <w:pPr>
        <w:ind w:left="6699" w:hanging="360"/>
      </w:pPr>
      <w:rPr>
        <w:rFonts w:hint="default"/>
        <w:lang w:val="en-gb" w:eastAsia="en-gb" w:bidi="en-gb"/>
      </w:rPr>
    </w:lvl>
    <w:lvl w:ilvl="7">
      <w:start w:val="0"/>
      <w:numFmt w:val="bullet"/>
      <w:lvlText w:val="•"/>
      <w:lvlJc w:val="left"/>
      <w:pPr>
        <w:ind w:left="7546" w:hanging="360"/>
      </w:pPr>
      <w:rPr>
        <w:rFonts w:hint="default"/>
        <w:lang w:val="en-gb" w:eastAsia="en-gb" w:bidi="en-gb"/>
      </w:rPr>
    </w:lvl>
    <w:lvl w:ilvl="8">
      <w:start w:val="0"/>
      <w:numFmt w:val="bullet"/>
      <w:lvlText w:val="•"/>
      <w:lvlJc w:val="left"/>
      <w:pPr>
        <w:ind w:left="8393" w:hanging="360"/>
      </w:pPr>
      <w:rPr>
        <w:rFonts w:hint="default"/>
        <w:lang w:val="en-gb" w:eastAsia="en-gb" w:bidi="en-gb"/>
      </w:rPr>
    </w:lvl>
  </w:abstractNum>
  <w:num w:numId="1">
    <w:abstractNumId w:val="0"/>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TOC1" w:type="paragraph">
    <w:name w:val="TOC 1"/>
    <w:basedOn w:val="Normal"/>
    <w:uiPriority w:val="1"/>
    <w:qFormat/>
    <w:pPr>
      <w:spacing w:before="149"/>
      <w:ind w:left="900"/>
    </w:pPr>
    <w:rPr>
      <w:rFonts w:ascii="Arial" w:hAnsi="Arial" w:eastAsia="Arial" w:cs="Arial"/>
      <w:sz w:val="28"/>
      <w:szCs w:val="28"/>
      <w:lang w:val="en-gb" w:eastAsia="en-gb" w:bidi="en-gb"/>
    </w:rPr>
  </w:style>
  <w:style w:styleId="BodyText" w:type="paragraph">
    <w:name w:val="Body Text"/>
    <w:basedOn w:val="Normal"/>
    <w:uiPriority w:val="1"/>
    <w:qFormat/>
    <w:pPr/>
    <w:rPr>
      <w:rFonts w:ascii="Arial" w:hAnsi="Arial" w:eastAsia="Arial" w:cs="Arial"/>
      <w:sz w:val="22"/>
      <w:szCs w:val="22"/>
      <w:lang w:val="en-gb" w:eastAsia="en-gb" w:bidi="en-gb"/>
    </w:rPr>
  </w:style>
  <w:style w:styleId="Heading1" w:type="paragraph">
    <w:name w:val="Heading 1"/>
    <w:basedOn w:val="Normal"/>
    <w:uiPriority w:val="1"/>
    <w:qFormat/>
    <w:pPr>
      <w:spacing w:before="77"/>
      <w:ind w:left="900"/>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900"/>
      <w:outlineLvl w:val="2"/>
    </w:pPr>
    <w:rPr>
      <w:rFonts w:ascii="Arial" w:hAnsi="Arial" w:eastAsia="Arial" w:cs="Arial"/>
      <w:b/>
      <w:bCs/>
      <w:sz w:val="22"/>
      <w:szCs w:val="22"/>
      <w:lang w:val="en-gb" w:eastAsia="en-gb" w:bidi="en-gb"/>
    </w:rPr>
  </w:style>
  <w:style w:styleId="ListParagraph" w:type="paragraph">
    <w:name w:val="List Paragraph"/>
    <w:basedOn w:val="Normal"/>
    <w:uiPriority w:val="1"/>
    <w:qFormat/>
    <w:pPr>
      <w:ind w:left="1613" w:hanging="356"/>
    </w:pPr>
    <w:rPr>
      <w:rFonts w:ascii="Arial" w:hAnsi="Arial" w:eastAsia="Arial" w:cs="Arial"/>
      <w:lang w:val="en-gb" w:eastAsia="en-gb" w:bidi="en-gb"/>
    </w:rPr>
  </w:style>
  <w:style w:styleId="TableParagraph" w:type="paragraph">
    <w:name w:val="Table Paragraph"/>
    <w:basedOn w:val="Normal"/>
    <w:uiPriority w:val="1"/>
    <w:qFormat/>
    <w:pPr>
      <w:spacing w:line="292" w:lineRule="exact"/>
    </w:pPr>
    <w:rPr>
      <w:rFonts w:ascii="SimSun" w:hAnsi="SimSun" w:eastAsia="SimSun" w:cs="SimSun"/>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hyperlink" Target="http://www.chapsco.co.uk/sites/default/files/documents/chaps_reference_manual_version_31_july_2017.pdf" TargetMode="External"/><Relationship Id="rId9" Type="http://schemas.openxmlformats.org/officeDocument/2006/relationships/hyperlink" Target="http://www.wolfsberg-principles.com/pdf/home/Wolfsberg-Payment-Transparency-Standards-October-2017.pdf"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Reading pack</dc:subject>
  <dc:title>Data Working Group reading pack</dc:title>
  <dcterms:created xsi:type="dcterms:W3CDTF">2020-06-01T02:19:47Z</dcterms:created>
  <dcterms:modified xsi:type="dcterms:W3CDTF">2020-06-01T02:19:47Z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2017-10-23T00:00:00Z</vt:filetime>
  </property>
  <property fmtid="{D5CDD505-2E9C-101B-9397-08002B2CF9AE}" pid="3" name="LastSaved">
    <vt:filetime>2020-06-01T00:00:00Z</vt:filetime>
  </property>
</Properties>
</file>