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1"/>
        <w:ind w:left="116" w:right="0" w:firstLine="0"/>
        <w:jc w:val="left"/>
        <w:rPr>
          <w:sz w:val="41"/>
        </w:rPr>
      </w:pPr>
      <w:r>
        <w:rPr>
          <w:sz w:val="41"/>
        </w:rPr>
        <w:t>Minutes</w:t>
      </w:r>
    </w:p>
    <w:p>
      <w:pPr>
        <w:spacing w:before="84"/>
        <w:ind w:left="116" w:right="0" w:firstLine="0"/>
        <w:jc w:val="left"/>
        <w:rPr>
          <w:b/>
          <w:sz w:val="22"/>
        </w:rPr>
      </w:pPr>
      <w:r>
        <w:rPr>
          <w:b/>
          <w:w w:val="105"/>
          <w:sz w:val="22"/>
        </w:rPr>
        <w:t>SONIA Advisory Committee</w:t>
      </w:r>
    </w:p>
    <w:p>
      <w:pPr>
        <w:spacing w:before="43"/>
        <w:ind w:left="116" w:right="0" w:firstLine="0"/>
        <w:jc w:val="left"/>
        <w:rPr>
          <w:sz w:val="22"/>
        </w:rPr>
      </w:pPr>
      <w:r>
        <w:rPr>
          <w:w w:val="105"/>
          <w:sz w:val="22"/>
        </w:rPr>
        <w:t>12 December 2016</w:t>
      </w:r>
    </w:p>
    <w:p>
      <w:pPr>
        <w:pStyle w:val="BodyText"/>
        <w:spacing w:before="4"/>
        <w:rPr>
          <w:sz w:val="18"/>
        </w:rPr>
      </w:pPr>
      <w:r>
        <w:rPr/>
        <w:pict>
          <v:shape style="position:absolute;margin-left:72.839996pt;margin-top:12.75913pt;width:462.1pt;height:.1pt;mso-position-horizontal-relative:page;mso-position-vertical-relative:paragraph;z-index:-251658240;mso-wrap-distance-left:0;mso-wrap-distance-right:0" coordorigin="1457,255" coordsize="9242,0" path="m1457,255l10698,255e" filled="false" stroked="true" strokeweight=".42004pt" strokecolor="#000000">
            <v:path arrowok="t"/>
            <v:stroke dashstyle="solid"/>
            <w10:wrap type="topAndBottom"/>
          </v:shape>
        </w:pict>
      </w:r>
    </w:p>
    <w:p>
      <w:pPr>
        <w:pStyle w:val="BodyText"/>
        <w:spacing w:before="5"/>
        <w:rPr>
          <w:sz w:val="15"/>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7312"/>
        <w:gridCol w:w="773"/>
      </w:tblGrid>
      <w:tr>
        <w:trPr>
          <w:trHeight w:val="335" w:hRule="atLeast"/>
        </w:trPr>
        <w:tc>
          <w:tcPr>
            <w:tcW w:w="1156" w:type="dxa"/>
          </w:tcPr>
          <w:p>
            <w:pPr>
              <w:pStyle w:val="TableParagraph"/>
              <w:spacing w:line="211" w:lineRule="exact"/>
              <w:rPr>
                <w:b/>
                <w:sz w:val="19"/>
              </w:rPr>
            </w:pPr>
            <w:r>
              <w:rPr>
                <w:b/>
                <w:sz w:val="19"/>
              </w:rPr>
              <w:t>Location:</w:t>
            </w:r>
          </w:p>
        </w:tc>
        <w:tc>
          <w:tcPr>
            <w:tcW w:w="7312" w:type="dxa"/>
          </w:tcPr>
          <w:p>
            <w:pPr>
              <w:pStyle w:val="TableParagraph"/>
              <w:spacing w:line="212" w:lineRule="exact"/>
              <w:ind w:left="113"/>
              <w:rPr>
                <w:sz w:val="19"/>
              </w:rPr>
            </w:pPr>
            <w:r>
              <w:rPr>
                <w:sz w:val="19"/>
              </w:rPr>
              <w:t>Bank of England</w:t>
            </w:r>
          </w:p>
        </w:tc>
        <w:tc>
          <w:tcPr>
            <w:tcW w:w="773" w:type="dxa"/>
            <w:vMerge w:val="restart"/>
            <w:tcBorders>
              <w:bottom w:val="single" w:sz="2" w:space="0" w:color="000000"/>
            </w:tcBorders>
          </w:tcPr>
          <w:p>
            <w:pPr>
              <w:pStyle w:val="TableParagraph"/>
              <w:rPr>
                <w:rFonts w:ascii="Times New Roman"/>
                <w:sz w:val="18"/>
              </w:rPr>
            </w:pPr>
          </w:p>
        </w:tc>
      </w:tr>
      <w:tr>
        <w:trPr>
          <w:trHeight w:val="335" w:hRule="atLeast"/>
        </w:trPr>
        <w:tc>
          <w:tcPr>
            <w:tcW w:w="1156" w:type="dxa"/>
          </w:tcPr>
          <w:p>
            <w:pPr>
              <w:pStyle w:val="TableParagraph"/>
              <w:spacing w:line="200" w:lineRule="exact" w:before="116"/>
              <w:rPr>
                <w:b/>
                <w:sz w:val="19"/>
              </w:rPr>
            </w:pPr>
            <w:r>
              <w:rPr>
                <w:b/>
                <w:sz w:val="19"/>
              </w:rPr>
              <w:t>Members:</w:t>
            </w:r>
          </w:p>
        </w:tc>
        <w:tc>
          <w:tcPr>
            <w:tcW w:w="7312" w:type="dxa"/>
          </w:tcPr>
          <w:p>
            <w:pPr>
              <w:pStyle w:val="TableParagraph"/>
              <w:spacing w:line="198" w:lineRule="exact" w:before="117"/>
              <w:ind w:left="113"/>
              <w:rPr>
                <w:sz w:val="19"/>
              </w:rPr>
            </w:pPr>
            <w:r>
              <w:rPr>
                <w:sz w:val="19"/>
              </w:rPr>
              <w:t>Sarah John (Chair)</w:t>
            </w:r>
          </w:p>
        </w:tc>
        <w:tc>
          <w:tcPr>
            <w:tcW w:w="773" w:type="dxa"/>
            <w:vMerge/>
            <w:tcBorders>
              <w:top w:val="nil"/>
              <w:bottom w:val="single" w:sz="2" w:space="0" w:color="000000"/>
            </w:tcBorders>
          </w:tcPr>
          <w:p>
            <w:pPr>
              <w:rPr>
                <w:sz w:val="2"/>
                <w:szCs w:val="2"/>
              </w:rPr>
            </w:pPr>
          </w:p>
        </w:tc>
      </w:tr>
      <w:tr>
        <w:trPr>
          <w:trHeight w:val="211" w:hRule="atLeast"/>
        </w:trPr>
        <w:tc>
          <w:tcPr>
            <w:tcW w:w="1156" w:type="dxa"/>
          </w:tcPr>
          <w:p>
            <w:pPr>
              <w:pStyle w:val="TableParagraph"/>
              <w:rPr>
                <w:rFonts w:ascii="Times New Roman"/>
                <w:sz w:val="14"/>
              </w:rPr>
            </w:pPr>
          </w:p>
        </w:tc>
        <w:tc>
          <w:tcPr>
            <w:tcW w:w="7312" w:type="dxa"/>
          </w:tcPr>
          <w:p>
            <w:pPr>
              <w:pStyle w:val="TableParagraph"/>
              <w:spacing w:line="192" w:lineRule="exact"/>
              <w:ind w:left="113"/>
              <w:rPr>
                <w:sz w:val="19"/>
              </w:rPr>
            </w:pPr>
            <w:r>
              <w:rPr>
                <w:sz w:val="19"/>
              </w:rPr>
              <w:t>David Clark</w:t>
            </w:r>
          </w:p>
        </w:tc>
        <w:tc>
          <w:tcPr>
            <w:tcW w:w="773" w:type="dxa"/>
            <w:vMerge/>
            <w:tcBorders>
              <w:top w:val="nil"/>
              <w:bottom w:val="single" w:sz="2" w:space="0" w:color="000000"/>
            </w:tcBorders>
          </w:tcPr>
          <w:p>
            <w:pPr>
              <w:rPr>
                <w:sz w:val="2"/>
                <w:szCs w:val="2"/>
              </w:rPr>
            </w:pPr>
          </w:p>
        </w:tc>
      </w:tr>
      <w:tr>
        <w:trPr>
          <w:trHeight w:val="211" w:hRule="atLeast"/>
        </w:trPr>
        <w:tc>
          <w:tcPr>
            <w:tcW w:w="1156" w:type="dxa"/>
          </w:tcPr>
          <w:p>
            <w:pPr>
              <w:pStyle w:val="TableParagraph"/>
              <w:rPr>
                <w:rFonts w:ascii="Times New Roman"/>
                <w:sz w:val="14"/>
              </w:rPr>
            </w:pPr>
          </w:p>
        </w:tc>
        <w:tc>
          <w:tcPr>
            <w:tcW w:w="7312" w:type="dxa"/>
          </w:tcPr>
          <w:p>
            <w:pPr>
              <w:pStyle w:val="TableParagraph"/>
              <w:spacing w:line="192" w:lineRule="exact"/>
              <w:ind w:left="113"/>
              <w:rPr>
                <w:sz w:val="19"/>
              </w:rPr>
            </w:pPr>
            <w:r>
              <w:rPr>
                <w:sz w:val="19"/>
              </w:rPr>
              <w:t>Alex McDonald</w:t>
            </w:r>
          </w:p>
        </w:tc>
        <w:tc>
          <w:tcPr>
            <w:tcW w:w="773" w:type="dxa"/>
            <w:vMerge/>
            <w:tcBorders>
              <w:top w:val="nil"/>
              <w:bottom w:val="single" w:sz="2" w:space="0" w:color="000000"/>
            </w:tcBorders>
          </w:tcPr>
          <w:p>
            <w:pPr>
              <w:rPr>
                <w:sz w:val="2"/>
                <w:szCs w:val="2"/>
              </w:rPr>
            </w:pPr>
          </w:p>
        </w:tc>
      </w:tr>
      <w:tr>
        <w:trPr>
          <w:trHeight w:val="210" w:hRule="atLeast"/>
        </w:trPr>
        <w:tc>
          <w:tcPr>
            <w:tcW w:w="1156" w:type="dxa"/>
          </w:tcPr>
          <w:p>
            <w:pPr>
              <w:pStyle w:val="TableParagraph"/>
              <w:rPr>
                <w:rFonts w:ascii="Times New Roman"/>
                <w:sz w:val="14"/>
              </w:rPr>
            </w:pPr>
          </w:p>
        </w:tc>
        <w:tc>
          <w:tcPr>
            <w:tcW w:w="7312" w:type="dxa"/>
          </w:tcPr>
          <w:p>
            <w:pPr>
              <w:pStyle w:val="TableParagraph"/>
              <w:spacing w:line="191" w:lineRule="exact"/>
              <w:ind w:left="113"/>
              <w:rPr>
                <w:sz w:val="19"/>
              </w:rPr>
            </w:pPr>
            <w:r>
              <w:rPr>
                <w:sz w:val="19"/>
              </w:rPr>
              <w:t>Philip Chilvers</w:t>
            </w:r>
          </w:p>
        </w:tc>
        <w:tc>
          <w:tcPr>
            <w:tcW w:w="773" w:type="dxa"/>
            <w:vMerge/>
            <w:tcBorders>
              <w:top w:val="nil"/>
              <w:bottom w:val="single" w:sz="2" w:space="0" w:color="000000"/>
            </w:tcBorders>
          </w:tcPr>
          <w:p>
            <w:pPr>
              <w:rPr>
                <w:sz w:val="2"/>
                <w:szCs w:val="2"/>
              </w:rPr>
            </w:pPr>
          </w:p>
        </w:tc>
      </w:tr>
      <w:tr>
        <w:trPr>
          <w:trHeight w:val="211" w:hRule="atLeast"/>
        </w:trPr>
        <w:tc>
          <w:tcPr>
            <w:tcW w:w="1156" w:type="dxa"/>
          </w:tcPr>
          <w:p>
            <w:pPr>
              <w:pStyle w:val="TableParagraph"/>
              <w:rPr>
                <w:rFonts w:ascii="Times New Roman"/>
                <w:sz w:val="14"/>
              </w:rPr>
            </w:pPr>
          </w:p>
        </w:tc>
        <w:tc>
          <w:tcPr>
            <w:tcW w:w="7312" w:type="dxa"/>
          </w:tcPr>
          <w:p>
            <w:pPr>
              <w:pStyle w:val="TableParagraph"/>
              <w:spacing w:line="192" w:lineRule="exact"/>
              <w:ind w:left="113"/>
              <w:rPr>
                <w:sz w:val="19"/>
              </w:rPr>
            </w:pPr>
            <w:r>
              <w:rPr>
                <w:sz w:val="19"/>
              </w:rPr>
              <w:t>John Ewan</w:t>
            </w:r>
          </w:p>
        </w:tc>
        <w:tc>
          <w:tcPr>
            <w:tcW w:w="773" w:type="dxa"/>
            <w:vMerge/>
            <w:tcBorders>
              <w:top w:val="nil"/>
              <w:bottom w:val="single" w:sz="2" w:space="0" w:color="000000"/>
            </w:tcBorders>
          </w:tcPr>
          <w:p>
            <w:pPr>
              <w:rPr>
                <w:sz w:val="2"/>
                <w:szCs w:val="2"/>
              </w:rPr>
            </w:pPr>
          </w:p>
        </w:tc>
      </w:tr>
      <w:tr>
        <w:trPr>
          <w:trHeight w:val="211" w:hRule="atLeast"/>
        </w:trPr>
        <w:tc>
          <w:tcPr>
            <w:tcW w:w="1156" w:type="dxa"/>
          </w:tcPr>
          <w:p>
            <w:pPr>
              <w:pStyle w:val="TableParagraph"/>
              <w:rPr>
                <w:rFonts w:ascii="Times New Roman"/>
                <w:sz w:val="14"/>
              </w:rPr>
            </w:pPr>
          </w:p>
        </w:tc>
        <w:tc>
          <w:tcPr>
            <w:tcW w:w="7312" w:type="dxa"/>
          </w:tcPr>
          <w:p>
            <w:pPr>
              <w:pStyle w:val="TableParagraph"/>
              <w:spacing w:line="192" w:lineRule="exact"/>
              <w:ind w:left="113"/>
              <w:rPr>
                <w:sz w:val="19"/>
              </w:rPr>
            </w:pPr>
            <w:r>
              <w:rPr>
                <w:sz w:val="19"/>
              </w:rPr>
              <w:t>Brad Jeffery</w:t>
            </w:r>
          </w:p>
        </w:tc>
        <w:tc>
          <w:tcPr>
            <w:tcW w:w="773" w:type="dxa"/>
            <w:vMerge/>
            <w:tcBorders>
              <w:top w:val="nil"/>
              <w:bottom w:val="single" w:sz="2" w:space="0" w:color="000000"/>
            </w:tcBorders>
          </w:tcPr>
          <w:p>
            <w:pPr>
              <w:rPr>
                <w:sz w:val="2"/>
                <w:szCs w:val="2"/>
              </w:rPr>
            </w:pPr>
          </w:p>
        </w:tc>
      </w:tr>
      <w:tr>
        <w:trPr>
          <w:trHeight w:val="210" w:hRule="atLeast"/>
        </w:trPr>
        <w:tc>
          <w:tcPr>
            <w:tcW w:w="1156" w:type="dxa"/>
          </w:tcPr>
          <w:p>
            <w:pPr>
              <w:pStyle w:val="TableParagraph"/>
              <w:rPr>
                <w:rFonts w:ascii="Times New Roman"/>
                <w:sz w:val="14"/>
              </w:rPr>
            </w:pPr>
          </w:p>
        </w:tc>
        <w:tc>
          <w:tcPr>
            <w:tcW w:w="7312" w:type="dxa"/>
          </w:tcPr>
          <w:p>
            <w:pPr>
              <w:pStyle w:val="TableParagraph"/>
              <w:spacing w:line="191" w:lineRule="exact"/>
              <w:ind w:left="113"/>
              <w:rPr>
                <w:sz w:val="19"/>
              </w:rPr>
            </w:pPr>
            <w:r>
              <w:rPr>
                <w:sz w:val="19"/>
              </w:rPr>
              <w:t>Ian Mair</w:t>
            </w:r>
          </w:p>
        </w:tc>
        <w:tc>
          <w:tcPr>
            <w:tcW w:w="773" w:type="dxa"/>
            <w:vMerge/>
            <w:tcBorders>
              <w:top w:val="nil"/>
              <w:bottom w:val="single" w:sz="2" w:space="0" w:color="000000"/>
            </w:tcBorders>
          </w:tcPr>
          <w:p>
            <w:pPr>
              <w:rPr>
                <w:sz w:val="2"/>
                <w:szCs w:val="2"/>
              </w:rPr>
            </w:pPr>
          </w:p>
        </w:tc>
      </w:tr>
      <w:tr>
        <w:trPr>
          <w:trHeight w:val="211" w:hRule="atLeast"/>
        </w:trPr>
        <w:tc>
          <w:tcPr>
            <w:tcW w:w="1156" w:type="dxa"/>
          </w:tcPr>
          <w:p>
            <w:pPr>
              <w:pStyle w:val="TableParagraph"/>
              <w:rPr>
                <w:rFonts w:ascii="Times New Roman"/>
                <w:sz w:val="14"/>
              </w:rPr>
            </w:pPr>
          </w:p>
        </w:tc>
        <w:tc>
          <w:tcPr>
            <w:tcW w:w="7312" w:type="dxa"/>
          </w:tcPr>
          <w:p>
            <w:pPr>
              <w:pStyle w:val="TableParagraph"/>
              <w:spacing w:line="192" w:lineRule="exact"/>
              <w:ind w:left="113"/>
              <w:rPr>
                <w:sz w:val="19"/>
              </w:rPr>
            </w:pPr>
            <w:r>
              <w:rPr>
                <w:sz w:val="19"/>
              </w:rPr>
              <w:t>Will Parry</w:t>
            </w:r>
          </w:p>
        </w:tc>
        <w:tc>
          <w:tcPr>
            <w:tcW w:w="773" w:type="dxa"/>
            <w:vMerge/>
            <w:tcBorders>
              <w:top w:val="nil"/>
              <w:bottom w:val="single" w:sz="2" w:space="0" w:color="000000"/>
            </w:tcBorders>
          </w:tcPr>
          <w:p>
            <w:pPr>
              <w:rPr>
                <w:sz w:val="2"/>
                <w:szCs w:val="2"/>
              </w:rPr>
            </w:pPr>
          </w:p>
        </w:tc>
      </w:tr>
      <w:tr>
        <w:trPr>
          <w:trHeight w:val="211" w:hRule="atLeast"/>
        </w:trPr>
        <w:tc>
          <w:tcPr>
            <w:tcW w:w="1156" w:type="dxa"/>
          </w:tcPr>
          <w:p>
            <w:pPr>
              <w:pStyle w:val="TableParagraph"/>
              <w:rPr>
                <w:rFonts w:ascii="Times New Roman"/>
                <w:sz w:val="14"/>
              </w:rPr>
            </w:pPr>
          </w:p>
        </w:tc>
        <w:tc>
          <w:tcPr>
            <w:tcW w:w="7312" w:type="dxa"/>
          </w:tcPr>
          <w:p>
            <w:pPr>
              <w:pStyle w:val="TableParagraph"/>
              <w:spacing w:line="192" w:lineRule="exact"/>
              <w:ind w:left="113"/>
              <w:rPr>
                <w:sz w:val="19"/>
              </w:rPr>
            </w:pPr>
            <w:r>
              <w:rPr>
                <w:sz w:val="19"/>
              </w:rPr>
              <w:t>Robert Thurlow</w:t>
            </w:r>
          </w:p>
        </w:tc>
        <w:tc>
          <w:tcPr>
            <w:tcW w:w="773" w:type="dxa"/>
            <w:vMerge/>
            <w:tcBorders>
              <w:top w:val="nil"/>
              <w:bottom w:val="single" w:sz="2" w:space="0" w:color="000000"/>
            </w:tcBorders>
          </w:tcPr>
          <w:p>
            <w:pPr>
              <w:rPr>
                <w:sz w:val="2"/>
                <w:szCs w:val="2"/>
              </w:rPr>
            </w:pPr>
          </w:p>
        </w:tc>
      </w:tr>
      <w:tr>
        <w:trPr>
          <w:trHeight w:val="210" w:hRule="atLeast"/>
        </w:trPr>
        <w:tc>
          <w:tcPr>
            <w:tcW w:w="1156" w:type="dxa"/>
          </w:tcPr>
          <w:p>
            <w:pPr>
              <w:pStyle w:val="TableParagraph"/>
              <w:rPr>
                <w:rFonts w:ascii="Times New Roman"/>
                <w:sz w:val="14"/>
              </w:rPr>
            </w:pPr>
          </w:p>
        </w:tc>
        <w:tc>
          <w:tcPr>
            <w:tcW w:w="7312" w:type="dxa"/>
          </w:tcPr>
          <w:p>
            <w:pPr>
              <w:pStyle w:val="TableParagraph"/>
              <w:spacing w:line="191" w:lineRule="exact"/>
              <w:ind w:left="113"/>
              <w:rPr>
                <w:sz w:val="19"/>
              </w:rPr>
            </w:pPr>
            <w:r>
              <w:rPr>
                <w:sz w:val="19"/>
              </w:rPr>
              <w:t>Peter Weston</w:t>
            </w:r>
          </w:p>
        </w:tc>
        <w:tc>
          <w:tcPr>
            <w:tcW w:w="773" w:type="dxa"/>
            <w:vMerge/>
            <w:tcBorders>
              <w:top w:val="nil"/>
              <w:bottom w:val="single" w:sz="2" w:space="0" w:color="000000"/>
            </w:tcBorders>
          </w:tcPr>
          <w:p>
            <w:pPr>
              <w:rPr>
                <w:sz w:val="2"/>
                <w:szCs w:val="2"/>
              </w:rPr>
            </w:pPr>
          </w:p>
        </w:tc>
      </w:tr>
      <w:tr>
        <w:trPr>
          <w:trHeight w:val="289" w:hRule="atLeast"/>
        </w:trPr>
        <w:tc>
          <w:tcPr>
            <w:tcW w:w="1156" w:type="dxa"/>
          </w:tcPr>
          <w:p>
            <w:pPr>
              <w:pStyle w:val="TableParagraph"/>
              <w:rPr>
                <w:rFonts w:ascii="Times New Roman"/>
                <w:sz w:val="18"/>
              </w:rPr>
            </w:pPr>
          </w:p>
        </w:tc>
        <w:tc>
          <w:tcPr>
            <w:tcW w:w="7312" w:type="dxa"/>
          </w:tcPr>
          <w:p>
            <w:pPr>
              <w:pStyle w:val="TableParagraph"/>
              <w:spacing w:line="211" w:lineRule="exact"/>
              <w:ind w:left="113"/>
              <w:rPr>
                <w:sz w:val="19"/>
              </w:rPr>
            </w:pPr>
            <w:r>
              <w:rPr>
                <w:sz w:val="19"/>
              </w:rPr>
              <w:t>Philip Whitehurst</w:t>
            </w:r>
          </w:p>
        </w:tc>
        <w:tc>
          <w:tcPr>
            <w:tcW w:w="773" w:type="dxa"/>
            <w:vMerge/>
            <w:tcBorders>
              <w:top w:val="nil"/>
              <w:bottom w:val="single" w:sz="2" w:space="0" w:color="000000"/>
            </w:tcBorders>
          </w:tcPr>
          <w:p>
            <w:pPr>
              <w:rPr>
                <w:sz w:val="2"/>
                <w:szCs w:val="2"/>
              </w:rPr>
            </w:pPr>
          </w:p>
        </w:tc>
      </w:tr>
      <w:tr>
        <w:trPr>
          <w:trHeight w:val="306" w:hRule="atLeast"/>
        </w:trPr>
        <w:tc>
          <w:tcPr>
            <w:tcW w:w="1156" w:type="dxa"/>
          </w:tcPr>
          <w:p>
            <w:pPr>
              <w:pStyle w:val="TableParagraph"/>
              <w:spacing w:line="216" w:lineRule="exact" w:before="70"/>
              <w:rPr>
                <w:b/>
                <w:sz w:val="19"/>
              </w:rPr>
            </w:pPr>
            <w:r>
              <w:rPr>
                <w:b/>
                <w:sz w:val="19"/>
              </w:rPr>
              <w:t>Attendees:</w:t>
            </w:r>
          </w:p>
        </w:tc>
        <w:tc>
          <w:tcPr>
            <w:tcW w:w="7312" w:type="dxa"/>
          </w:tcPr>
          <w:p>
            <w:pPr>
              <w:pStyle w:val="TableParagraph"/>
              <w:spacing w:line="215" w:lineRule="exact" w:before="72"/>
              <w:ind w:left="113"/>
              <w:rPr>
                <w:sz w:val="19"/>
              </w:rPr>
            </w:pPr>
            <w:r>
              <w:rPr>
                <w:sz w:val="19"/>
              </w:rPr>
              <w:t>Rob Harris</w:t>
            </w:r>
          </w:p>
        </w:tc>
        <w:tc>
          <w:tcPr>
            <w:tcW w:w="773" w:type="dxa"/>
            <w:vMerge/>
            <w:tcBorders>
              <w:top w:val="nil"/>
              <w:bottom w:val="single" w:sz="2" w:space="0" w:color="000000"/>
            </w:tcBorders>
          </w:tcPr>
          <w:p>
            <w:pPr>
              <w:rPr>
                <w:sz w:val="2"/>
                <w:szCs w:val="2"/>
              </w:rPr>
            </w:pPr>
          </w:p>
        </w:tc>
      </w:tr>
      <w:tr>
        <w:trPr>
          <w:trHeight w:val="244" w:hRule="atLeast"/>
        </w:trPr>
        <w:tc>
          <w:tcPr>
            <w:tcW w:w="1156" w:type="dxa"/>
          </w:tcPr>
          <w:p>
            <w:pPr>
              <w:pStyle w:val="TableParagraph"/>
              <w:rPr>
                <w:rFonts w:ascii="Times New Roman"/>
                <w:sz w:val="16"/>
              </w:rPr>
            </w:pPr>
          </w:p>
        </w:tc>
        <w:tc>
          <w:tcPr>
            <w:tcW w:w="7312" w:type="dxa"/>
          </w:tcPr>
          <w:p>
            <w:pPr>
              <w:pStyle w:val="TableParagraph"/>
              <w:spacing w:line="215" w:lineRule="exact" w:before="9"/>
              <w:ind w:left="113"/>
              <w:rPr>
                <w:sz w:val="19"/>
              </w:rPr>
            </w:pPr>
            <w:r>
              <w:rPr>
                <w:sz w:val="19"/>
              </w:rPr>
              <w:t>Renée Horrell</w:t>
            </w:r>
          </w:p>
        </w:tc>
        <w:tc>
          <w:tcPr>
            <w:tcW w:w="773" w:type="dxa"/>
            <w:vMerge/>
            <w:tcBorders>
              <w:top w:val="nil"/>
              <w:bottom w:val="single" w:sz="2" w:space="0" w:color="000000"/>
            </w:tcBorders>
          </w:tcPr>
          <w:p>
            <w:pPr>
              <w:rPr>
                <w:sz w:val="2"/>
                <w:szCs w:val="2"/>
              </w:rPr>
            </w:pPr>
          </w:p>
        </w:tc>
      </w:tr>
      <w:tr>
        <w:trPr>
          <w:trHeight w:val="477" w:hRule="atLeast"/>
        </w:trPr>
        <w:tc>
          <w:tcPr>
            <w:tcW w:w="1156" w:type="dxa"/>
            <w:tcBorders>
              <w:bottom w:val="single" w:sz="2" w:space="0" w:color="000000"/>
            </w:tcBorders>
          </w:tcPr>
          <w:p>
            <w:pPr>
              <w:pStyle w:val="TableParagraph"/>
              <w:rPr>
                <w:rFonts w:ascii="Times New Roman"/>
                <w:sz w:val="18"/>
              </w:rPr>
            </w:pPr>
          </w:p>
        </w:tc>
        <w:tc>
          <w:tcPr>
            <w:tcW w:w="7312" w:type="dxa"/>
            <w:tcBorders>
              <w:bottom w:val="single" w:sz="2" w:space="0" w:color="000000"/>
            </w:tcBorders>
          </w:tcPr>
          <w:p>
            <w:pPr>
              <w:pStyle w:val="TableParagraph"/>
              <w:spacing w:before="9"/>
              <w:ind w:left="113"/>
              <w:rPr>
                <w:sz w:val="19"/>
              </w:rPr>
            </w:pPr>
            <w:r>
              <w:rPr>
                <w:sz w:val="19"/>
              </w:rPr>
              <w:t>Steve Wright</w:t>
            </w:r>
          </w:p>
        </w:tc>
        <w:tc>
          <w:tcPr>
            <w:tcW w:w="773" w:type="dxa"/>
            <w:vMerge/>
            <w:tcBorders>
              <w:top w:val="nil"/>
              <w:bottom w:val="single" w:sz="2" w:space="0" w:color="000000"/>
            </w:tcBorders>
          </w:tcPr>
          <w:p>
            <w:pPr>
              <w:rPr>
                <w:sz w:val="2"/>
                <w:szCs w:val="2"/>
              </w:rPr>
            </w:pPr>
          </w:p>
        </w:tc>
      </w:tr>
      <w:tr>
        <w:trPr>
          <w:trHeight w:val="546" w:hRule="atLeast"/>
        </w:trPr>
        <w:tc>
          <w:tcPr>
            <w:tcW w:w="1156" w:type="dxa"/>
            <w:tcBorders>
              <w:top w:val="single" w:sz="2" w:space="0" w:color="000000"/>
            </w:tcBorders>
          </w:tcPr>
          <w:p>
            <w:pPr>
              <w:pStyle w:val="TableParagraph"/>
              <w:spacing w:before="3"/>
              <w:rPr>
                <w:sz w:val="18"/>
              </w:rPr>
            </w:pPr>
          </w:p>
          <w:p>
            <w:pPr>
              <w:pStyle w:val="TableParagraph"/>
              <w:ind w:left="101"/>
              <w:rPr>
                <w:b/>
                <w:sz w:val="19"/>
              </w:rPr>
            </w:pPr>
            <w:r>
              <w:rPr>
                <w:b/>
                <w:sz w:val="19"/>
              </w:rPr>
              <w:t>Minute no.</w:t>
            </w:r>
          </w:p>
        </w:tc>
        <w:tc>
          <w:tcPr>
            <w:tcW w:w="7312" w:type="dxa"/>
            <w:tcBorders>
              <w:top w:val="single" w:sz="2" w:space="0" w:color="000000"/>
            </w:tcBorders>
          </w:tcPr>
          <w:p>
            <w:pPr>
              <w:pStyle w:val="TableParagraph"/>
              <w:spacing w:before="3"/>
              <w:rPr>
                <w:sz w:val="18"/>
              </w:rPr>
            </w:pPr>
          </w:p>
          <w:p>
            <w:pPr>
              <w:pStyle w:val="TableParagraph"/>
              <w:ind w:left="195"/>
              <w:rPr>
                <w:b/>
                <w:sz w:val="19"/>
              </w:rPr>
            </w:pPr>
            <w:r>
              <w:rPr>
                <w:b/>
                <w:sz w:val="19"/>
              </w:rPr>
              <w:t>Minute</w:t>
            </w:r>
          </w:p>
        </w:tc>
        <w:tc>
          <w:tcPr>
            <w:tcW w:w="773" w:type="dxa"/>
            <w:tcBorders>
              <w:top w:val="single" w:sz="2" w:space="0" w:color="000000"/>
            </w:tcBorders>
          </w:tcPr>
          <w:p>
            <w:pPr>
              <w:pStyle w:val="TableParagraph"/>
              <w:spacing w:before="3"/>
              <w:rPr>
                <w:sz w:val="18"/>
              </w:rPr>
            </w:pPr>
          </w:p>
          <w:p>
            <w:pPr>
              <w:pStyle w:val="TableParagraph"/>
              <w:ind w:right="15"/>
              <w:jc w:val="right"/>
              <w:rPr>
                <w:b/>
                <w:sz w:val="19"/>
              </w:rPr>
            </w:pPr>
            <w:r>
              <w:rPr>
                <w:b/>
                <w:w w:val="95"/>
                <w:sz w:val="19"/>
              </w:rPr>
              <w:t>Action</w:t>
            </w:r>
          </w:p>
        </w:tc>
      </w:tr>
      <w:tr>
        <w:trPr>
          <w:trHeight w:val="332" w:hRule="atLeast"/>
        </w:trPr>
        <w:tc>
          <w:tcPr>
            <w:tcW w:w="1156" w:type="dxa"/>
          </w:tcPr>
          <w:p>
            <w:pPr>
              <w:pStyle w:val="TableParagraph"/>
              <w:spacing w:line="201" w:lineRule="exact" w:before="111"/>
              <w:ind w:left="102"/>
              <w:rPr>
                <w:sz w:val="19"/>
              </w:rPr>
            </w:pPr>
            <w:r>
              <w:rPr>
                <w:sz w:val="19"/>
              </w:rPr>
              <w:t>1.</w:t>
            </w:r>
          </w:p>
        </w:tc>
        <w:tc>
          <w:tcPr>
            <w:tcW w:w="7312" w:type="dxa"/>
          </w:tcPr>
          <w:p>
            <w:pPr>
              <w:pStyle w:val="TableParagraph"/>
              <w:spacing w:line="202" w:lineRule="exact" w:before="110"/>
              <w:ind w:left="195"/>
              <w:rPr>
                <w:b/>
                <w:sz w:val="19"/>
              </w:rPr>
            </w:pPr>
            <w:r>
              <w:rPr>
                <w:b/>
                <w:sz w:val="19"/>
              </w:rPr>
              <w:t>Review of the SONIA Dashboard</w:t>
            </w:r>
          </w:p>
        </w:tc>
        <w:tc>
          <w:tcPr>
            <w:tcW w:w="773" w:type="dxa"/>
          </w:tcPr>
          <w:p>
            <w:pPr>
              <w:pStyle w:val="TableParagraph"/>
              <w:spacing w:line="201" w:lineRule="exact" w:before="111"/>
              <w:ind w:right="14"/>
              <w:jc w:val="right"/>
              <w:rPr>
                <w:sz w:val="19"/>
              </w:rPr>
            </w:pPr>
            <w:r>
              <w:rPr>
                <w:w w:val="99"/>
                <w:sz w:val="19"/>
              </w:rPr>
              <w:t>4</w:t>
            </w:r>
          </w:p>
        </w:tc>
      </w:tr>
      <w:tr>
        <w:trPr>
          <w:trHeight w:val="215" w:hRule="atLeast"/>
        </w:trPr>
        <w:tc>
          <w:tcPr>
            <w:tcW w:w="1156" w:type="dxa"/>
          </w:tcPr>
          <w:p>
            <w:pPr>
              <w:pStyle w:val="TableParagraph"/>
              <w:rPr>
                <w:rFonts w:ascii="Times New Roman"/>
                <w:sz w:val="14"/>
              </w:rPr>
            </w:pPr>
          </w:p>
        </w:tc>
        <w:tc>
          <w:tcPr>
            <w:tcW w:w="7312" w:type="dxa"/>
          </w:tcPr>
          <w:p>
            <w:pPr>
              <w:pStyle w:val="TableParagraph"/>
              <w:spacing w:line="196" w:lineRule="exact"/>
              <w:ind w:left="195"/>
              <w:rPr>
                <w:sz w:val="19"/>
              </w:rPr>
            </w:pPr>
            <w:r>
              <w:rPr>
                <w:sz w:val="19"/>
              </w:rPr>
              <w:t>The Committee reviewed the SONIA Dashboard covering the period of September</w:t>
            </w:r>
          </w:p>
        </w:tc>
        <w:tc>
          <w:tcPr>
            <w:tcW w:w="773" w:type="dxa"/>
          </w:tcPr>
          <w:p>
            <w:pPr>
              <w:pStyle w:val="TableParagraph"/>
              <w:rPr>
                <w:rFonts w:ascii="Times New Roman"/>
                <w:sz w:val="14"/>
              </w:rPr>
            </w:pPr>
          </w:p>
        </w:tc>
      </w:tr>
      <w:tr>
        <w:trPr>
          <w:trHeight w:val="329" w:hRule="atLeast"/>
        </w:trPr>
        <w:tc>
          <w:tcPr>
            <w:tcW w:w="1156" w:type="dxa"/>
          </w:tcPr>
          <w:p>
            <w:pPr>
              <w:pStyle w:val="TableParagraph"/>
              <w:rPr>
                <w:rFonts w:ascii="Times New Roman"/>
                <w:sz w:val="18"/>
              </w:rPr>
            </w:pPr>
          </w:p>
        </w:tc>
        <w:tc>
          <w:tcPr>
            <w:tcW w:w="7312" w:type="dxa"/>
          </w:tcPr>
          <w:p>
            <w:pPr>
              <w:pStyle w:val="TableParagraph"/>
              <w:spacing w:line="214" w:lineRule="exact"/>
              <w:ind w:left="195"/>
              <w:rPr>
                <w:sz w:val="19"/>
              </w:rPr>
            </w:pPr>
            <w:r>
              <w:rPr>
                <w:sz w:val="19"/>
              </w:rPr>
              <w:t>to November.</w:t>
            </w:r>
          </w:p>
        </w:tc>
        <w:tc>
          <w:tcPr>
            <w:tcW w:w="773" w:type="dxa"/>
          </w:tcPr>
          <w:p>
            <w:pPr>
              <w:pStyle w:val="TableParagraph"/>
              <w:rPr>
                <w:rFonts w:ascii="Times New Roman"/>
                <w:sz w:val="18"/>
              </w:rPr>
            </w:pPr>
          </w:p>
        </w:tc>
      </w:tr>
      <w:tr>
        <w:trPr>
          <w:trHeight w:val="329" w:hRule="atLeast"/>
        </w:trPr>
        <w:tc>
          <w:tcPr>
            <w:tcW w:w="1156" w:type="dxa"/>
          </w:tcPr>
          <w:p>
            <w:pPr>
              <w:pStyle w:val="TableParagraph"/>
              <w:rPr>
                <w:rFonts w:ascii="Times New Roman"/>
                <w:sz w:val="18"/>
              </w:rPr>
            </w:pPr>
          </w:p>
        </w:tc>
        <w:tc>
          <w:tcPr>
            <w:tcW w:w="7312" w:type="dxa"/>
          </w:tcPr>
          <w:p>
            <w:pPr>
              <w:pStyle w:val="TableParagraph"/>
              <w:spacing w:line="201" w:lineRule="exact" w:before="108"/>
              <w:ind w:left="195"/>
              <w:rPr>
                <w:sz w:val="19"/>
              </w:rPr>
            </w:pPr>
            <w:r>
              <w:rPr>
                <w:sz w:val="19"/>
              </w:rPr>
              <w:t>SONIA had been stable throughout the period, with the exception of month-ends,</w:t>
            </w:r>
          </w:p>
        </w:tc>
        <w:tc>
          <w:tcPr>
            <w:tcW w:w="773" w:type="dxa"/>
          </w:tcPr>
          <w:p>
            <w:pPr>
              <w:pStyle w:val="TableParagraph"/>
              <w:rPr>
                <w:rFonts w:ascii="Times New Roman"/>
                <w:sz w:val="18"/>
              </w:rPr>
            </w:pPr>
          </w:p>
        </w:tc>
      </w:tr>
      <w:tr>
        <w:trPr>
          <w:trHeight w:val="215" w:hRule="atLeast"/>
        </w:trPr>
        <w:tc>
          <w:tcPr>
            <w:tcW w:w="1156" w:type="dxa"/>
          </w:tcPr>
          <w:p>
            <w:pPr>
              <w:pStyle w:val="TableParagraph"/>
              <w:rPr>
                <w:rFonts w:ascii="Times New Roman"/>
                <w:sz w:val="14"/>
              </w:rPr>
            </w:pPr>
          </w:p>
        </w:tc>
        <w:tc>
          <w:tcPr>
            <w:tcW w:w="7312" w:type="dxa"/>
          </w:tcPr>
          <w:p>
            <w:pPr>
              <w:pStyle w:val="TableParagraph"/>
              <w:spacing w:line="196" w:lineRule="exact"/>
              <w:ind w:left="195"/>
              <w:rPr>
                <w:sz w:val="19"/>
              </w:rPr>
            </w:pPr>
            <w:r>
              <w:rPr>
                <w:sz w:val="19"/>
              </w:rPr>
              <w:t>when the rate fell slightly, but in line with recent experience. Volumes had been</w:t>
            </w:r>
          </w:p>
        </w:tc>
        <w:tc>
          <w:tcPr>
            <w:tcW w:w="773" w:type="dxa"/>
          </w:tcPr>
          <w:p>
            <w:pPr>
              <w:pStyle w:val="TableParagraph"/>
              <w:rPr>
                <w:rFonts w:ascii="Times New Roman"/>
                <w:sz w:val="14"/>
              </w:rPr>
            </w:pPr>
          </w:p>
        </w:tc>
      </w:tr>
      <w:tr>
        <w:trPr>
          <w:trHeight w:val="216" w:hRule="atLeast"/>
        </w:trPr>
        <w:tc>
          <w:tcPr>
            <w:tcW w:w="1156" w:type="dxa"/>
          </w:tcPr>
          <w:p>
            <w:pPr>
              <w:pStyle w:val="TableParagraph"/>
              <w:rPr>
                <w:rFonts w:ascii="Times New Roman"/>
                <w:sz w:val="14"/>
              </w:rPr>
            </w:pPr>
          </w:p>
        </w:tc>
        <w:tc>
          <w:tcPr>
            <w:tcW w:w="7312" w:type="dxa"/>
          </w:tcPr>
          <w:p>
            <w:pPr>
              <w:pStyle w:val="TableParagraph"/>
              <w:spacing w:line="197" w:lineRule="exact"/>
              <w:ind w:left="195"/>
              <w:rPr>
                <w:sz w:val="19"/>
              </w:rPr>
            </w:pPr>
            <w:r>
              <w:rPr>
                <w:sz w:val="19"/>
              </w:rPr>
              <w:t>growing steadily throughout the period, averaging around £12bn in November,</w:t>
            </w:r>
          </w:p>
        </w:tc>
        <w:tc>
          <w:tcPr>
            <w:tcW w:w="773" w:type="dxa"/>
          </w:tcPr>
          <w:p>
            <w:pPr>
              <w:pStyle w:val="TableParagraph"/>
              <w:rPr>
                <w:rFonts w:ascii="Times New Roman"/>
                <w:sz w:val="14"/>
              </w:rPr>
            </w:pPr>
          </w:p>
        </w:tc>
      </w:tr>
      <w:tr>
        <w:trPr>
          <w:trHeight w:val="329" w:hRule="atLeast"/>
        </w:trPr>
        <w:tc>
          <w:tcPr>
            <w:tcW w:w="1156" w:type="dxa"/>
          </w:tcPr>
          <w:p>
            <w:pPr>
              <w:pStyle w:val="TableParagraph"/>
              <w:rPr>
                <w:rFonts w:ascii="Times New Roman"/>
                <w:sz w:val="18"/>
              </w:rPr>
            </w:pPr>
          </w:p>
        </w:tc>
        <w:tc>
          <w:tcPr>
            <w:tcW w:w="7312" w:type="dxa"/>
          </w:tcPr>
          <w:p>
            <w:pPr>
              <w:pStyle w:val="TableParagraph"/>
              <w:spacing w:line="214" w:lineRule="exact"/>
              <w:ind w:left="195"/>
              <w:rPr>
                <w:sz w:val="19"/>
              </w:rPr>
            </w:pPr>
            <w:r>
              <w:rPr>
                <w:sz w:val="19"/>
              </w:rPr>
              <w:t>compared to £9bn in the prior quarter.</w:t>
            </w:r>
          </w:p>
        </w:tc>
        <w:tc>
          <w:tcPr>
            <w:tcW w:w="773" w:type="dxa"/>
          </w:tcPr>
          <w:p>
            <w:pPr>
              <w:pStyle w:val="TableParagraph"/>
              <w:rPr>
                <w:rFonts w:ascii="Times New Roman"/>
                <w:sz w:val="18"/>
              </w:rPr>
            </w:pPr>
          </w:p>
        </w:tc>
      </w:tr>
      <w:tr>
        <w:trPr>
          <w:trHeight w:val="329" w:hRule="atLeast"/>
        </w:trPr>
        <w:tc>
          <w:tcPr>
            <w:tcW w:w="1156" w:type="dxa"/>
          </w:tcPr>
          <w:p>
            <w:pPr>
              <w:pStyle w:val="TableParagraph"/>
              <w:rPr>
                <w:rFonts w:ascii="Times New Roman"/>
                <w:sz w:val="18"/>
              </w:rPr>
            </w:pPr>
          </w:p>
        </w:tc>
        <w:tc>
          <w:tcPr>
            <w:tcW w:w="7312" w:type="dxa"/>
          </w:tcPr>
          <w:p>
            <w:pPr>
              <w:pStyle w:val="TableParagraph"/>
              <w:spacing w:line="201" w:lineRule="exact" w:before="108"/>
              <w:ind w:left="195"/>
              <w:rPr>
                <w:sz w:val="19"/>
              </w:rPr>
            </w:pPr>
            <w:r>
              <w:rPr>
                <w:sz w:val="19"/>
              </w:rPr>
              <w:t>There were three contributor system issues during the quarter. On each occasion,</w:t>
            </w:r>
          </w:p>
        </w:tc>
        <w:tc>
          <w:tcPr>
            <w:tcW w:w="773" w:type="dxa"/>
          </w:tcPr>
          <w:p>
            <w:pPr>
              <w:pStyle w:val="TableParagraph"/>
              <w:rPr>
                <w:rFonts w:ascii="Times New Roman"/>
                <w:sz w:val="18"/>
              </w:rPr>
            </w:pPr>
          </w:p>
        </w:tc>
      </w:tr>
      <w:tr>
        <w:trPr>
          <w:trHeight w:val="544" w:hRule="atLeast"/>
        </w:trPr>
        <w:tc>
          <w:tcPr>
            <w:tcW w:w="1156" w:type="dxa"/>
          </w:tcPr>
          <w:p>
            <w:pPr>
              <w:pStyle w:val="TableParagraph"/>
              <w:rPr>
                <w:rFonts w:ascii="Times New Roman"/>
                <w:sz w:val="18"/>
              </w:rPr>
            </w:pPr>
          </w:p>
        </w:tc>
        <w:tc>
          <w:tcPr>
            <w:tcW w:w="7312" w:type="dxa"/>
          </w:tcPr>
          <w:p>
            <w:pPr>
              <w:pStyle w:val="TableParagraph"/>
              <w:spacing w:line="235" w:lineRule="auto"/>
              <w:ind w:left="195" w:right="368"/>
              <w:rPr>
                <w:sz w:val="19"/>
              </w:rPr>
            </w:pPr>
            <w:r>
              <w:rPr>
                <w:sz w:val="19"/>
              </w:rPr>
              <w:t>alternative processes allowed input data to be transferred, validated and used in the calculation, with no impact on the timely publication of the benchmark.</w:t>
            </w:r>
          </w:p>
        </w:tc>
        <w:tc>
          <w:tcPr>
            <w:tcW w:w="773" w:type="dxa"/>
          </w:tcPr>
          <w:p>
            <w:pPr>
              <w:pStyle w:val="TableParagraph"/>
              <w:rPr>
                <w:rFonts w:ascii="Times New Roman"/>
                <w:sz w:val="18"/>
              </w:rPr>
            </w:pPr>
          </w:p>
        </w:tc>
      </w:tr>
      <w:tr>
        <w:trPr>
          <w:trHeight w:val="330" w:hRule="atLeast"/>
        </w:trPr>
        <w:tc>
          <w:tcPr>
            <w:tcW w:w="1156" w:type="dxa"/>
          </w:tcPr>
          <w:p>
            <w:pPr>
              <w:pStyle w:val="TableParagraph"/>
              <w:rPr>
                <w:rFonts w:ascii="Times New Roman"/>
                <w:sz w:val="18"/>
              </w:rPr>
            </w:pPr>
          </w:p>
        </w:tc>
        <w:tc>
          <w:tcPr>
            <w:tcW w:w="7312" w:type="dxa"/>
          </w:tcPr>
          <w:p>
            <w:pPr>
              <w:pStyle w:val="TableParagraph"/>
              <w:spacing w:line="201" w:lineRule="exact" w:before="108"/>
              <w:ind w:left="195"/>
              <w:rPr>
                <w:sz w:val="19"/>
              </w:rPr>
            </w:pPr>
            <w:r>
              <w:rPr>
                <w:sz w:val="19"/>
              </w:rPr>
              <w:t>The Dashboard showed a number of plausibility checks by the WMBA to</w:t>
            </w:r>
          </w:p>
        </w:tc>
        <w:tc>
          <w:tcPr>
            <w:tcW w:w="773" w:type="dxa"/>
          </w:tcPr>
          <w:p>
            <w:pPr>
              <w:pStyle w:val="TableParagraph"/>
              <w:rPr>
                <w:rFonts w:ascii="Times New Roman"/>
                <w:sz w:val="18"/>
              </w:rPr>
            </w:pPr>
          </w:p>
        </w:tc>
      </w:tr>
      <w:tr>
        <w:trPr>
          <w:trHeight w:val="432" w:hRule="atLeast"/>
        </w:trPr>
        <w:tc>
          <w:tcPr>
            <w:tcW w:w="1156" w:type="dxa"/>
          </w:tcPr>
          <w:p>
            <w:pPr>
              <w:pStyle w:val="TableParagraph"/>
              <w:rPr>
                <w:rFonts w:ascii="Times New Roman"/>
                <w:sz w:val="18"/>
              </w:rPr>
            </w:pPr>
          </w:p>
        </w:tc>
        <w:tc>
          <w:tcPr>
            <w:tcW w:w="7312" w:type="dxa"/>
          </w:tcPr>
          <w:p>
            <w:pPr>
              <w:pStyle w:val="TableParagraph"/>
              <w:spacing w:line="214" w:lineRule="exact" w:before="2"/>
              <w:ind w:left="195" w:right="84"/>
              <w:rPr>
                <w:sz w:val="19"/>
              </w:rPr>
            </w:pPr>
            <w:r>
              <w:rPr>
                <w:sz w:val="19"/>
              </w:rPr>
              <w:t>contributor firms to confirm trades. On each occasion, these trades were successfully confirmed. There was some discussion of the appropriate ranges to be</w:t>
            </w:r>
          </w:p>
        </w:tc>
        <w:tc>
          <w:tcPr>
            <w:tcW w:w="773" w:type="dxa"/>
          </w:tcPr>
          <w:p>
            <w:pPr>
              <w:pStyle w:val="TableParagraph"/>
              <w:rPr>
                <w:rFonts w:ascii="Times New Roman"/>
                <w:sz w:val="18"/>
              </w:rPr>
            </w:pPr>
          </w:p>
        </w:tc>
      </w:tr>
      <w:tr>
        <w:trPr>
          <w:trHeight w:val="217" w:hRule="atLeast"/>
        </w:trPr>
        <w:tc>
          <w:tcPr>
            <w:tcW w:w="1156" w:type="dxa"/>
          </w:tcPr>
          <w:p>
            <w:pPr>
              <w:pStyle w:val="TableParagraph"/>
              <w:rPr>
                <w:rFonts w:ascii="Times New Roman"/>
                <w:sz w:val="14"/>
              </w:rPr>
            </w:pPr>
          </w:p>
        </w:tc>
        <w:tc>
          <w:tcPr>
            <w:tcW w:w="7312" w:type="dxa"/>
          </w:tcPr>
          <w:p>
            <w:pPr>
              <w:pStyle w:val="TableParagraph"/>
              <w:spacing w:line="197" w:lineRule="exact"/>
              <w:ind w:left="195"/>
              <w:rPr>
                <w:sz w:val="19"/>
              </w:rPr>
            </w:pPr>
            <w:r>
              <w:rPr>
                <w:sz w:val="19"/>
              </w:rPr>
              <w:t>used for such queries, since compression of rates since the 4 August cut in Bank</w:t>
            </w:r>
          </w:p>
        </w:tc>
        <w:tc>
          <w:tcPr>
            <w:tcW w:w="773" w:type="dxa"/>
          </w:tcPr>
          <w:p>
            <w:pPr>
              <w:pStyle w:val="TableParagraph"/>
              <w:rPr>
                <w:rFonts w:ascii="Times New Roman"/>
                <w:sz w:val="14"/>
              </w:rPr>
            </w:pPr>
          </w:p>
        </w:tc>
      </w:tr>
      <w:tr>
        <w:trPr>
          <w:trHeight w:val="432" w:hRule="atLeast"/>
        </w:trPr>
        <w:tc>
          <w:tcPr>
            <w:tcW w:w="1156" w:type="dxa"/>
          </w:tcPr>
          <w:p>
            <w:pPr>
              <w:pStyle w:val="TableParagraph"/>
              <w:rPr>
                <w:rFonts w:ascii="Times New Roman"/>
                <w:sz w:val="18"/>
              </w:rPr>
            </w:pPr>
          </w:p>
        </w:tc>
        <w:tc>
          <w:tcPr>
            <w:tcW w:w="7312" w:type="dxa"/>
          </w:tcPr>
          <w:p>
            <w:pPr>
              <w:pStyle w:val="TableParagraph"/>
              <w:spacing w:line="214" w:lineRule="exact" w:before="2"/>
              <w:ind w:left="195" w:right="326"/>
              <w:rPr>
                <w:sz w:val="19"/>
              </w:rPr>
            </w:pPr>
            <w:r>
              <w:rPr>
                <w:sz w:val="19"/>
              </w:rPr>
              <w:t>Rate had increased the frequency of plausibility checks. It was recognised that appropriate thresholds balanced the need to identify potentially erroneous trades</w:t>
            </w:r>
          </w:p>
        </w:tc>
        <w:tc>
          <w:tcPr>
            <w:tcW w:w="773" w:type="dxa"/>
          </w:tcPr>
          <w:p>
            <w:pPr>
              <w:pStyle w:val="TableParagraph"/>
              <w:rPr>
                <w:rFonts w:ascii="Times New Roman"/>
                <w:sz w:val="18"/>
              </w:rPr>
            </w:pPr>
          </w:p>
        </w:tc>
      </w:tr>
      <w:tr>
        <w:trPr>
          <w:trHeight w:val="217" w:hRule="atLeast"/>
        </w:trPr>
        <w:tc>
          <w:tcPr>
            <w:tcW w:w="1156" w:type="dxa"/>
          </w:tcPr>
          <w:p>
            <w:pPr>
              <w:pStyle w:val="TableParagraph"/>
              <w:rPr>
                <w:rFonts w:ascii="Times New Roman"/>
                <w:sz w:val="14"/>
              </w:rPr>
            </w:pPr>
          </w:p>
        </w:tc>
        <w:tc>
          <w:tcPr>
            <w:tcW w:w="7312" w:type="dxa"/>
          </w:tcPr>
          <w:p>
            <w:pPr>
              <w:pStyle w:val="TableParagraph"/>
              <w:spacing w:line="197" w:lineRule="exact"/>
              <w:ind w:left="195"/>
              <w:rPr>
                <w:sz w:val="19"/>
              </w:rPr>
            </w:pPr>
            <w:r>
              <w:rPr>
                <w:sz w:val="19"/>
              </w:rPr>
              <w:t>and minimising the burden on brokers in responding queries. The WMBA agreed to</w:t>
            </w:r>
          </w:p>
        </w:tc>
        <w:tc>
          <w:tcPr>
            <w:tcW w:w="773" w:type="dxa"/>
          </w:tcPr>
          <w:p>
            <w:pPr>
              <w:pStyle w:val="TableParagraph"/>
              <w:rPr>
                <w:rFonts w:ascii="Times New Roman"/>
                <w:sz w:val="14"/>
              </w:rPr>
            </w:pPr>
          </w:p>
        </w:tc>
      </w:tr>
      <w:tr>
        <w:trPr>
          <w:trHeight w:val="328" w:hRule="atLeast"/>
        </w:trPr>
        <w:tc>
          <w:tcPr>
            <w:tcW w:w="1156" w:type="dxa"/>
          </w:tcPr>
          <w:p>
            <w:pPr>
              <w:pStyle w:val="TableParagraph"/>
              <w:rPr>
                <w:rFonts w:ascii="Times New Roman"/>
                <w:sz w:val="18"/>
              </w:rPr>
            </w:pPr>
          </w:p>
        </w:tc>
        <w:tc>
          <w:tcPr>
            <w:tcW w:w="7312" w:type="dxa"/>
          </w:tcPr>
          <w:p>
            <w:pPr>
              <w:pStyle w:val="TableParagraph"/>
              <w:spacing w:line="214" w:lineRule="exact"/>
              <w:ind w:left="195"/>
              <w:rPr>
                <w:sz w:val="19"/>
              </w:rPr>
            </w:pPr>
            <w:r>
              <w:rPr>
                <w:sz w:val="19"/>
              </w:rPr>
              <w:t>conduct further analysis.</w:t>
            </w:r>
          </w:p>
        </w:tc>
        <w:tc>
          <w:tcPr>
            <w:tcW w:w="773" w:type="dxa"/>
          </w:tcPr>
          <w:p>
            <w:pPr>
              <w:pStyle w:val="TableParagraph"/>
              <w:rPr>
                <w:rFonts w:ascii="Times New Roman"/>
                <w:sz w:val="18"/>
              </w:rPr>
            </w:pPr>
          </w:p>
        </w:tc>
      </w:tr>
      <w:tr>
        <w:trPr>
          <w:trHeight w:val="328" w:hRule="atLeast"/>
        </w:trPr>
        <w:tc>
          <w:tcPr>
            <w:tcW w:w="1156" w:type="dxa"/>
          </w:tcPr>
          <w:p>
            <w:pPr>
              <w:pStyle w:val="TableParagraph"/>
              <w:spacing w:line="201" w:lineRule="exact" w:before="107"/>
              <w:ind w:left="102"/>
              <w:rPr>
                <w:sz w:val="19"/>
              </w:rPr>
            </w:pPr>
            <w:r>
              <w:rPr>
                <w:sz w:val="19"/>
              </w:rPr>
              <w:t>2.</w:t>
            </w:r>
          </w:p>
        </w:tc>
        <w:tc>
          <w:tcPr>
            <w:tcW w:w="7312" w:type="dxa"/>
          </w:tcPr>
          <w:p>
            <w:pPr>
              <w:pStyle w:val="TableParagraph"/>
              <w:spacing w:line="201" w:lineRule="exact" w:before="107"/>
              <w:ind w:left="195"/>
              <w:rPr>
                <w:b/>
                <w:sz w:val="19"/>
              </w:rPr>
            </w:pPr>
            <w:r>
              <w:rPr>
                <w:b/>
                <w:sz w:val="19"/>
              </w:rPr>
              <w:t>Bank’s internal audit of the interim governance arrangements for SONIA</w:t>
            </w:r>
          </w:p>
        </w:tc>
        <w:tc>
          <w:tcPr>
            <w:tcW w:w="773" w:type="dxa"/>
          </w:tcPr>
          <w:p>
            <w:pPr>
              <w:pStyle w:val="TableParagraph"/>
              <w:spacing w:line="201" w:lineRule="exact" w:before="107"/>
              <w:ind w:right="13"/>
              <w:jc w:val="right"/>
              <w:rPr>
                <w:sz w:val="19"/>
              </w:rPr>
            </w:pPr>
            <w:r>
              <w:rPr>
                <w:w w:val="95"/>
                <w:sz w:val="19"/>
              </w:rPr>
              <w:t>N/A</w:t>
            </w:r>
          </w:p>
        </w:tc>
      </w:tr>
      <w:tr>
        <w:trPr>
          <w:trHeight w:val="217" w:hRule="atLeast"/>
        </w:trPr>
        <w:tc>
          <w:tcPr>
            <w:tcW w:w="1156" w:type="dxa"/>
          </w:tcPr>
          <w:p>
            <w:pPr>
              <w:pStyle w:val="TableParagraph"/>
              <w:rPr>
                <w:rFonts w:ascii="Times New Roman"/>
                <w:sz w:val="14"/>
              </w:rPr>
            </w:pPr>
          </w:p>
        </w:tc>
        <w:tc>
          <w:tcPr>
            <w:tcW w:w="7312" w:type="dxa"/>
          </w:tcPr>
          <w:p>
            <w:pPr>
              <w:pStyle w:val="TableParagraph"/>
              <w:spacing w:line="197" w:lineRule="exact"/>
              <w:ind w:left="195"/>
              <w:rPr>
                <w:sz w:val="19"/>
              </w:rPr>
            </w:pPr>
            <w:r>
              <w:rPr>
                <w:sz w:val="19"/>
              </w:rPr>
              <w:t>The Bank had previously made the Advisory Committee aware that an internal</w:t>
            </w:r>
          </w:p>
        </w:tc>
        <w:tc>
          <w:tcPr>
            <w:tcW w:w="773" w:type="dxa"/>
          </w:tcPr>
          <w:p>
            <w:pPr>
              <w:pStyle w:val="TableParagraph"/>
              <w:rPr>
                <w:rFonts w:ascii="Times New Roman"/>
                <w:sz w:val="14"/>
              </w:rPr>
            </w:pPr>
          </w:p>
        </w:tc>
      </w:tr>
      <w:tr>
        <w:trPr>
          <w:trHeight w:val="432" w:hRule="atLeast"/>
        </w:trPr>
        <w:tc>
          <w:tcPr>
            <w:tcW w:w="1156" w:type="dxa"/>
          </w:tcPr>
          <w:p>
            <w:pPr>
              <w:pStyle w:val="TableParagraph"/>
              <w:rPr>
                <w:rFonts w:ascii="Times New Roman"/>
                <w:sz w:val="18"/>
              </w:rPr>
            </w:pPr>
          </w:p>
        </w:tc>
        <w:tc>
          <w:tcPr>
            <w:tcW w:w="7312" w:type="dxa"/>
          </w:tcPr>
          <w:p>
            <w:pPr>
              <w:pStyle w:val="TableParagraph"/>
              <w:spacing w:line="214" w:lineRule="exact" w:before="2"/>
              <w:ind w:left="195" w:right="84"/>
              <w:rPr>
                <w:sz w:val="19"/>
              </w:rPr>
            </w:pPr>
            <w:r>
              <w:rPr>
                <w:sz w:val="19"/>
              </w:rPr>
              <w:t>audit had been arranged to review the interim governance arrangements for SONIA during the period for which the WMBA act as calculation and publication agent on</w:t>
            </w:r>
          </w:p>
        </w:tc>
        <w:tc>
          <w:tcPr>
            <w:tcW w:w="773" w:type="dxa"/>
          </w:tcPr>
          <w:p>
            <w:pPr>
              <w:pStyle w:val="TableParagraph"/>
              <w:rPr>
                <w:rFonts w:ascii="Times New Roman"/>
                <w:sz w:val="18"/>
              </w:rPr>
            </w:pPr>
          </w:p>
        </w:tc>
      </w:tr>
      <w:tr>
        <w:trPr>
          <w:trHeight w:val="270" w:hRule="atLeast"/>
        </w:trPr>
        <w:tc>
          <w:tcPr>
            <w:tcW w:w="1156" w:type="dxa"/>
          </w:tcPr>
          <w:p>
            <w:pPr>
              <w:pStyle w:val="TableParagraph"/>
              <w:rPr>
                <w:rFonts w:ascii="Times New Roman"/>
                <w:sz w:val="18"/>
              </w:rPr>
            </w:pPr>
          </w:p>
        </w:tc>
        <w:tc>
          <w:tcPr>
            <w:tcW w:w="7312" w:type="dxa"/>
          </w:tcPr>
          <w:p>
            <w:pPr>
              <w:pStyle w:val="TableParagraph"/>
              <w:spacing w:line="214" w:lineRule="exact"/>
              <w:ind w:left="195"/>
              <w:rPr>
                <w:sz w:val="19"/>
              </w:rPr>
            </w:pPr>
            <w:r>
              <w:rPr>
                <w:sz w:val="19"/>
              </w:rPr>
              <w:t>behalf of the Bank. This audit was completed in November 2016, having reviewed:</w:t>
            </w:r>
          </w:p>
        </w:tc>
        <w:tc>
          <w:tcPr>
            <w:tcW w:w="773" w:type="dxa"/>
          </w:tcPr>
          <w:p>
            <w:pPr>
              <w:pStyle w:val="TableParagraph"/>
              <w:rPr>
                <w:rFonts w:ascii="Times New Roman"/>
                <w:sz w:val="18"/>
              </w:rPr>
            </w:pPr>
          </w:p>
        </w:tc>
      </w:tr>
      <w:tr>
        <w:trPr>
          <w:trHeight w:val="557" w:hRule="atLeast"/>
        </w:trPr>
        <w:tc>
          <w:tcPr>
            <w:tcW w:w="1156" w:type="dxa"/>
          </w:tcPr>
          <w:p>
            <w:pPr>
              <w:pStyle w:val="TableParagraph"/>
              <w:rPr>
                <w:rFonts w:ascii="Times New Roman"/>
                <w:sz w:val="18"/>
              </w:rPr>
            </w:pPr>
          </w:p>
        </w:tc>
        <w:tc>
          <w:tcPr>
            <w:tcW w:w="7312" w:type="dxa"/>
          </w:tcPr>
          <w:p>
            <w:pPr>
              <w:pStyle w:val="TableParagraph"/>
              <w:numPr>
                <w:ilvl w:val="0"/>
                <w:numId w:val="1"/>
              </w:numPr>
              <w:tabs>
                <w:tab w:pos="873" w:val="left" w:leader="none"/>
                <w:tab w:pos="874" w:val="left" w:leader="none"/>
              </w:tabs>
              <w:spacing w:line="235" w:lineRule="auto" w:before="58" w:after="0"/>
              <w:ind w:left="873" w:right="828" w:hanging="340"/>
              <w:jc w:val="left"/>
              <w:rPr>
                <w:sz w:val="19"/>
              </w:rPr>
            </w:pPr>
            <w:r>
              <w:rPr>
                <w:sz w:val="19"/>
              </w:rPr>
              <w:t>The</w:t>
            </w:r>
            <w:r>
              <w:rPr>
                <w:spacing w:val="-10"/>
                <w:sz w:val="19"/>
              </w:rPr>
              <w:t> </w:t>
            </w:r>
            <w:r>
              <w:rPr>
                <w:sz w:val="19"/>
              </w:rPr>
              <w:t>role</w:t>
            </w:r>
            <w:r>
              <w:rPr>
                <w:spacing w:val="-10"/>
                <w:sz w:val="19"/>
              </w:rPr>
              <w:t> </w:t>
            </w:r>
            <w:r>
              <w:rPr>
                <w:sz w:val="19"/>
              </w:rPr>
              <w:t>of</w:t>
            </w:r>
            <w:r>
              <w:rPr>
                <w:spacing w:val="-8"/>
                <w:sz w:val="19"/>
              </w:rPr>
              <w:t> </w:t>
            </w:r>
            <w:r>
              <w:rPr>
                <w:sz w:val="19"/>
              </w:rPr>
              <w:t>the</w:t>
            </w:r>
            <w:r>
              <w:rPr>
                <w:spacing w:val="-9"/>
                <w:sz w:val="19"/>
              </w:rPr>
              <w:t> </w:t>
            </w:r>
            <w:r>
              <w:rPr>
                <w:sz w:val="19"/>
              </w:rPr>
              <w:t>Advisory</w:t>
            </w:r>
            <w:r>
              <w:rPr>
                <w:spacing w:val="-9"/>
                <w:sz w:val="19"/>
              </w:rPr>
              <w:t> </w:t>
            </w:r>
            <w:r>
              <w:rPr>
                <w:sz w:val="19"/>
              </w:rPr>
              <w:t>Committee</w:t>
            </w:r>
            <w:r>
              <w:rPr>
                <w:spacing w:val="-10"/>
                <w:sz w:val="19"/>
              </w:rPr>
              <w:t> </w:t>
            </w:r>
            <w:r>
              <w:rPr>
                <w:sz w:val="19"/>
              </w:rPr>
              <w:t>and</w:t>
            </w:r>
            <w:r>
              <w:rPr>
                <w:spacing w:val="-8"/>
                <w:sz w:val="19"/>
              </w:rPr>
              <w:t> </w:t>
            </w:r>
            <w:r>
              <w:rPr>
                <w:sz w:val="19"/>
              </w:rPr>
              <w:t>internal</w:t>
            </w:r>
            <w:r>
              <w:rPr>
                <w:spacing w:val="-10"/>
                <w:sz w:val="19"/>
              </w:rPr>
              <w:t> </w:t>
            </w:r>
            <w:r>
              <w:rPr>
                <w:sz w:val="19"/>
              </w:rPr>
              <w:t>governance,</w:t>
            </w:r>
            <w:r>
              <w:rPr>
                <w:spacing w:val="-7"/>
                <w:sz w:val="19"/>
              </w:rPr>
              <w:t> </w:t>
            </w:r>
            <w:r>
              <w:rPr>
                <w:sz w:val="19"/>
              </w:rPr>
              <w:t>which oversees</w:t>
            </w:r>
            <w:r>
              <w:rPr>
                <w:spacing w:val="-7"/>
                <w:sz w:val="19"/>
              </w:rPr>
              <w:t> </w:t>
            </w:r>
            <w:r>
              <w:rPr>
                <w:sz w:val="19"/>
              </w:rPr>
              <w:t>the</w:t>
            </w:r>
            <w:r>
              <w:rPr>
                <w:spacing w:val="-7"/>
                <w:sz w:val="19"/>
              </w:rPr>
              <w:t> </w:t>
            </w:r>
            <w:r>
              <w:rPr>
                <w:sz w:val="19"/>
              </w:rPr>
              <w:t>WMBA’s</w:t>
            </w:r>
            <w:r>
              <w:rPr>
                <w:spacing w:val="-7"/>
                <w:sz w:val="19"/>
              </w:rPr>
              <w:t> </w:t>
            </w:r>
            <w:r>
              <w:rPr>
                <w:sz w:val="19"/>
              </w:rPr>
              <w:t>calculation</w:t>
            </w:r>
            <w:r>
              <w:rPr>
                <w:spacing w:val="-7"/>
                <w:sz w:val="19"/>
              </w:rPr>
              <w:t> </w:t>
            </w:r>
            <w:r>
              <w:rPr>
                <w:sz w:val="19"/>
              </w:rPr>
              <w:t>and</w:t>
            </w:r>
            <w:r>
              <w:rPr>
                <w:spacing w:val="-8"/>
                <w:sz w:val="19"/>
              </w:rPr>
              <w:t> </w:t>
            </w:r>
            <w:r>
              <w:rPr>
                <w:sz w:val="19"/>
              </w:rPr>
              <w:t>publication</w:t>
            </w:r>
            <w:r>
              <w:rPr>
                <w:spacing w:val="-7"/>
                <w:sz w:val="19"/>
              </w:rPr>
              <w:t> </w:t>
            </w:r>
            <w:r>
              <w:rPr>
                <w:sz w:val="19"/>
              </w:rPr>
              <w:t>of</w:t>
            </w:r>
            <w:r>
              <w:rPr>
                <w:spacing w:val="-6"/>
                <w:sz w:val="19"/>
              </w:rPr>
              <w:t> </w:t>
            </w:r>
            <w:r>
              <w:rPr>
                <w:sz w:val="19"/>
              </w:rPr>
              <w:t>SONIA;</w:t>
            </w:r>
            <w:r>
              <w:rPr>
                <w:spacing w:val="-7"/>
                <w:sz w:val="19"/>
              </w:rPr>
              <w:t> </w:t>
            </w:r>
            <w:r>
              <w:rPr>
                <w:sz w:val="19"/>
              </w:rPr>
              <w:t>and</w:t>
            </w:r>
          </w:p>
        </w:tc>
        <w:tc>
          <w:tcPr>
            <w:tcW w:w="773" w:type="dxa"/>
          </w:tcPr>
          <w:p>
            <w:pPr>
              <w:pStyle w:val="TableParagraph"/>
              <w:rPr>
                <w:rFonts w:ascii="Times New Roman"/>
                <w:sz w:val="18"/>
              </w:rPr>
            </w:pPr>
          </w:p>
        </w:tc>
      </w:tr>
      <w:tr>
        <w:trPr>
          <w:trHeight w:val="289" w:hRule="atLeast"/>
        </w:trPr>
        <w:tc>
          <w:tcPr>
            <w:tcW w:w="1156" w:type="dxa"/>
          </w:tcPr>
          <w:p>
            <w:pPr>
              <w:pStyle w:val="TableParagraph"/>
              <w:rPr>
                <w:rFonts w:ascii="Times New Roman"/>
                <w:sz w:val="18"/>
              </w:rPr>
            </w:pPr>
          </w:p>
        </w:tc>
        <w:tc>
          <w:tcPr>
            <w:tcW w:w="7312" w:type="dxa"/>
          </w:tcPr>
          <w:p>
            <w:pPr>
              <w:pStyle w:val="TableParagraph"/>
              <w:numPr>
                <w:ilvl w:val="0"/>
                <w:numId w:val="2"/>
              </w:numPr>
              <w:tabs>
                <w:tab w:pos="867" w:val="left" w:leader="none"/>
                <w:tab w:pos="868" w:val="left" w:leader="none"/>
              </w:tabs>
              <w:spacing w:line="215" w:lineRule="exact" w:before="54" w:after="0"/>
              <w:ind w:left="867" w:right="0" w:hanging="337"/>
              <w:jc w:val="left"/>
              <w:rPr>
                <w:sz w:val="19"/>
              </w:rPr>
            </w:pPr>
            <w:r>
              <w:rPr>
                <w:sz w:val="19"/>
              </w:rPr>
              <w:t>Internal</w:t>
            </w:r>
            <w:r>
              <w:rPr>
                <w:spacing w:val="-6"/>
                <w:sz w:val="19"/>
              </w:rPr>
              <w:t> </w:t>
            </w:r>
            <w:r>
              <w:rPr>
                <w:sz w:val="19"/>
              </w:rPr>
              <w:t>processes</w:t>
            </w:r>
            <w:r>
              <w:rPr>
                <w:spacing w:val="-5"/>
                <w:sz w:val="19"/>
              </w:rPr>
              <w:t> </w:t>
            </w:r>
            <w:r>
              <w:rPr>
                <w:sz w:val="19"/>
              </w:rPr>
              <w:t>and</w:t>
            </w:r>
            <w:r>
              <w:rPr>
                <w:spacing w:val="-7"/>
                <w:sz w:val="19"/>
              </w:rPr>
              <w:t> </w:t>
            </w:r>
            <w:r>
              <w:rPr>
                <w:sz w:val="19"/>
              </w:rPr>
              <w:t>governance</w:t>
            </w:r>
            <w:r>
              <w:rPr>
                <w:spacing w:val="-6"/>
                <w:sz w:val="19"/>
              </w:rPr>
              <w:t> </w:t>
            </w:r>
            <w:r>
              <w:rPr>
                <w:sz w:val="19"/>
              </w:rPr>
              <w:t>for</w:t>
            </w:r>
            <w:r>
              <w:rPr>
                <w:spacing w:val="-6"/>
                <w:sz w:val="19"/>
              </w:rPr>
              <w:t> </w:t>
            </w:r>
            <w:r>
              <w:rPr>
                <w:sz w:val="19"/>
              </w:rPr>
              <w:t>the</w:t>
            </w:r>
            <w:r>
              <w:rPr>
                <w:spacing w:val="-6"/>
                <w:sz w:val="19"/>
              </w:rPr>
              <w:t> </w:t>
            </w:r>
            <w:r>
              <w:rPr>
                <w:sz w:val="19"/>
              </w:rPr>
              <w:t>monitoring</w:t>
            </w:r>
            <w:r>
              <w:rPr>
                <w:spacing w:val="-6"/>
                <w:sz w:val="19"/>
              </w:rPr>
              <w:t> </w:t>
            </w:r>
            <w:r>
              <w:rPr>
                <w:sz w:val="19"/>
              </w:rPr>
              <w:t>and</w:t>
            </w:r>
            <w:r>
              <w:rPr>
                <w:spacing w:val="-6"/>
                <w:sz w:val="19"/>
              </w:rPr>
              <w:t> </w:t>
            </w:r>
            <w:r>
              <w:rPr>
                <w:sz w:val="19"/>
              </w:rPr>
              <w:t>surveillance</w:t>
            </w:r>
            <w:r>
              <w:rPr>
                <w:spacing w:val="-6"/>
                <w:sz w:val="19"/>
              </w:rPr>
              <w:t> </w:t>
            </w:r>
            <w:r>
              <w:rPr>
                <w:sz w:val="19"/>
              </w:rPr>
              <w:t>of</w:t>
            </w:r>
          </w:p>
        </w:tc>
        <w:tc>
          <w:tcPr>
            <w:tcW w:w="773" w:type="dxa"/>
          </w:tcPr>
          <w:p>
            <w:pPr>
              <w:pStyle w:val="TableParagraph"/>
              <w:rPr>
                <w:rFonts w:ascii="Times New Roman"/>
                <w:sz w:val="18"/>
              </w:rPr>
            </w:pPr>
          </w:p>
        </w:tc>
      </w:tr>
      <w:tr>
        <w:trPr>
          <w:trHeight w:val="213" w:hRule="atLeast"/>
        </w:trPr>
        <w:tc>
          <w:tcPr>
            <w:tcW w:w="1156" w:type="dxa"/>
          </w:tcPr>
          <w:p>
            <w:pPr>
              <w:pStyle w:val="TableParagraph"/>
              <w:rPr>
                <w:rFonts w:ascii="Times New Roman"/>
                <w:sz w:val="14"/>
              </w:rPr>
            </w:pPr>
          </w:p>
        </w:tc>
        <w:tc>
          <w:tcPr>
            <w:tcW w:w="7312" w:type="dxa"/>
          </w:tcPr>
          <w:p>
            <w:pPr>
              <w:pStyle w:val="TableParagraph"/>
              <w:spacing w:line="193" w:lineRule="exact"/>
              <w:ind w:left="867"/>
              <w:rPr>
                <w:sz w:val="19"/>
              </w:rPr>
            </w:pPr>
            <w:r>
              <w:rPr>
                <w:sz w:val="19"/>
              </w:rPr>
              <w:t>the data inputs to SONIA.</w:t>
            </w:r>
          </w:p>
        </w:tc>
        <w:tc>
          <w:tcPr>
            <w:tcW w:w="773" w:type="dxa"/>
          </w:tcPr>
          <w:p>
            <w:pPr>
              <w:pStyle w:val="TableParagraph"/>
              <w:rPr>
                <w:rFonts w:ascii="Times New Roman"/>
                <w:sz w:val="14"/>
              </w:rPr>
            </w:pPr>
          </w:p>
        </w:tc>
      </w:tr>
    </w:tbl>
    <w:p>
      <w:pPr>
        <w:pStyle w:val="BodyText"/>
        <w:spacing w:line="237" w:lineRule="auto" w:before="112"/>
        <w:ind w:left="1468" w:right="1043"/>
      </w:pPr>
      <w:r>
        <w:rPr/>
        <w:t>Overall the audit found the Bank’s approach was appropriate. The Bank was in the process of implementing some minor enhancements recommended by the audit</w:t>
      </w:r>
    </w:p>
    <w:p>
      <w:pPr>
        <w:spacing w:after="0" w:line="237" w:lineRule="auto"/>
        <w:sectPr>
          <w:footerReference w:type="default" r:id="rId5"/>
          <w:type w:val="continuous"/>
          <w:pgSz w:w="12240" w:h="15840"/>
          <w:pgMar w:footer="453" w:top="1000" w:bottom="640" w:left="1340" w:right="1440"/>
          <w:pgNumType w:start="1"/>
        </w:sectPr>
      </w:pPr>
    </w:p>
    <w:p>
      <w:pPr>
        <w:pStyle w:val="BodyText"/>
        <w:spacing w:before="64"/>
        <w:ind w:left="1468"/>
      </w:pPr>
      <w:r>
        <w:rPr/>
        <w:t>report.</w:t>
      </w:r>
    </w:p>
    <w:p>
      <w:pPr>
        <w:pStyle w:val="BodyText"/>
        <w:spacing w:before="9"/>
      </w:pPr>
    </w:p>
    <w:p>
      <w:pPr>
        <w:spacing w:after="0"/>
        <w:sectPr>
          <w:pgSz w:w="12240" w:h="15840"/>
          <w:pgMar w:header="0" w:footer="453" w:top="1000" w:bottom="640" w:left="1340" w:right="1440"/>
        </w:sectPr>
      </w:pPr>
    </w:p>
    <w:p>
      <w:pPr>
        <w:pStyle w:val="Heading1"/>
        <w:numPr>
          <w:ilvl w:val="0"/>
          <w:numId w:val="3"/>
        </w:numPr>
        <w:tabs>
          <w:tab w:pos="1467" w:val="left" w:leader="none"/>
          <w:tab w:pos="1469" w:val="left" w:leader="none"/>
        </w:tabs>
        <w:spacing w:line="217" w:lineRule="exact" w:before="94" w:after="0"/>
        <w:ind w:left="1468" w:right="0" w:hanging="1251"/>
        <w:jc w:val="left"/>
      </w:pPr>
      <w:r>
        <w:rPr/>
        <w:t>The Reform of SONIA: consultation</w:t>
      </w:r>
      <w:r>
        <w:rPr>
          <w:spacing w:val="-9"/>
        </w:rPr>
        <w:t> </w:t>
      </w:r>
      <w:r>
        <w:rPr/>
        <w:t>discussion</w:t>
      </w:r>
    </w:p>
    <w:p>
      <w:pPr>
        <w:pStyle w:val="BodyText"/>
        <w:spacing w:line="237" w:lineRule="auto"/>
        <w:ind w:left="1468" w:right="139"/>
      </w:pPr>
      <w:r>
        <w:rPr/>
        <w:t>The Bank summarised the key points of its consultation on the reform of SONIA</w:t>
      </w:r>
      <w:r>
        <w:rPr>
          <w:vertAlign w:val="superscript"/>
        </w:rPr>
        <w:t>1</w:t>
      </w:r>
      <w:r>
        <w:rPr>
          <w:vertAlign w:val="baseline"/>
        </w:rPr>
        <w:t>, seeking initial reactions from Committee members and encouraging formal responses from their institutions.</w:t>
      </w:r>
    </w:p>
    <w:p>
      <w:pPr>
        <w:pStyle w:val="BodyText"/>
        <w:spacing w:before="7"/>
      </w:pPr>
    </w:p>
    <w:p>
      <w:pPr>
        <w:pStyle w:val="BodyText"/>
        <w:spacing w:line="237" w:lineRule="auto"/>
        <w:ind w:left="1468" w:right="59"/>
      </w:pPr>
      <w:r>
        <w:rPr/>
        <w:t>The Bank had proposed that the definition of SONIA be separated into a definition of the underlying interest (an enduring statement of the economic concept that the benchmark seeks to measure) and a statement of the methodology (how it is currently to be measured) that might if necessary change in response to market developments that undermined the current methodology. That would facilitate the smooth evolution of SONIA if required, allowing for greater contractual certainty/continuity.</w:t>
      </w:r>
    </w:p>
    <w:p>
      <w:pPr>
        <w:pStyle w:val="BodyText"/>
        <w:spacing w:before="11"/>
        <w:rPr>
          <w:sz w:val="18"/>
        </w:rPr>
      </w:pPr>
    </w:p>
    <w:p>
      <w:pPr>
        <w:pStyle w:val="BodyText"/>
        <w:spacing w:line="237" w:lineRule="auto"/>
        <w:ind w:left="1468" w:right="524"/>
      </w:pPr>
      <w:r>
        <w:rPr/>
        <w:t>Some Committee members felt that there was a risk that the statement of underlying interest could be mis-perceived as suggesting that specific trades exhibiting elements of risk would be excluded from the calculation.</w:t>
      </w:r>
    </w:p>
    <w:p>
      <w:pPr>
        <w:pStyle w:val="BodyText"/>
        <w:spacing w:before="9"/>
        <w:rPr>
          <w:sz w:val="18"/>
        </w:rPr>
      </w:pPr>
    </w:p>
    <w:p>
      <w:pPr>
        <w:pStyle w:val="BodyText"/>
        <w:spacing w:line="237" w:lineRule="auto"/>
        <w:ind w:left="1468" w:right="29"/>
      </w:pPr>
      <w:r>
        <w:rPr/>
        <w:t>In</w:t>
      </w:r>
      <w:r>
        <w:rPr>
          <w:spacing w:val="-9"/>
        </w:rPr>
        <w:t> </w:t>
      </w:r>
      <w:r>
        <w:rPr/>
        <w:t>addition,</w:t>
      </w:r>
      <w:r>
        <w:rPr>
          <w:spacing w:val="-8"/>
        </w:rPr>
        <w:t> </w:t>
      </w:r>
      <w:r>
        <w:rPr/>
        <w:t>some</w:t>
      </w:r>
      <w:r>
        <w:rPr>
          <w:spacing w:val="-10"/>
        </w:rPr>
        <w:t> </w:t>
      </w:r>
      <w:r>
        <w:rPr/>
        <w:t>members</w:t>
      </w:r>
      <w:r>
        <w:rPr>
          <w:spacing w:val="-8"/>
        </w:rPr>
        <w:t> </w:t>
      </w:r>
      <w:r>
        <w:rPr/>
        <w:t>felt</w:t>
      </w:r>
      <w:r>
        <w:rPr>
          <w:spacing w:val="-8"/>
        </w:rPr>
        <w:t> </w:t>
      </w:r>
      <w:r>
        <w:rPr/>
        <w:t>that</w:t>
      </w:r>
      <w:r>
        <w:rPr>
          <w:spacing w:val="-10"/>
        </w:rPr>
        <w:t> </w:t>
      </w:r>
      <w:r>
        <w:rPr/>
        <w:t>the</w:t>
      </w:r>
      <w:r>
        <w:rPr>
          <w:spacing w:val="-8"/>
        </w:rPr>
        <w:t> </w:t>
      </w:r>
      <w:r>
        <w:rPr/>
        <w:t>proposed</w:t>
      </w:r>
      <w:r>
        <w:rPr>
          <w:spacing w:val="-8"/>
        </w:rPr>
        <w:t> </w:t>
      </w:r>
      <w:r>
        <w:rPr/>
        <w:t>broad</w:t>
      </w:r>
      <w:r>
        <w:rPr>
          <w:spacing w:val="-9"/>
        </w:rPr>
        <w:t> </w:t>
      </w:r>
      <w:r>
        <w:rPr/>
        <w:t>definition</w:t>
      </w:r>
      <w:r>
        <w:rPr>
          <w:spacing w:val="-8"/>
        </w:rPr>
        <w:t> </w:t>
      </w:r>
      <w:r>
        <w:rPr/>
        <w:t>of</w:t>
      </w:r>
      <w:r>
        <w:rPr>
          <w:spacing w:val="-7"/>
        </w:rPr>
        <w:t> </w:t>
      </w:r>
      <w:r>
        <w:rPr/>
        <w:t>the</w:t>
      </w:r>
      <w:r>
        <w:rPr>
          <w:spacing w:val="-9"/>
        </w:rPr>
        <w:t> </w:t>
      </w:r>
      <w:r>
        <w:rPr/>
        <w:t>underlying interest of SONIA might lead to uncertainty as to the potential timing and scope of any future evolution. An alternative approach would be to define the underlying interest of SONIA more narrowly – specifically referencing the unsecured market – which would reduce the scope for future uncertainty about the input data, but increase the chance that any material future changes in the underlying market could lead to the cessation of SONIA, necessitating the market to transition to an alternative</w:t>
      </w:r>
      <w:r>
        <w:rPr>
          <w:spacing w:val="-11"/>
        </w:rPr>
        <w:t> </w:t>
      </w:r>
      <w:r>
        <w:rPr/>
        <w:t>benchmark.</w:t>
      </w:r>
      <w:r>
        <w:rPr>
          <w:spacing w:val="-10"/>
        </w:rPr>
        <w:t> </w:t>
      </w:r>
      <w:r>
        <w:rPr/>
        <w:t>The</w:t>
      </w:r>
      <w:r>
        <w:rPr>
          <w:spacing w:val="-11"/>
        </w:rPr>
        <w:t> </w:t>
      </w:r>
      <w:r>
        <w:rPr/>
        <w:t>Bank</w:t>
      </w:r>
      <w:r>
        <w:rPr>
          <w:spacing w:val="-9"/>
        </w:rPr>
        <w:t> </w:t>
      </w:r>
      <w:r>
        <w:rPr/>
        <w:t>viewed</w:t>
      </w:r>
      <w:r>
        <w:rPr>
          <w:spacing w:val="-10"/>
        </w:rPr>
        <w:t> </w:t>
      </w:r>
      <w:r>
        <w:rPr/>
        <w:t>the</w:t>
      </w:r>
      <w:r>
        <w:rPr>
          <w:spacing w:val="-11"/>
        </w:rPr>
        <w:t> </w:t>
      </w:r>
      <w:r>
        <w:rPr/>
        <w:t>approach</w:t>
      </w:r>
      <w:r>
        <w:rPr>
          <w:spacing w:val="-10"/>
        </w:rPr>
        <w:t> </w:t>
      </w:r>
      <w:r>
        <w:rPr/>
        <w:t>proposed</w:t>
      </w:r>
      <w:r>
        <w:rPr>
          <w:spacing w:val="-11"/>
        </w:rPr>
        <w:t> </w:t>
      </w:r>
      <w:r>
        <w:rPr/>
        <w:t>as</w:t>
      </w:r>
      <w:r>
        <w:rPr>
          <w:spacing w:val="-10"/>
        </w:rPr>
        <w:t> </w:t>
      </w:r>
      <w:r>
        <w:rPr/>
        <w:t>consistent</w:t>
      </w:r>
      <w:r>
        <w:rPr>
          <w:spacing w:val="-9"/>
        </w:rPr>
        <w:t> </w:t>
      </w:r>
      <w:r>
        <w:rPr/>
        <w:t>with Article</w:t>
      </w:r>
      <w:r>
        <w:rPr>
          <w:spacing w:val="-8"/>
        </w:rPr>
        <w:t> </w:t>
      </w:r>
      <w:r>
        <w:rPr/>
        <w:t>11</w:t>
      </w:r>
      <w:r>
        <w:rPr>
          <w:spacing w:val="-7"/>
        </w:rPr>
        <w:t> </w:t>
      </w:r>
      <w:r>
        <w:rPr/>
        <w:t>(input</w:t>
      </w:r>
      <w:r>
        <w:rPr>
          <w:spacing w:val="-6"/>
        </w:rPr>
        <w:t> </w:t>
      </w:r>
      <w:r>
        <w:rPr/>
        <w:t>data),</w:t>
      </w:r>
      <w:r>
        <w:rPr>
          <w:spacing w:val="-6"/>
        </w:rPr>
        <w:t> </w:t>
      </w:r>
      <w:r>
        <w:rPr/>
        <w:t>Article</w:t>
      </w:r>
      <w:r>
        <w:rPr>
          <w:spacing w:val="-7"/>
        </w:rPr>
        <w:t> </w:t>
      </w:r>
      <w:r>
        <w:rPr/>
        <w:t>28</w:t>
      </w:r>
      <w:r>
        <w:rPr>
          <w:spacing w:val="-7"/>
        </w:rPr>
        <w:t> </w:t>
      </w:r>
      <w:r>
        <w:rPr/>
        <w:t>(changes</w:t>
      </w:r>
      <w:r>
        <w:rPr>
          <w:spacing w:val="-7"/>
        </w:rPr>
        <w:t> </w:t>
      </w:r>
      <w:r>
        <w:rPr/>
        <w:t>to</w:t>
      </w:r>
      <w:r>
        <w:rPr>
          <w:spacing w:val="-7"/>
        </w:rPr>
        <w:t> </w:t>
      </w:r>
      <w:r>
        <w:rPr/>
        <w:t>and</w:t>
      </w:r>
      <w:r>
        <w:rPr>
          <w:spacing w:val="-8"/>
        </w:rPr>
        <w:t> </w:t>
      </w:r>
      <w:r>
        <w:rPr/>
        <w:t>cessation</w:t>
      </w:r>
      <w:r>
        <w:rPr>
          <w:spacing w:val="-7"/>
        </w:rPr>
        <w:t> </w:t>
      </w:r>
      <w:r>
        <w:rPr/>
        <w:t>of</w:t>
      </w:r>
      <w:r>
        <w:rPr>
          <w:spacing w:val="-8"/>
        </w:rPr>
        <w:t> </w:t>
      </w:r>
      <w:r>
        <w:rPr/>
        <w:t>a</w:t>
      </w:r>
      <w:r>
        <w:rPr>
          <w:spacing w:val="-7"/>
        </w:rPr>
        <w:t> </w:t>
      </w:r>
      <w:r>
        <w:rPr/>
        <w:t>benchmark)</w:t>
      </w:r>
      <w:r>
        <w:rPr>
          <w:spacing w:val="-7"/>
        </w:rPr>
        <w:t> </w:t>
      </w:r>
      <w:r>
        <w:rPr/>
        <w:t>of</w:t>
      </w:r>
      <w:r>
        <w:rPr>
          <w:spacing w:val="-8"/>
        </w:rPr>
        <w:t> </w:t>
      </w:r>
      <w:r>
        <w:rPr/>
        <w:t>the EU Benchmark Regulation and Principle 12 of the IOSCO Principles (Changes to the</w:t>
      </w:r>
      <w:r>
        <w:rPr>
          <w:spacing w:val="-2"/>
        </w:rPr>
        <w:t> </w:t>
      </w:r>
      <w:r>
        <w:rPr/>
        <w:t>Methodology).</w:t>
      </w:r>
    </w:p>
    <w:p>
      <w:pPr>
        <w:pStyle w:val="BodyText"/>
        <w:spacing w:before="11"/>
        <w:rPr>
          <w:sz w:val="18"/>
        </w:rPr>
      </w:pPr>
    </w:p>
    <w:p>
      <w:pPr>
        <w:pStyle w:val="BodyText"/>
        <w:spacing w:line="237" w:lineRule="auto"/>
        <w:ind w:left="1468" w:right="144"/>
      </w:pPr>
      <w:r>
        <w:rPr/>
        <w:t>In line with the discussion at their 20 September meeting on the appropriate degree of rounding for SONIA, the Committee noted that the Bank had chosen to retain publication of the rate to four decimal places. Members agreed with this approach, viewing that this would ensure that any change in market behaviour to transact at more granular rates would be reflected in the benchmark looking forward.</w:t>
      </w:r>
    </w:p>
    <w:p>
      <w:pPr>
        <w:pStyle w:val="BodyText"/>
        <w:spacing w:before="7"/>
        <w:rPr>
          <w:sz w:val="18"/>
        </w:rPr>
      </w:pPr>
    </w:p>
    <w:p>
      <w:pPr>
        <w:pStyle w:val="BodyText"/>
        <w:spacing w:before="1"/>
        <w:ind w:left="1468"/>
      </w:pPr>
      <w:r>
        <w:rPr/>
        <w:t>The Bank encouraged members to formally respond to the consultation.</w:t>
      </w:r>
    </w:p>
    <w:p>
      <w:pPr>
        <w:spacing w:before="93"/>
        <w:ind w:left="218" w:right="0" w:firstLine="0"/>
        <w:jc w:val="left"/>
        <w:rPr>
          <w:sz w:val="19"/>
        </w:rPr>
      </w:pPr>
      <w:r>
        <w:rPr/>
        <w:br w:type="column"/>
      </w:r>
      <w:r>
        <w:rPr>
          <w:sz w:val="19"/>
        </w:rPr>
        <w:t>N/A</w:t>
      </w:r>
    </w:p>
    <w:p>
      <w:pPr>
        <w:spacing w:after="0"/>
        <w:jc w:val="left"/>
        <w:rPr>
          <w:sz w:val="19"/>
        </w:rPr>
        <w:sectPr>
          <w:type w:val="continuous"/>
          <w:pgSz w:w="12240" w:h="15840"/>
          <w:pgMar w:top="1000" w:bottom="640" w:left="1340" w:right="1440"/>
          <w:cols w:num="2" w:equalWidth="0">
            <w:col w:w="8434" w:space="340"/>
            <w:col w:w="686"/>
          </w:cols>
        </w:sectPr>
      </w:pPr>
    </w:p>
    <w:p>
      <w:pPr>
        <w:pStyle w:val="BodyText"/>
        <w:spacing w:before="4"/>
        <w:rPr>
          <w:sz w:val="10"/>
        </w:rPr>
      </w:pPr>
    </w:p>
    <w:p>
      <w:pPr>
        <w:spacing w:after="0"/>
        <w:rPr>
          <w:sz w:val="10"/>
        </w:rPr>
        <w:sectPr>
          <w:type w:val="continuous"/>
          <w:pgSz w:w="12240" w:h="15840"/>
          <w:pgMar w:top="1000" w:bottom="640" w:left="1340" w:right="1440"/>
        </w:sectPr>
      </w:pPr>
    </w:p>
    <w:p>
      <w:pPr>
        <w:pStyle w:val="Heading1"/>
        <w:numPr>
          <w:ilvl w:val="0"/>
          <w:numId w:val="3"/>
        </w:numPr>
        <w:tabs>
          <w:tab w:pos="1467" w:val="left" w:leader="none"/>
          <w:tab w:pos="1469" w:val="left" w:leader="none"/>
        </w:tabs>
        <w:spacing w:line="218" w:lineRule="exact" w:before="94" w:after="0"/>
        <w:ind w:left="1468" w:right="0" w:hanging="1251"/>
        <w:jc w:val="left"/>
      </w:pPr>
      <w:r>
        <w:rPr/>
        <w:t>Implementing</w:t>
      </w:r>
      <w:r>
        <w:rPr>
          <w:spacing w:val="-6"/>
        </w:rPr>
        <w:t> </w:t>
      </w:r>
      <w:r>
        <w:rPr/>
        <w:t>the</w:t>
      </w:r>
      <w:r>
        <w:rPr>
          <w:spacing w:val="-6"/>
        </w:rPr>
        <w:t> </w:t>
      </w:r>
      <w:r>
        <w:rPr/>
        <w:t>change</w:t>
      </w:r>
      <w:r>
        <w:rPr>
          <w:spacing w:val="-6"/>
        </w:rPr>
        <w:t> </w:t>
      </w:r>
      <w:r>
        <w:rPr/>
        <w:t>in</w:t>
      </w:r>
      <w:r>
        <w:rPr>
          <w:spacing w:val="-7"/>
        </w:rPr>
        <w:t> </w:t>
      </w:r>
      <w:r>
        <w:rPr/>
        <w:t>SONIA</w:t>
      </w:r>
      <w:r>
        <w:rPr>
          <w:spacing w:val="-6"/>
        </w:rPr>
        <w:t> </w:t>
      </w:r>
      <w:r>
        <w:rPr/>
        <w:t>publication</w:t>
      </w:r>
      <w:r>
        <w:rPr>
          <w:spacing w:val="-4"/>
        </w:rPr>
        <w:t> </w:t>
      </w:r>
      <w:r>
        <w:rPr/>
        <w:t>time</w:t>
      </w:r>
      <w:r>
        <w:rPr>
          <w:spacing w:val="-5"/>
        </w:rPr>
        <w:t> </w:t>
      </w:r>
      <w:r>
        <w:rPr/>
        <w:t>to</w:t>
      </w:r>
      <w:r>
        <w:rPr>
          <w:spacing w:val="-4"/>
        </w:rPr>
        <w:t> </w:t>
      </w:r>
      <w:r>
        <w:rPr/>
        <w:t>the</w:t>
      </w:r>
      <w:r>
        <w:rPr>
          <w:spacing w:val="-6"/>
        </w:rPr>
        <w:t> </w:t>
      </w:r>
      <w:r>
        <w:rPr/>
        <w:t>following</w:t>
      </w:r>
      <w:r>
        <w:rPr>
          <w:spacing w:val="-6"/>
        </w:rPr>
        <w:t> </w:t>
      </w:r>
      <w:r>
        <w:rPr/>
        <w:t>day</w:t>
      </w:r>
    </w:p>
    <w:p>
      <w:pPr>
        <w:pStyle w:val="BodyText"/>
        <w:spacing w:line="237" w:lineRule="auto" w:before="1"/>
        <w:ind w:left="1467"/>
      </w:pPr>
      <w:r>
        <w:rPr/>
        <w:t>The</w:t>
      </w:r>
      <w:r>
        <w:rPr>
          <w:spacing w:val="-9"/>
        </w:rPr>
        <w:t> </w:t>
      </w:r>
      <w:r>
        <w:rPr/>
        <w:t>Bank</w:t>
      </w:r>
      <w:r>
        <w:rPr>
          <w:spacing w:val="-6"/>
        </w:rPr>
        <w:t> </w:t>
      </w:r>
      <w:r>
        <w:rPr/>
        <w:t>updated</w:t>
      </w:r>
      <w:r>
        <w:rPr>
          <w:spacing w:val="-7"/>
        </w:rPr>
        <w:t> </w:t>
      </w:r>
      <w:r>
        <w:rPr/>
        <w:t>the</w:t>
      </w:r>
      <w:r>
        <w:rPr>
          <w:spacing w:val="-8"/>
        </w:rPr>
        <w:t> </w:t>
      </w:r>
      <w:r>
        <w:rPr/>
        <w:t>Committee</w:t>
      </w:r>
      <w:r>
        <w:rPr>
          <w:spacing w:val="-8"/>
        </w:rPr>
        <w:t> </w:t>
      </w:r>
      <w:r>
        <w:rPr/>
        <w:t>on</w:t>
      </w:r>
      <w:r>
        <w:rPr>
          <w:spacing w:val="-7"/>
        </w:rPr>
        <w:t> </w:t>
      </w:r>
      <w:r>
        <w:rPr/>
        <w:t>its</w:t>
      </w:r>
      <w:r>
        <w:rPr>
          <w:spacing w:val="-5"/>
        </w:rPr>
        <w:t> </w:t>
      </w:r>
      <w:r>
        <w:rPr/>
        <w:t>work</w:t>
      </w:r>
      <w:r>
        <w:rPr>
          <w:spacing w:val="-6"/>
        </w:rPr>
        <w:t> </w:t>
      </w:r>
      <w:r>
        <w:rPr/>
        <w:t>with</w:t>
      </w:r>
      <w:r>
        <w:rPr>
          <w:spacing w:val="-7"/>
        </w:rPr>
        <w:t> </w:t>
      </w:r>
      <w:r>
        <w:rPr/>
        <w:t>users</w:t>
      </w:r>
      <w:r>
        <w:rPr>
          <w:spacing w:val="-7"/>
        </w:rPr>
        <w:t> </w:t>
      </w:r>
      <w:r>
        <w:rPr/>
        <w:t>to</w:t>
      </w:r>
      <w:r>
        <w:rPr>
          <w:spacing w:val="-7"/>
        </w:rPr>
        <w:t> </w:t>
      </w:r>
      <w:r>
        <w:rPr/>
        <w:t>ensure</w:t>
      </w:r>
      <w:r>
        <w:rPr>
          <w:spacing w:val="-8"/>
        </w:rPr>
        <w:t> </w:t>
      </w:r>
      <w:r>
        <w:rPr/>
        <w:t>the</w:t>
      </w:r>
      <w:r>
        <w:rPr>
          <w:spacing w:val="-7"/>
        </w:rPr>
        <w:t> </w:t>
      </w:r>
      <w:r>
        <w:rPr/>
        <w:t>transition</w:t>
      </w:r>
      <w:r>
        <w:rPr>
          <w:spacing w:val="-7"/>
        </w:rPr>
        <w:t> </w:t>
      </w:r>
      <w:r>
        <w:rPr/>
        <w:t>of SONIA to next-day publication proceeds smoothly (this will occur at the point the Bank takes on the publication, currently indicated to be 2017 Q4). The Bank had been working with the central counterparties to consider implications for their processes for payment of interest on margin balances (e.g. Price Alignment Interest).</w:t>
      </w:r>
      <w:r>
        <w:rPr>
          <w:spacing w:val="-12"/>
        </w:rPr>
        <w:t> </w:t>
      </w:r>
      <w:r>
        <w:rPr/>
        <w:t>Similarly</w:t>
      </w:r>
      <w:r>
        <w:rPr>
          <w:spacing w:val="-11"/>
        </w:rPr>
        <w:t> </w:t>
      </w:r>
      <w:r>
        <w:rPr/>
        <w:t>ISDA’s</w:t>
      </w:r>
      <w:r>
        <w:rPr>
          <w:spacing w:val="-9"/>
        </w:rPr>
        <w:t> </w:t>
      </w:r>
      <w:r>
        <w:rPr/>
        <w:t>Rates</w:t>
      </w:r>
      <w:r>
        <w:rPr>
          <w:spacing w:val="-10"/>
        </w:rPr>
        <w:t> </w:t>
      </w:r>
      <w:r>
        <w:rPr/>
        <w:t>Market</w:t>
      </w:r>
      <w:r>
        <w:rPr>
          <w:spacing w:val="-11"/>
        </w:rPr>
        <w:t> </w:t>
      </w:r>
      <w:r>
        <w:rPr/>
        <w:t>Infrastructure</w:t>
      </w:r>
      <w:r>
        <w:rPr>
          <w:spacing w:val="-11"/>
        </w:rPr>
        <w:t> </w:t>
      </w:r>
      <w:r>
        <w:rPr/>
        <w:t>Group</w:t>
      </w:r>
      <w:r>
        <w:rPr>
          <w:spacing w:val="-11"/>
        </w:rPr>
        <w:t> </w:t>
      </w:r>
      <w:r>
        <w:rPr/>
        <w:t>had</w:t>
      </w:r>
      <w:r>
        <w:rPr>
          <w:spacing w:val="-10"/>
        </w:rPr>
        <w:t> </w:t>
      </w:r>
      <w:r>
        <w:rPr/>
        <w:t>been</w:t>
      </w:r>
      <w:r>
        <w:rPr>
          <w:spacing w:val="-12"/>
        </w:rPr>
        <w:t> </w:t>
      </w:r>
      <w:r>
        <w:rPr/>
        <w:t>considering the impact on the settlement of the floating-leg payment of sterling OIS transactions.</w:t>
      </w:r>
    </w:p>
    <w:p>
      <w:pPr>
        <w:pStyle w:val="BodyText"/>
        <w:spacing w:before="7"/>
      </w:pPr>
    </w:p>
    <w:p>
      <w:pPr>
        <w:pStyle w:val="BodyText"/>
        <w:spacing w:line="237" w:lineRule="auto"/>
        <w:ind w:left="1467"/>
      </w:pPr>
      <w:r>
        <w:rPr/>
        <w:t>Recognising that SONIA is widely used, including in firms’ internal pricing, the Committee</w:t>
      </w:r>
      <w:r>
        <w:rPr>
          <w:spacing w:val="-9"/>
        </w:rPr>
        <w:t> </w:t>
      </w:r>
      <w:r>
        <w:rPr/>
        <w:t>were</w:t>
      </w:r>
      <w:r>
        <w:rPr>
          <w:spacing w:val="-9"/>
        </w:rPr>
        <w:t> </w:t>
      </w:r>
      <w:r>
        <w:rPr/>
        <w:t>encouraged</w:t>
      </w:r>
      <w:r>
        <w:rPr>
          <w:spacing w:val="-9"/>
        </w:rPr>
        <w:t> </w:t>
      </w:r>
      <w:r>
        <w:rPr/>
        <w:t>to</w:t>
      </w:r>
      <w:r>
        <w:rPr>
          <w:spacing w:val="-9"/>
        </w:rPr>
        <w:t> </w:t>
      </w:r>
      <w:r>
        <w:rPr/>
        <w:t>let</w:t>
      </w:r>
      <w:r>
        <w:rPr>
          <w:spacing w:val="-7"/>
        </w:rPr>
        <w:t> </w:t>
      </w:r>
      <w:r>
        <w:rPr/>
        <w:t>the</w:t>
      </w:r>
      <w:r>
        <w:rPr>
          <w:spacing w:val="-10"/>
        </w:rPr>
        <w:t> </w:t>
      </w:r>
      <w:r>
        <w:rPr/>
        <w:t>Bank</w:t>
      </w:r>
      <w:r>
        <w:rPr>
          <w:spacing w:val="-9"/>
        </w:rPr>
        <w:t> </w:t>
      </w:r>
      <w:r>
        <w:rPr/>
        <w:t>know</w:t>
      </w:r>
      <w:r>
        <w:rPr>
          <w:spacing w:val="-10"/>
        </w:rPr>
        <w:t> </w:t>
      </w:r>
      <w:r>
        <w:rPr/>
        <w:t>of</w:t>
      </w:r>
      <w:r>
        <w:rPr>
          <w:spacing w:val="-8"/>
        </w:rPr>
        <w:t> </w:t>
      </w:r>
      <w:r>
        <w:rPr/>
        <w:t>any</w:t>
      </w:r>
      <w:r>
        <w:rPr>
          <w:spacing w:val="-7"/>
        </w:rPr>
        <w:t> </w:t>
      </w:r>
      <w:r>
        <w:rPr/>
        <w:t>further</w:t>
      </w:r>
      <w:r>
        <w:rPr>
          <w:spacing w:val="-9"/>
        </w:rPr>
        <w:t> </w:t>
      </w:r>
      <w:r>
        <w:rPr/>
        <w:t>operational</w:t>
      </w:r>
      <w:r>
        <w:rPr>
          <w:spacing w:val="-9"/>
        </w:rPr>
        <w:t> </w:t>
      </w:r>
      <w:r>
        <w:rPr/>
        <w:t>issues which need to be considered prior to the implementation of the change to publication</w:t>
      </w:r>
      <w:r>
        <w:rPr>
          <w:spacing w:val="-2"/>
        </w:rPr>
        <w:t> </w:t>
      </w:r>
      <w:r>
        <w:rPr/>
        <w:t>day.</w:t>
      </w:r>
    </w:p>
    <w:p>
      <w:pPr>
        <w:spacing w:before="94"/>
        <w:ind w:left="218" w:right="0" w:firstLine="0"/>
        <w:jc w:val="left"/>
        <w:rPr>
          <w:sz w:val="19"/>
        </w:rPr>
      </w:pPr>
      <w:r>
        <w:rPr/>
        <w:br w:type="column"/>
      </w:r>
      <w:r>
        <w:rPr>
          <w:sz w:val="19"/>
        </w:rPr>
        <w:t>N/A</w:t>
      </w:r>
    </w:p>
    <w:p>
      <w:pPr>
        <w:spacing w:after="0"/>
        <w:jc w:val="left"/>
        <w:rPr>
          <w:sz w:val="19"/>
        </w:rPr>
        <w:sectPr>
          <w:type w:val="continuous"/>
          <w:pgSz w:w="12240" w:h="15840"/>
          <w:pgMar w:top="1000" w:bottom="640" w:left="1340" w:right="1440"/>
          <w:cols w:num="2" w:equalWidth="0">
            <w:col w:w="8401" w:space="373"/>
            <w:col w:w="68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9"/>
        </w:rPr>
      </w:pPr>
    </w:p>
    <w:p>
      <w:pPr>
        <w:pStyle w:val="BodyText"/>
        <w:spacing w:line="20" w:lineRule="exact"/>
        <w:ind w:left="241"/>
        <w:rPr>
          <w:sz w:val="2"/>
        </w:rPr>
      </w:pPr>
      <w:r>
        <w:rPr>
          <w:sz w:val="2"/>
        </w:rPr>
        <w:pict>
          <v:group style="width:135.5pt;height:.5pt;mso-position-horizontal-relative:char;mso-position-vertical-relative:line" coordorigin="0,0" coordsize="2710,10">
            <v:line style="position:absolute" from="0,5" to="2710,5" stroked="true" strokeweight=".47998pt" strokecolor="#000000">
              <v:stroke dashstyle="solid"/>
            </v:line>
          </v:group>
        </w:pict>
      </w:r>
      <w:r>
        <w:rPr>
          <w:sz w:val="2"/>
        </w:rPr>
      </w:r>
    </w:p>
    <w:p>
      <w:pPr>
        <w:spacing w:before="44"/>
        <w:ind w:left="246" w:right="0" w:firstLine="0"/>
        <w:jc w:val="left"/>
        <w:rPr>
          <w:sz w:val="17"/>
        </w:rPr>
      </w:pPr>
      <w:r>
        <w:rPr>
          <w:position w:val="8"/>
          <w:sz w:val="11"/>
        </w:rPr>
        <w:t>1 </w:t>
      </w:r>
      <w:r>
        <w:rPr>
          <w:sz w:val="17"/>
        </w:rPr>
        <w:t>Available at: </w:t>
      </w:r>
      <w:hyperlink r:id="rId6">
        <w:r>
          <w:rPr>
            <w:color w:val="0000FF"/>
            <w:sz w:val="17"/>
            <w:u w:val="single" w:color="0000FF"/>
          </w:rPr>
          <w:t>www.bankofengland.co.uk/markets/Documents/soniareformcp1016.pdf</w:t>
        </w:r>
      </w:hyperlink>
    </w:p>
    <w:sectPr>
      <w:type w:val="continuous"/>
      <w:pgSz w:w="12240" w:h="15840"/>
      <w:pgMar w:top="1000" w:bottom="640" w:left="13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1"/>
      </w:rPr>
    </w:pPr>
    <w:r>
      <w:rPr/>
      <w:pict>
        <v:shapetype id="_x0000_t202" o:spt="202" coordsize="21600,21600" path="m,l,21600r21600,l21600,xe">
          <v:stroke joinstyle="miter"/>
          <v:path gradientshapeok="t" o:connecttype="rect"/>
        </v:shapetype>
        <v:shape style="position:absolute;margin-left:524.460022pt;margin-top:753.065857pt;width:11.25pt;height:14.2pt;mso-position-horizontal-relative:page;mso-position-vertical-relative:page;z-index:-252089344" type="#_x0000_t202" filled="false" stroked="false">
          <v:textbox inset="0,0,0,0">
            <w:txbxContent>
              <w:p>
                <w:pPr>
                  <w:pStyle w:val="BodyText"/>
                  <w:spacing w:before="45"/>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1468" w:hanging="1250"/>
        <w:jc w:val="left"/>
      </w:pPr>
      <w:rPr>
        <w:rFonts w:hint="default" w:ascii="Arial" w:hAnsi="Arial" w:eastAsia="Arial" w:cs="Arial"/>
        <w:spacing w:val="-2"/>
        <w:w w:val="99"/>
        <w:sz w:val="19"/>
        <w:szCs w:val="19"/>
      </w:rPr>
    </w:lvl>
    <w:lvl w:ilvl="1">
      <w:start w:val="0"/>
      <w:numFmt w:val="bullet"/>
      <w:lvlText w:val="•"/>
      <w:lvlJc w:val="left"/>
      <w:pPr>
        <w:ind w:left="2157" w:hanging="1250"/>
      </w:pPr>
      <w:rPr>
        <w:rFonts w:hint="default"/>
      </w:rPr>
    </w:lvl>
    <w:lvl w:ilvl="2">
      <w:start w:val="0"/>
      <w:numFmt w:val="bullet"/>
      <w:lvlText w:val="•"/>
      <w:lvlJc w:val="left"/>
      <w:pPr>
        <w:ind w:left="2854" w:hanging="1250"/>
      </w:pPr>
      <w:rPr>
        <w:rFonts w:hint="default"/>
      </w:rPr>
    </w:lvl>
    <w:lvl w:ilvl="3">
      <w:start w:val="0"/>
      <w:numFmt w:val="bullet"/>
      <w:lvlText w:val="•"/>
      <w:lvlJc w:val="left"/>
      <w:pPr>
        <w:ind w:left="3552" w:hanging="1250"/>
      </w:pPr>
      <w:rPr>
        <w:rFonts w:hint="default"/>
      </w:rPr>
    </w:lvl>
    <w:lvl w:ilvl="4">
      <w:start w:val="0"/>
      <w:numFmt w:val="bullet"/>
      <w:lvlText w:val="•"/>
      <w:lvlJc w:val="left"/>
      <w:pPr>
        <w:ind w:left="4249" w:hanging="1250"/>
      </w:pPr>
      <w:rPr>
        <w:rFonts w:hint="default"/>
      </w:rPr>
    </w:lvl>
    <w:lvl w:ilvl="5">
      <w:start w:val="0"/>
      <w:numFmt w:val="bullet"/>
      <w:lvlText w:val="•"/>
      <w:lvlJc w:val="left"/>
      <w:pPr>
        <w:ind w:left="4946" w:hanging="1250"/>
      </w:pPr>
      <w:rPr>
        <w:rFonts w:hint="default"/>
      </w:rPr>
    </w:lvl>
    <w:lvl w:ilvl="6">
      <w:start w:val="0"/>
      <w:numFmt w:val="bullet"/>
      <w:lvlText w:val="•"/>
      <w:lvlJc w:val="left"/>
      <w:pPr>
        <w:ind w:left="5644" w:hanging="1250"/>
      </w:pPr>
      <w:rPr>
        <w:rFonts w:hint="default"/>
      </w:rPr>
    </w:lvl>
    <w:lvl w:ilvl="7">
      <w:start w:val="0"/>
      <w:numFmt w:val="bullet"/>
      <w:lvlText w:val="•"/>
      <w:lvlJc w:val="left"/>
      <w:pPr>
        <w:ind w:left="6341" w:hanging="1250"/>
      </w:pPr>
      <w:rPr>
        <w:rFonts w:hint="default"/>
      </w:rPr>
    </w:lvl>
    <w:lvl w:ilvl="8">
      <w:start w:val="0"/>
      <w:numFmt w:val="bullet"/>
      <w:lvlText w:val="•"/>
      <w:lvlJc w:val="left"/>
      <w:pPr>
        <w:ind w:left="7039" w:hanging="1250"/>
      </w:pPr>
      <w:rPr>
        <w:rFonts w:hint="default"/>
      </w:rPr>
    </w:lvl>
  </w:abstractNum>
  <w:abstractNum w:abstractNumId="1">
    <w:multiLevelType w:val="hybridMultilevel"/>
    <w:lvl w:ilvl="0">
      <w:start w:val="0"/>
      <w:numFmt w:val="bullet"/>
      <w:lvlText w:val=""/>
      <w:lvlJc w:val="left"/>
      <w:pPr>
        <w:ind w:left="867" w:hanging="337"/>
      </w:pPr>
      <w:rPr>
        <w:rFonts w:hint="default" w:ascii="Symbol" w:hAnsi="Symbol" w:eastAsia="Symbol" w:cs="Symbol"/>
        <w:w w:val="99"/>
        <w:sz w:val="19"/>
        <w:szCs w:val="19"/>
      </w:rPr>
    </w:lvl>
    <w:lvl w:ilvl="1">
      <w:start w:val="0"/>
      <w:numFmt w:val="bullet"/>
      <w:lvlText w:val="•"/>
      <w:lvlJc w:val="left"/>
      <w:pPr>
        <w:ind w:left="1505" w:hanging="337"/>
      </w:pPr>
      <w:rPr>
        <w:rFonts w:hint="default"/>
      </w:rPr>
    </w:lvl>
    <w:lvl w:ilvl="2">
      <w:start w:val="0"/>
      <w:numFmt w:val="bullet"/>
      <w:lvlText w:val="•"/>
      <w:lvlJc w:val="left"/>
      <w:pPr>
        <w:ind w:left="2150" w:hanging="337"/>
      </w:pPr>
      <w:rPr>
        <w:rFonts w:hint="default"/>
      </w:rPr>
    </w:lvl>
    <w:lvl w:ilvl="3">
      <w:start w:val="0"/>
      <w:numFmt w:val="bullet"/>
      <w:lvlText w:val="•"/>
      <w:lvlJc w:val="left"/>
      <w:pPr>
        <w:ind w:left="2795" w:hanging="337"/>
      </w:pPr>
      <w:rPr>
        <w:rFonts w:hint="default"/>
      </w:rPr>
    </w:lvl>
    <w:lvl w:ilvl="4">
      <w:start w:val="0"/>
      <w:numFmt w:val="bullet"/>
      <w:lvlText w:val="•"/>
      <w:lvlJc w:val="left"/>
      <w:pPr>
        <w:ind w:left="3440" w:hanging="337"/>
      </w:pPr>
      <w:rPr>
        <w:rFonts w:hint="default"/>
      </w:rPr>
    </w:lvl>
    <w:lvl w:ilvl="5">
      <w:start w:val="0"/>
      <w:numFmt w:val="bullet"/>
      <w:lvlText w:val="•"/>
      <w:lvlJc w:val="left"/>
      <w:pPr>
        <w:ind w:left="4086" w:hanging="337"/>
      </w:pPr>
      <w:rPr>
        <w:rFonts w:hint="default"/>
      </w:rPr>
    </w:lvl>
    <w:lvl w:ilvl="6">
      <w:start w:val="0"/>
      <w:numFmt w:val="bullet"/>
      <w:lvlText w:val="•"/>
      <w:lvlJc w:val="left"/>
      <w:pPr>
        <w:ind w:left="4731" w:hanging="337"/>
      </w:pPr>
      <w:rPr>
        <w:rFonts w:hint="default"/>
      </w:rPr>
    </w:lvl>
    <w:lvl w:ilvl="7">
      <w:start w:val="0"/>
      <w:numFmt w:val="bullet"/>
      <w:lvlText w:val="•"/>
      <w:lvlJc w:val="left"/>
      <w:pPr>
        <w:ind w:left="5376" w:hanging="337"/>
      </w:pPr>
      <w:rPr>
        <w:rFonts w:hint="default"/>
      </w:rPr>
    </w:lvl>
    <w:lvl w:ilvl="8">
      <w:start w:val="0"/>
      <w:numFmt w:val="bullet"/>
      <w:lvlText w:val="•"/>
      <w:lvlJc w:val="left"/>
      <w:pPr>
        <w:ind w:left="6021" w:hanging="337"/>
      </w:pPr>
      <w:rPr>
        <w:rFonts w:hint="default"/>
      </w:rPr>
    </w:lvl>
  </w:abstractNum>
  <w:abstractNum w:abstractNumId="0">
    <w:multiLevelType w:val="hybridMultilevel"/>
    <w:lvl w:ilvl="0">
      <w:start w:val="0"/>
      <w:numFmt w:val="bullet"/>
      <w:lvlText w:val=""/>
      <w:lvlJc w:val="left"/>
      <w:pPr>
        <w:ind w:left="873" w:hanging="340"/>
      </w:pPr>
      <w:rPr>
        <w:rFonts w:hint="default" w:ascii="Symbol" w:hAnsi="Symbol" w:eastAsia="Symbol" w:cs="Symbol"/>
        <w:w w:val="99"/>
        <w:sz w:val="19"/>
        <w:szCs w:val="19"/>
      </w:rPr>
    </w:lvl>
    <w:lvl w:ilvl="1">
      <w:start w:val="0"/>
      <w:numFmt w:val="bullet"/>
      <w:lvlText w:val="•"/>
      <w:lvlJc w:val="left"/>
      <w:pPr>
        <w:ind w:left="1523" w:hanging="340"/>
      </w:pPr>
      <w:rPr>
        <w:rFonts w:hint="default"/>
      </w:rPr>
    </w:lvl>
    <w:lvl w:ilvl="2">
      <w:start w:val="0"/>
      <w:numFmt w:val="bullet"/>
      <w:lvlText w:val="•"/>
      <w:lvlJc w:val="left"/>
      <w:pPr>
        <w:ind w:left="2166" w:hanging="340"/>
      </w:pPr>
      <w:rPr>
        <w:rFonts w:hint="default"/>
      </w:rPr>
    </w:lvl>
    <w:lvl w:ilvl="3">
      <w:start w:val="0"/>
      <w:numFmt w:val="bullet"/>
      <w:lvlText w:val="•"/>
      <w:lvlJc w:val="left"/>
      <w:pPr>
        <w:ind w:left="2809" w:hanging="340"/>
      </w:pPr>
      <w:rPr>
        <w:rFonts w:hint="default"/>
      </w:rPr>
    </w:lvl>
    <w:lvl w:ilvl="4">
      <w:start w:val="0"/>
      <w:numFmt w:val="bullet"/>
      <w:lvlText w:val="•"/>
      <w:lvlJc w:val="left"/>
      <w:pPr>
        <w:ind w:left="3452" w:hanging="340"/>
      </w:pPr>
      <w:rPr>
        <w:rFonts w:hint="default"/>
      </w:rPr>
    </w:lvl>
    <w:lvl w:ilvl="5">
      <w:start w:val="0"/>
      <w:numFmt w:val="bullet"/>
      <w:lvlText w:val="•"/>
      <w:lvlJc w:val="left"/>
      <w:pPr>
        <w:ind w:left="4096" w:hanging="340"/>
      </w:pPr>
      <w:rPr>
        <w:rFonts w:hint="default"/>
      </w:rPr>
    </w:lvl>
    <w:lvl w:ilvl="6">
      <w:start w:val="0"/>
      <w:numFmt w:val="bullet"/>
      <w:lvlText w:val="•"/>
      <w:lvlJc w:val="left"/>
      <w:pPr>
        <w:ind w:left="4739" w:hanging="340"/>
      </w:pPr>
      <w:rPr>
        <w:rFonts w:hint="default"/>
      </w:rPr>
    </w:lvl>
    <w:lvl w:ilvl="7">
      <w:start w:val="0"/>
      <w:numFmt w:val="bullet"/>
      <w:lvlText w:val="•"/>
      <w:lvlJc w:val="left"/>
      <w:pPr>
        <w:ind w:left="5382" w:hanging="340"/>
      </w:pPr>
      <w:rPr>
        <w:rFonts w:hint="default"/>
      </w:rPr>
    </w:lvl>
    <w:lvl w:ilvl="8">
      <w:start w:val="0"/>
      <w:numFmt w:val="bullet"/>
      <w:lvlText w:val="•"/>
      <w:lvlJc w:val="left"/>
      <w:pPr>
        <w:ind w:left="6025" w:hanging="3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94" w:line="217" w:lineRule="exact"/>
      <w:ind w:left="1468" w:hanging="1251"/>
      <w:outlineLvl w:val="1"/>
    </w:pPr>
    <w:rPr>
      <w:rFonts w:ascii="Arial" w:hAnsi="Arial" w:eastAsia="Arial" w:cs="Arial"/>
      <w:b/>
      <w:bCs/>
      <w:sz w:val="19"/>
      <w:szCs w:val="19"/>
    </w:rPr>
  </w:style>
  <w:style w:styleId="ListParagraph" w:type="paragraph">
    <w:name w:val="List Paragraph"/>
    <w:basedOn w:val="Normal"/>
    <w:uiPriority w:val="1"/>
    <w:qFormat/>
    <w:pPr>
      <w:spacing w:before="94" w:line="217" w:lineRule="exact"/>
      <w:ind w:left="1468" w:hanging="1251"/>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ankofengland.co.uk/markets/Documents/soniareformcp1016.pdf"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 SONIA Advisory Committee - 12 December 2016</dc:title>
  <dcterms:created xsi:type="dcterms:W3CDTF">2020-06-01T02:20:18Z</dcterms:created>
  <dcterms:modified xsi:type="dcterms:W3CDTF">2020-06-01T02:20:18Z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2017-01-18T00:00:00Z</vt:filetime>
  </property>
  <property fmtid="{D5CDD505-2E9C-101B-9397-08002B2CF9AE}" pid="3" name="Creator">
    <vt:lpwstr>PScript5.dll Version 5.2.2</vt:lpwstr>
  </property>
  <property fmtid="{D5CDD505-2E9C-101B-9397-08002B2CF9AE}" pid="4" name="LastSaved">
    <vt:filetime>2020-06-01T00:00:00Z</vt:filetime>
  </property>
</Properties>
</file>