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136" w:val="left" w:leader="none"/>
        </w:tabs>
        <w:spacing w:line="240" w:lineRule="auto"/>
        <w:ind w:left="180" w:right="0" w:firstLine="0"/>
        <w:rPr>
          <w:rFonts w:ascii="Times New Roman"/>
          <w:sz w:val="20"/>
        </w:rPr>
      </w:pPr>
      <w:r>
        <w:rPr>
          <w:rFonts w:ascii="Times New Roman"/>
          <w:sz w:val="20"/>
        </w:rPr>
        <w:drawing>
          <wp:inline distT="0" distB="0" distL="0" distR="0">
            <wp:extent cx="465795" cy="471487"/>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65795" cy="471487"/>
                    </a:xfrm>
                    <a:prstGeom prst="rect">
                      <a:avLst/>
                    </a:prstGeom>
                  </pic:spPr>
                </pic:pic>
              </a:graphicData>
            </a:graphic>
          </wp:inline>
        </w:drawing>
      </w:r>
      <w:r>
        <w:rPr>
          <w:rFonts w:ascii="Times New Roman"/>
          <w:sz w:val="20"/>
        </w:rPr>
      </w:r>
      <w:r>
        <w:rPr>
          <w:rFonts w:ascii="Times New Roman"/>
          <w:sz w:val="20"/>
        </w:rPr>
        <w:tab/>
      </w:r>
      <w:r>
        <w:rPr>
          <w:rFonts w:ascii="Times New Roman"/>
          <w:position w:val="27"/>
          <w:sz w:val="20"/>
        </w:rPr>
        <w:pict>
          <v:group style="width:28.3pt;height:9.9pt;mso-position-horizontal-relative:char;mso-position-vertical-relative:line" coordorigin="0,0" coordsize="566,198">
            <v:shape style="position:absolute;left:0;top:0;width:126;height:197" type="#_x0000_t75" stroked="false">
              <v:imagedata r:id="rId7" o:title=""/>
            </v:shape>
            <v:shape style="position:absolute;left:167;top:0;width:175;height:198" type="#_x0000_t75" stroked="false">
              <v:imagedata r:id="rId8" o:title=""/>
            </v:shape>
            <v:shape style="position:absolute;left:394;top:0;width:171;height:197" type="#_x0000_t75" stroked="false">
              <v:imagedata r:id="rId9" o:title=""/>
            </v:shape>
          </v:group>
        </w:pict>
      </w:r>
      <w:r>
        <w:rPr>
          <w:rFonts w:ascii="Times New Roman"/>
          <w:position w:val="27"/>
          <w:sz w:val="20"/>
        </w:rPr>
      </w:r>
      <w:r>
        <w:rPr>
          <w:rFonts w:ascii="Times New Roman"/>
          <w:spacing w:val="15"/>
          <w:position w:val="27"/>
          <w:sz w:val="19"/>
        </w:rPr>
        <w:t> </w:t>
      </w:r>
      <w:r>
        <w:rPr>
          <w:rFonts w:ascii="Times New Roman"/>
          <w:spacing w:val="15"/>
          <w:position w:val="27"/>
          <w:sz w:val="20"/>
        </w:rPr>
        <w:drawing>
          <wp:inline distT="0" distB="0" distL="0" distR="0">
            <wp:extent cx="88933" cy="123825"/>
            <wp:effectExtent l="0" t="0" r="0" b="0"/>
            <wp:docPr id="3" name="image5.png"/>
            <wp:cNvGraphicFramePr>
              <a:graphicFrameLocks noChangeAspect="1"/>
            </wp:cNvGraphicFramePr>
            <a:graphic>
              <a:graphicData uri="http://schemas.openxmlformats.org/drawingml/2006/picture">
                <pic:pic>
                  <pic:nvPicPr>
                    <pic:cNvPr id="4" name="image5.png"/>
                    <pic:cNvPicPr/>
                  </pic:nvPicPr>
                  <pic:blipFill>
                    <a:blip r:embed="rId10" cstate="print"/>
                    <a:stretch>
                      <a:fillRect/>
                    </a:stretch>
                  </pic:blipFill>
                  <pic:spPr>
                    <a:xfrm>
                      <a:off x="0" y="0"/>
                      <a:ext cx="88933" cy="123825"/>
                    </a:xfrm>
                    <a:prstGeom prst="rect">
                      <a:avLst/>
                    </a:prstGeom>
                  </pic:spPr>
                </pic:pic>
              </a:graphicData>
            </a:graphic>
          </wp:inline>
        </w:drawing>
      </w:r>
      <w:r>
        <w:rPr>
          <w:rFonts w:ascii="Times New Roman"/>
          <w:spacing w:val="15"/>
          <w:position w:val="27"/>
          <w:sz w:val="20"/>
        </w:rPr>
      </w:r>
      <w:r>
        <w:rPr>
          <w:rFonts w:ascii="Times New Roman"/>
          <w:spacing w:val="66"/>
          <w:position w:val="27"/>
          <w:sz w:val="20"/>
        </w:rPr>
        <w:t> </w:t>
      </w:r>
      <w:r>
        <w:rPr>
          <w:rFonts w:ascii="Times New Roman"/>
          <w:spacing w:val="66"/>
          <w:position w:val="27"/>
          <w:sz w:val="20"/>
        </w:rPr>
        <w:pict>
          <v:group style="width:18.55pt;height:10.1pt;mso-position-horizontal-relative:char;mso-position-vertical-relative:line" coordorigin="0,0" coordsize="371,202">
            <v:shape style="position:absolute;left:0;top:0;width:194;height:202" type="#_x0000_t75" stroked="false">
              <v:imagedata r:id="rId11" o:title=""/>
            </v:shape>
            <v:shape style="position:absolute;left:258;top:1;width:113;height:197" type="#_x0000_t75" stroked="false">
              <v:imagedata r:id="rId12" o:title=""/>
            </v:shape>
          </v:group>
        </w:pict>
      </w:r>
      <w:r>
        <w:rPr>
          <w:rFonts w:ascii="Times New Roman"/>
          <w:spacing w:val="66"/>
          <w:position w:val="27"/>
          <w:sz w:val="20"/>
        </w:rPr>
      </w:r>
      <w:r>
        <w:rPr>
          <w:rFonts w:ascii="Times New Roman"/>
          <w:spacing w:val="80"/>
          <w:position w:val="27"/>
          <w:sz w:val="20"/>
        </w:rPr>
        <w:t> </w:t>
      </w:r>
      <w:r>
        <w:rPr>
          <w:rFonts w:ascii="Times New Roman"/>
          <w:spacing w:val="80"/>
          <w:position w:val="27"/>
          <w:sz w:val="20"/>
        </w:rPr>
        <w:pict>
          <v:group style="width:29.4pt;height:10.1pt;mso-position-horizontal-relative:char;mso-position-vertical-relative:line" coordorigin="0,0" coordsize="588,202">
            <v:shape style="position:absolute;left:0;top:1;width:119;height:197" type="#_x0000_t75" stroked="false">
              <v:imagedata r:id="rId13" o:title=""/>
            </v:shape>
            <v:shape style="position:absolute;left:184;top:1;width:171;height:197" type="#_x0000_t75" stroked="false">
              <v:imagedata r:id="rId14" o:title=""/>
            </v:shape>
            <v:shape style="position:absolute;left:418;top:0;width:169;height:202" type="#_x0000_t75" stroked="false">
              <v:imagedata r:id="rId15" o:title=""/>
            </v:shape>
          </v:group>
        </w:pict>
      </w:r>
      <w:r>
        <w:rPr>
          <w:rFonts w:ascii="Times New Roman"/>
          <w:spacing w:val="80"/>
          <w:position w:val="27"/>
          <w:sz w:val="20"/>
        </w:rPr>
      </w:r>
      <w:r>
        <w:rPr>
          <w:rFonts w:ascii="Times New Roman"/>
          <w:spacing w:val="13"/>
          <w:position w:val="27"/>
          <w:sz w:val="19"/>
        </w:rPr>
        <w:t> </w:t>
      </w:r>
      <w:r>
        <w:rPr>
          <w:rFonts w:ascii="Times New Roman"/>
          <w:spacing w:val="13"/>
          <w:position w:val="27"/>
          <w:sz w:val="20"/>
        </w:rPr>
        <w:pict>
          <v:group style="width:26.65pt;height:9.9pt;mso-position-horizontal-relative:char;mso-position-vertical-relative:line" coordorigin="0,0" coordsize="533,198">
            <v:shape style="position:absolute;left:134;top:0;width:175;height:198" type="#_x0000_t75" stroked="false">
              <v:imagedata r:id="rId16" o:title=""/>
            </v:shape>
            <v:shape style="position:absolute;left:0;top:0;width:101;height:197" type="#_x0000_t75" stroked="false">
              <v:imagedata r:id="rId17" o:title=""/>
            </v:shape>
            <v:shape style="position:absolute;left:361;top:0;width:171;height:197" type="#_x0000_t75" stroked="false">
              <v:imagedata r:id="rId18" o:title=""/>
            </v:shape>
          </v:group>
        </w:pict>
      </w:r>
      <w:r>
        <w:rPr>
          <w:rFonts w:ascii="Times New Roman"/>
          <w:spacing w:val="13"/>
          <w:position w:val="27"/>
          <w:sz w:val="20"/>
        </w:rPr>
      </w:r>
      <w:r>
        <w:rPr>
          <w:rFonts w:ascii="Times New Roman"/>
          <w:spacing w:val="15"/>
          <w:position w:val="27"/>
          <w:sz w:val="19"/>
        </w:rPr>
        <w:t> </w:t>
      </w:r>
      <w:r>
        <w:rPr>
          <w:rFonts w:ascii="Times New Roman"/>
          <w:spacing w:val="15"/>
          <w:position w:val="27"/>
          <w:sz w:val="20"/>
        </w:rPr>
        <w:drawing>
          <wp:inline distT="0" distB="0" distL="0" distR="0">
            <wp:extent cx="101368" cy="123825"/>
            <wp:effectExtent l="0" t="0" r="0" b="0"/>
            <wp:docPr id="5" name="image14.png"/>
            <wp:cNvGraphicFramePr>
              <a:graphicFrameLocks noChangeAspect="1"/>
            </wp:cNvGraphicFramePr>
            <a:graphic>
              <a:graphicData uri="http://schemas.openxmlformats.org/drawingml/2006/picture">
                <pic:pic>
                  <pic:nvPicPr>
                    <pic:cNvPr id="6" name="image14.png"/>
                    <pic:cNvPicPr/>
                  </pic:nvPicPr>
                  <pic:blipFill>
                    <a:blip r:embed="rId19" cstate="print"/>
                    <a:stretch>
                      <a:fillRect/>
                    </a:stretch>
                  </pic:blipFill>
                  <pic:spPr>
                    <a:xfrm>
                      <a:off x="0" y="0"/>
                      <a:ext cx="101368" cy="123825"/>
                    </a:xfrm>
                    <a:prstGeom prst="rect">
                      <a:avLst/>
                    </a:prstGeom>
                  </pic:spPr>
                </pic:pic>
              </a:graphicData>
            </a:graphic>
          </wp:inline>
        </w:drawing>
      </w:r>
      <w:r>
        <w:rPr>
          <w:rFonts w:ascii="Times New Roman"/>
          <w:spacing w:val="15"/>
          <w:position w:val="27"/>
          <w:sz w:val="20"/>
        </w:rPr>
      </w:r>
    </w:p>
    <w:p>
      <w:pPr>
        <w:pStyle w:val="BodyText"/>
        <w:spacing w:before="1"/>
        <w:rPr>
          <w:rFonts w:ascii="Times New Roman"/>
          <w:sz w:val="23"/>
          <w:u w:val="none"/>
        </w:rPr>
      </w:pPr>
    </w:p>
    <w:tbl>
      <w:tblPr>
        <w:tblW w:w="0" w:type="auto"/>
        <w:jc w:val="left"/>
        <w:tblInd w:w="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6"/>
        <w:gridCol w:w="7307"/>
        <w:gridCol w:w="821"/>
      </w:tblGrid>
      <w:tr>
        <w:trPr>
          <w:trHeight w:val="535" w:hRule="atLeast"/>
        </w:trPr>
        <w:tc>
          <w:tcPr>
            <w:tcW w:w="9194" w:type="dxa"/>
            <w:gridSpan w:val="3"/>
          </w:tcPr>
          <w:p>
            <w:pPr>
              <w:pStyle w:val="TableParagraph"/>
              <w:spacing w:line="491" w:lineRule="exact"/>
              <w:ind w:left="2"/>
              <w:rPr>
                <w:sz w:val="44"/>
              </w:rPr>
            </w:pPr>
            <w:r>
              <w:rPr>
                <w:sz w:val="44"/>
              </w:rPr>
              <w:t>Minutes</w:t>
            </w:r>
          </w:p>
        </w:tc>
      </w:tr>
      <w:tr>
        <w:trPr>
          <w:trHeight w:val="337" w:hRule="atLeast"/>
        </w:trPr>
        <w:tc>
          <w:tcPr>
            <w:tcW w:w="9194" w:type="dxa"/>
            <w:gridSpan w:val="3"/>
          </w:tcPr>
          <w:p>
            <w:pPr>
              <w:pStyle w:val="TableParagraph"/>
              <w:spacing w:before="37"/>
              <w:ind w:left="2"/>
              <w:rPr>
                <w:b/>
                <w:sz w:val="24"/>
              </w:rPr>
            </w:pPr>
            <w:r>
              <w:rPr>
                <w:b/>
                <w:sz w:val="24"/>
              </w:rPr>
              <w:t>SONIA Advisory Committee</w:t>
            </w:r>
          </w:p>
        </w:tc>
      </w:tr>
      <w:tr>
        <w:trPr>
          <w:trHeight w:val="560" w:hRule="atLeast"/>
        </w:trPr>
        <w:tc>
          <w:tcPr>
            <w:tcW w:w="9194" w:type="dxa"/>
            <w:gridSpan w:val="3"/>
            <w:tcBorders>
              <w:bottom w:val="single" w:sz="4" w:space="0" w:color="000000"/>
            </w:tcBorders>
          </w:tcPr>
          <w:p>
            <w:pPr>
              <w:pStyle w:val="TableParagraph"/>
              <w:spacing w:before="16"/>
              <w:ind w:left="2"/>
              <w:rPr>
                <w:sz w:val="24"/>
              </w:rPr>
            </w:pPr>
            <w:r>
              <w:rPr>
                <w:sz w:val="24"/>
              </w:rPr>
              <w:t>12 June 2017</w:t>
            </w:r>
          </w:p>
        </w:tc>
      </w:tr>
      <w:tr>
        <w:trPr>
          <w:trHeight w:val="577" w:hRule="atLeast"/>
        </w:trPr>
        <w:tc>
          <w:tcPr>
            <w:tcW w:w="1066" w:type="dxa"/>
            <w:tcBorders>
              <w:top w:val="single" w:sz="4" w:space="0" w:color="000000"/>
            </w:tcBorders>
          </w:tcPr>
          <w:p>
            <w:pPr>
              <w:pStyle w:val="TableParagraph"/>
              <w:spacing w:before="3"/>
              <w:rPr>
                <w:rFonts w:ascii="Times New Roman"/>
                <w:sz w:val="18"/>
              </w:rPr>
            </w:pPr>
          </w:p>
          <w:p>
            <w:pPr>
              <w:pStyle w:val="TableParagraph"/>
              <w:ind w:left="2"/>
              <w:rPr>
                <w:b/>
                <w:sz w:val="20"/>
              </w:rPr>
            </w:pPr>
            <w:r>
              <w:rPr>
                <w:b/>
                <w:sz w:val="20"/>
              </w:rPr>
              <w:t>Location:</w:t>
            </w:r>
          </w:p>
        </w:tc>
        <w:tc>
          <w:tcPr>
            <w:tcW w:w="7307" w:type="dxa"/>
            <w:tcBorders>
              <w:top w:val="single" w:sz="4" w:space="0" w:color="000000"/>
            </w:tcBorders>
          </w:tcPr>
          <w:p>
            <w:pPr>
              <w:pStyle w:val="TableParagraph"/>
              <w:spacing w:before="6"/>
              <w:rPr>
                <w:rFonts w:ascii="Times New Roman"/>
                <w:sz w:val="18"/>
              </w:rPr>
            </w:pPr>
          </w:p>
          <w:p>
            <w:pPr>
              <w:pStyle w:val="TableParagraph"/>
              <w:ind w:left="33"/>
              <w:rPr>
                <w:sz w:val="20"/>
              </w:rPr>
            </w:pPr>
            <w:r>
              <w:rPr>
                <w:sz w:val="20"/>
              </w:rPr>
              <w:t>Bank of England</w:t>
            </w:r>
          </w:p>
        </w:tc>
        <w:tc>
          <w:tcPr>
            <w:tcW w:w="821" w:type="dxa"/>
            <w:tcBorders>
              <w:top w:val="single" w:sz="4" w:space="0" w:color="000000"/>
            </w:tcBorders>
          </w:tcPr>
          <w:p>
            <w:pPr>
              <w:pStyle w:val="TableParagraph"/>
              <w:rPr>
                <w:rFonts w:ascii="Times New Roman"/>
                <w:sz w:val="20"/>
              </w:rPr>
            </w:pPr>
          </w:p>
        </w:tc>
      </w:tr>
      <w:tr>
        <w:trPr>
          <w:trHeight w:val="2286" w:hRule="atLeast"/>
        </w:trPr>
        <w:tc>
          <w:tcPr>
            <w:tcW w:w="1066" w:type="dxa"/>
          </w:tcPr>
          <w:p>
            <w:pPr>
              <w:pStyle w:val="TableParagraph"/>
              <w:spacing w:before="127"/>
              <w:ind w:left="2"/>
              <w:rPr>
                <w:b/>
                <w:sz w:val="20"/>
              </w:rPr>
            </w:pPr>
            <w:r>
              <w:rPr>
                <w:b/>
                <w:sz w:val="20"/>
              </w:rPr>
              <w:t>Members:</w:t>
            </w:r>
          </w:p>
        </w:tc>
        <w:tc>
          <w:tcPr>
            <w:tcW w:w="7307" w:type="dxa"/>
          </w:tcPr>
          <w:p>
            <w:pPr>
              <w:pStyle w:val="TableParagraph"/>
              <w:spacing w:before="127"/>
              <w:ind w:left="33" w:right="5564"/>
              <w:rPr>
                <w:sz w:val="20"/>
              </w:rPr>
            </w:pPr>
            <w:r>
              <w:rPr>
                <w:sz w:val="20"/>
              </w:rPr>
              <w:t>Sarah John (Chair) Alex McDonald David Clark</w:t>
            </w:r>
          </w:p>
          <w:p>
            <w:pPr>
              <w:pStyle w:val="TableParagraph"/>
              <w:spacing w:before="1"/>
              <w:ind w:left="33" w:right="6007"/>
              <w:rPr>
                <w:sz w:val="20"/>
              </w:rPr>
            </w:pPr>
            <w:r>
              <w:rPr>
                <w:sz w:val="20"/>
              </w:rPr>
              <w:t>Philip</w:t>
            </w:r>
            <w:r>
              <w:rPr>
                <w:spacing w:val="-15"/>
                <w:sz w:val="20"/>
              </w:rPr>
              <w:t> </w:t>
            </w:r>
            <w:r>
              <w:rPr>
                <w:sz w:val="20"/>
              </w:rPr>
              <w:t>Chilvers Brad Jeffery Will Parry Rob Thurlow Peter</w:t>
            </w:r>
            <w:r>
              <w:rPr>
                <w:spacing w:val="-3"/>
                <w:sz w:val="20"/>
              </w:rPr>
              <w:t> </w:t>
            </w:r>
            <w:r>
              <w:rPr>
                <w:sz w:val="20"/>
              </w:rPr>
              <w:t>Weston</w:t>
            </w:r>
          </w:p>
          <w:p>
            <w:pPr>
              <w:pStyle w:val="TableParagraph"/>
              <w:spacing w:before="3"/>
              <w:ind w:left="33"/>
              <w:rPr>
                <w:sz w:val="20"/>
              </w:rPr>
            </w:pPr>
            <w:r>
              <w:rPr>
                <w:sz w:val="20"/>
              </w:rPr>
              <w:t>Philip Whitehurst</w:t>
            </w:r>
          </w:p>
        </w:tc>
        <w:tc>
          <w:tcPr>
            <w:tcW w:w="821" w:type="dxa"/>
          </w:tcPr>
          <w:p>
            <w:pPr>
              <w:pStyle w:val="TableParagraph"/>
              <w:rPr>
                <w:rFonts w:ascii="Times New Roman"/>
                <w:sz w:val="20"/>
              </w:rPr>
            </w:pPr>
          </w:p>
        </w:tc>
      </w:tr>
      <w:tr>
        <w:trPr>
          <w:trHeight w:val="991" w:hRule="atLeast"/>
        </w:trPr>
        <w:tc>
          <w:tcPr>
            <w:tcW w:w="1066" w:type="dxa"/>
          </w:tcPr>
          <w:p>
            <w:pPr>
              <w:pStyle w:val="TableParagraph"/>
              <w:spacing w:before="78"/>
              <w:ind w:left="2"/>
              <w:rPr>
                <w:b/>
                <w:sz w:val="20"/>
              </w:rPr>
            </w:pPr>
            <w:r>
              <w:rPr>
                <w:b/>
                <w:sz w:val="20"/>
              </w:rPr>
              <w:t>Attendees:</w:t>
            </w:r>
          </w:p>
        </w:tc>
        <w:tc>
          <w:tcPr>
            <w:tcW w:w="7307" w:type="dxa"/>
          </w:tcPr>
          <w:p>
            <w:pPr>
              <w:pStyle w:val="TableParagraph"/>
              <w:spacing w:line="276" w:lineRule="auto" w:before="80"/>
              <w:ind w:left="33" w:right="6009"/>
              <w:rPr>
                <w:sz w:val="20"/>
              </w:rPr>
            </w:pPr>
            <w:r>
              <w:rPr>
                <w:sz w:val="20"/>
              </w:rPr>
              <w:t>Rob Harris Hasmita Patel Steve Wright</w:t>
            </w:r>
          </w:p>
        </w:tc>
        <w:tc>
          <w:tcPr>
            <w:tcW w:w="821" w:type="dxa"/>
          </w:tcPr>
          <w:p>
            <w:pPr>
              <w:pStyle w:val="TableParagraph"/>
              <w:rPr>
                <w:rFonts w:ascii="Times New Roman"/>
                <w:sz w:val="20"/>
              </w:rPr>
            </w:pPr>
          </w:p>
        </w:tc>
      </w:tr>
      <w:tr>
        <w:trPr>
          <w:trHeight w:val="608" w:hRule="atLeast"/>
        </w:trPr>
        <w:tc>
          <w:tcPr>
            <w:tcW w:w="1066" w:type="dxa"/>
            <w:tcBorders>
              <w:bottom w:val="single" w:sz="2" w:space="0" w:color="000000"/>
            </w:tcBorders>
          </w:tcPr>
          <w:p>
            <w:pPr>
              <w:pStyle w:val="TableParagraph"/>
              <w:spacing w:before="143"/>
              <w:ind w:left="2"/>
              <w:rPr>
                <w:b/>
                <w:sz w:val="20"/>
              </w:rPr>
            </w:pPr>
            <w:r>
              <w:rPr>
                <w:b/>
                <w:sz w:val="20"/>
              </w:rPr>
              <w:t>Apologies</w:t>
            </w:r>
          </w:p>
        </w:tc>
        <w:tc>
          <w:tcPr>
            <w:tcW w:w="7307" w:type="dxa"/>
            <w:tcBorders>
              <w:bottom w:val="single" w:sz="2" w:space="0" w:color="000000"/>
            </w:tcBorders>
          </w:tcPr>
          <w:p>
            <w:pPr>
              <w:pStyle w:val="TableParagraph"/>
              <w:spacing w:before="145"/>
              <w:ind w:left="33"/>
              <w:rPr>
                <w:sz w:val="20"/>
              </w:rPr>
            </w:pPr>
            <w:r>
              <w:rPr>
                <w:sz w:val="20"/>
              </w:rPr>
              <w:t>Ian Mair</w:t>
            </w:r>
          </w:p>
        </w:tc>
        <w:tc>
          <w:tcPr>
            <w:tcW w:w="821" w:type="dxa"/>
            <w:tcBorders>
              <w:bottom w:val="single" w:sz="2" w:space="0" w:color="000000"/>
            </w:tcBorders>
          </w:tcPr>
          <w:p>
            <w:pPr>
              <w:pStyle w:val="TableParagraph"/>
              <w:rPr>
                <w:rFonts w:ascii="Times New Roman"/>
                <w:sz w:val="20"/>
              </w:rPr>
            </w:pPr>
          </w:p>
        </w:tc>
      </w:tr>
      <w:tr>
        <w:trPr>
          <w:trHeight w:val="694" w:hRule="atLeast"/>
        </w:trPr>
        <w:tc>
          <w:tcPr>
            <w:tcW w:w="1066" w:type="dxa"/>
            <w:tcBorders>
              <w:top w:val="single" w:sz="2" w:space="0" w:color="000000"/>
            </w:tcBorders>
          </w:tcPr>
          <w:p>
            <w:pPr>
              <w:pStyle w:val="TableParagraph"/>
              <w:rPr>
                <w:rFonts w:ascii="Times New Roman"/>
                <w:sz w:val="20"/>
              </w:rPr>
            </w:pPr>
          </w:p>
          <w:p>
            <w:pPr>
              <w:pStyle w:val="TableParagraph"/>
              <w:spacing w:line="228" w:lineRule="exact"/>
              <w:ind w:left="110" w:right="291"/>
              <w:rPr>
                <w:b/>
                <w:sz w:val="20"/>
              </w:rPr>
            </w:pPr>
            <w:r>
              <w:rPr>
                <w:b/>
                <w:sz w:val="20"/>
              </w:rPr>
              <w:t>Minute no.</w:t>
            </w:r>
          </w:p>
        </w:tc>
        <w:tc>
          <w:tcPr>
            <w:tcW w:w="7307" w:type="dxa"/>
            <w:tcBorders>
              <w:top w:val="single" w:sz="2" w:space="0" w:color="000000"/>
            </w:tcBorders>
          </w:tcPr>
          <w:p>
            <w:pPr>
              <w:pStyle w:val="TableParagraph"/>
              <w:spacing w:before="6"/>
              <w:rPr>
                <w:rFonts w:ascii="Times New Roman"/>
                <w:sz w:val="19"/>
              </w:rPr>
            </w:pPr>
          </w:p>
          <w:p>
            <w:pPr>
              <w:pStyle w:val="TableParagraph"/>
              <w:ind w:left="76"/>
              <w:rPr>
                <w:b/>
                <w:sz w:val="20"/>
              </w:rPr>
            </w:pPr>
            <w:r>
              <w:rPr>
                <w:b/>
                <w:sz w:val="20"/>
              </w:rPr>
              <w:t>Minute</w:t>
            </w:r>
          </w:p>
        </w:tc>
        <w:tc>
          <w:tcPr>
            <w:tcW w:w="821" w:type="dxa"/>
            <w:tcBorders>
              <w:top w:val="single" w:sz="2" w:space="0" w:color="000000"/>
            </w:tcBorders>
          </w:tcPr>
          <w:p>
            <w:pPr>
              <w:pStyle w:val="TableParagraph"/>
              <w:spacing w:before="6"/>
              <w:rPr>
                <w:rFonts w:ascii="Times New Roman"/>
                <w:sz w:val="19"/>
              </w:rPr>
            </w:pPr>
          </w:p>
          <w:p>
            <w:pPr>
              <w:pStyle w:val="TableParagraph"/>
              <w:ind w:right="13"/>
              <w:jc w:val="right"/>
              <w:rPr>
                <w:b/>
                <w:sz w:val="20"/>
              </w:rPr>
            </w:pPr>
            <w:r>
              <w:rPr>
                <w:b/>
                <w:sz w:val="20"/>
              </w:rPr>
              <w:t>Action</w:t>
            </w:r>
          </w:p>
        </w:tc>
      </w:tr>
      <w:tr>
        <w:trPr>
          <w:trHeight w:val="6025" w:hRule="atLeast"/>
        </w:trPr>
        <w:tc>
          <w:tcPr>
            <w:tcW w:w="1066" w:type="dxa"/>
          </w:tcPr>
          <w:p>
            <w:pPr>
              <w:pStyle w:val="TableParagraph"/>
              <w:spacing w:before="6"/>
              <w:ind w:left="110"/>
              <w:rPr>
                <w:sz w:val="20"/>
              </w:rPr>
            </w:pPr>
            <w:r>
              <w:rPr>
                <w:sz w:val="20"/>
              </w:rPr>
              <w:t>1.</w:t>
            </w:r>
          </w:p>
        </w:tc>
        <w:tc>
          <w:tcPr>
            <w:tcW w:w="7307" w:type="dxa"/>
          </w:tcPr>
          <w:p>
            <w:pPr>
              <w:pStyle w:val="TableParagraph"/>
              <w:spacing w:before="4"/>
              <w:ind w:left="76"/>
              <w:rPr>
                <w:b/>
                <w:sz w:val="20"/>
              </w:rPr>
            </w:pPr>
            <w:r>
              <w:rPr>
                <w:b/>
                <w:sz w:val="20"/>
              </w:rPr>
              <w:t>Review of the SONIA Dashboard</w:t>
            </w:r>
          </w:p>
          <w:p>
            <w:pPr>
              <w:pStyle w:val="TableParagraph"/>
              <w:spacing w:before="2"/>
              <w:ind w:left="76" w:right="352"/>
              <w:rPr>
                <w:sz w:val="20"/>
              </w:rPr>
            </w:pPr>
            <w:r>
              <w:rPr>
                <w:sz w:val="20"/>
              </w:rPr>
              <w:t>The Committee reviewed the SONIA Dashboard covering the period of March to May 2017.</w:t>
            </w:r>
          </w:p>
          <w:p>
            <w:pPr>
              <w:pStyle w:val="TableParagraph"/>
              <w:spacing w:before="9"/>
              <w:rPr>
                <w:rFonts w:ascii="Times New Roman"/>
                <w:sz w:val="20"/>
              </w:rPr>
            </w:pPr>
          </w:p>
          <w:p>
            <w:pPr>
              <w:pStyle w:val="TableParagraph"/>
              <w:ind w:left="76" w:right="143"/>
              <w:rPr>
                <w:sz w:val="20"/>
              </w:rPr>
            </w:pPr>
            <w:r>
              <w:rPr>
                <w:sz w:val="20"/>
              </w:rPr>
              <w:t>SONIA had been stable throughout the period, with the exception of March quarter-end, when the rate fell slightly, as expected. It was noted that daily trading volumes had increased further over the quarter, reaching £17.5bn – the highest since September 2011. Bank of England attendees noted that indicative volumes in reformed SONIA had also risen accordingly.</w:t>
            </w:r>
          </w:p>
          <w:p>
            <w:pPr>
              <w:pStyle w:val="TableParagraph"/>
              <w:spacing w:before="10"/>
              <w:rPr>
                <w:rFonts w:ascii="Times New Roman"/>
                <w:sz w:val="20"/>
              </w:rPr>
            </w:pPr>
          </w:p>
          <w:p>
            <w:pPr>
              <w:pStyle w:val="TableParagraph"/>
              <w:ind w:left="76" w:right="173"/>
              <w:rPr>
                <w:sz w:val="20"/>
              </w:rPr>
            </w:pPr>
            <w:r>
              <w:rPr>
                <w:sz w:val="20"/>
              </w:rPr>
              <w:t>There was a brief discussion of possible reasons driving the increase in volumes. Most felt that a number of smaller factors may be responsible, although highlighted the following: greater availability of balance sheet for some firms to accept short-term cash deposits and arbitrage onto Bank of England reserve accounts, given changes in the leverage ratio calculation; the implementation of MiFID II rules potentially incentivising more activity through brokers (as this can facilitate trade transparency requirements); and the greater need for maintaining and managing short-term cash as a result of requirements on some participants to pay margin on bilateral derivatives.</w:t>
            </w:r>
          </w:p>
          <w:p>
            <w:pPr>
              <w:pStyle w:val="TableParagraph"/>
              <w:rPr>
                <w:rFonts w:ascii="Times New Roman"/>
                <w:sz w:val="21"/>
              </w:rPr>
            </w:pPr>
          </w:p>
          <w:p>
            <w:pPr>
              <w:pStyle w:val="TableParagraph"/>
              <w:ind w:left="76"/>
              <w:rPr>
                <w:sz w:val="20"/>
              </w:rPr>
            </w:pPr>
            <w:r>
              <w:rPr>
                <w:sz w:val="20"/>
              </w:rPr>
              <w:t>Committee members noted that the increase in volumes appeared to have had very little impact on the average rate.</w:t>
            </w:r>
          </w:p>
          <w:p>
            <w:pPr>
              <w:pStyle w:val="TableParagraph"/>
              <w:spacing w:before="9"/>
              <w:rPr>
                <w:rFonts w:ascii="Times New Roman"/>
                <w:sz w:val="20"/>
              </w:rPr>
            </w:pPr>
          </w:p>
          <w:p>
            <w:pPr>
              <w:pStyle w:val="TableParagraph"/>
              <w:spacing w:line="230" w:lineRule="atLeast"/>
              <w:ind w:left="76" w:right="269"/>
              <w:jc w:val="both"/>
              <w:rPr>
                <w:sz w:val="20"/>
              </w:rPr>
            </w:pPr>
            <w:r>
              <w:rPr>
                <w:sz w:val="20"/>
              </w:rPr>
              <w:t>There were three contributor reporting issues during the quarter, from different contributors; none had impact on SONIA above the 1 basis point re-publication threshold.</w:t>
            </w:r>
          </w:p>
        </w:tc>
        <w:tc>
          <w:tcPr>
            <w:tcW w:w="821" w:type="dxa"/>
          </w:tcPr>
          <w:p>
            <w:pPr>
              <w:pStyle w:val="TableParagraph"/>
              <w:spacing w:before="6"/>
              <w:ind w:right="14"/>
              <w:jc w:val="right"/>
              <w:rPr>
                <w:sz w:val="20"/>
              </w:rPr>
            </w:pPr>
            <w:r>
              <w:rPr>
                <w:w w:val="95"/>
                <w:sz w:val="20"/>
              </w:rPr>
              <w:t>N/A</w:t>
            </w:r>
          </w:p>
        </w:tc>
      </w:tr>
    </w:tbl>
    <w:p>
      <w:pPr>
        <w:spacing w:after="0"/>
        <w:jc w:val="right"/>
        <w:rPr>
          <w:sz w:val="20"/>
        </w:rPr>
        <w:sectPr>
          <w:footerReference w:type="default" r:id="rId5"/>
          <w:type w:val="continuous"/>
          <w:pgSz w:w="11910" w:h="16840"/>
          <w:pgMar w:footer="494" w:top="860" w:bottom="680" w:left="1020" w:right="1100"/>
          <w:pgNumType w:start="1"/>
        </w:sectPr>
      </w:pPr>
    </w:p>
    <w:tbl>
      <w:tblPr>
        <w:tblW w:w="0" w:type="auto"/>
        <w:jc w:val="left"/>
        <w:tblInd w:w="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9"/>
        <w:gridCol w:w="7758"/>
        <w:gridCol w:w="912"/>
      </w:tblGrid>
      <w:tr>
        <w:trPr>
          <w:trHeight w:val="1557" w:hRule="atLeast"/>
        </w:trPr>
        <w:tc>
          <w:tcPr>
            <w:tcW w:w="799" w:type="dxa"/>
          </w:tcPr>
          <w:p>
            <w:pPr>
              <w:pStyle w:val="TableParagraph"/>
              <w:spacing w:line="225" w:lineRule="exact"/>
              <w:ind w:left="200"/>
              <w:rPr>
                <w:sz w:val="20"/>
              </w:rPr>
            </w:pPr>
            <w:r>
              <w:rPr>
                <w:sz w:val="20"/>
              </w:rPr>
              <w:t>2.</w:t>
            </w:r>
          </w:p>
        </w:tc>
        <w:tc>
          <w:tcPr>
            <w:tcW w:w="7758" w:type="dxa"/>
          </w:tcPr>
          <w:p>
            <w:pPr>
              <w:pStyle w:val="TableParagraph"/>
              <w:spacing w:line="223" w:lineRule="exact"/>
              <w:ind w:left="432"/>
              <w:rPr>
                <w:b/>
                <w:sz w:val="20"/>
              </w:rPr>
            </w:pPr>
            <w:r>
              <w:rPr>
                <w:b/>
                <w:sz w:val="20"/>
              </w:rPr>
              <w:t>WMBA Assurance Review, preliminary findings</w:t>
            </w:r>
          </w:p>
          <w:p>
            <w:pPr>
              <w:pStyle w:val="TableParagraph"/>
              <w:spacing w:before="3"/>
              <w:ind w:left="432"/>
              <w:rPr>
                <w:sz w:val="20"/>
              </w:rPr>
            </w:pPr>
            <w:r>
              <w:rPr>
                <w:sz w:val="20"/>
              </w:rPr>
              <w:t>The WMBA updated the committee on the preliminary findings of the ongoing assurance review into the WMBA's production of SONIA. The review was assessing the WMBA’s compliance with the IOSCO Principles for Financial Benchmarks.</w:t>
            </w:r>
            <w:r>
              <w:rPr>
                <w:sz w:val="20"/>
                <w:vertAlign w:val="superscript"/>
              </w:rPr>
              <w:t>1</w:t>
            </w:r>
          </w:p>
          <w:p>
            <w:pPr>
              <w:pStyle w:val="TableParagraph"/>
              <w:spacing w:before="119"/>
              <w:ind w:left="432"/>
              <w:rPr>
                <w:sz w:val="20"/>
              </w:rPr>
            </w:pPr>
            <w:r>
              <w:rPr>
                <w:sz w:val="20"/>
              </w:rPr>
              <w:t>The full report would be presented to the Committee once complete.</w:t>
            </w:r>
          </w:p>
        </w:tc>
        <w:tc>
          <w:tcPr>
            <w:tcW w:w="912" w:type="dxa"/>
          </w:tcPr>
          <w:p>
            <w:pPr>
              <w:pStyle w:val="TableParagraph"/>
              <w:spacing w:line="225" w:lineRule="exact"/>
              <w:ind w:right="199"/>
              <w:jc w:val="right"/>
              <w:rPr>
                <w:sz w:val="20"/>
              </w:rPr>
            </w:pPr>
            <w:r>
              <w:rPr>
                <w:w w:val="95"/>
                <w:sz w:val="20"/>
              </w:rPr>
              <w:t>N/A</w:t>
            </w:r>
          </w:p>
        </w:tc>
      </w:tr>
      <w:tr>
        <w:trPr>
          <w:trHeight w:val="7059" w:hRule="atLeast"/>
        </w:trPr>
        <w:tc>
          <w:tcPr>
            <w:tcW w:w="799" w:type="dxa"/>
          </w:tcPr>
          <w:p>
            <w:pPr>
              <w:pStyle w:val="TableParagraph"/>
              <w:spacing w:before="58"/>
              <w:ind w:left="200"/>
              <w:rPr>
                <w:sz w:val="20"/>
              </w:rPr>
            </w:pPr>
            <w:r>
              <w:rPr>
                <w:sz w:val="20"/>
              </w:rPr>
              <w:t>3.</w:t>
            </w:r>
          </w:p>
        </w:tc>
        <w:tc>
          <w:tcPr>
            <w:tcW w:w="7758" w:type="dxa"/>
          </w:tcPr>
          <w:p>
            <w:pPr>
              <w:pStyle w:val="TableParagraph"/>
              <w:spacing w:before="55"/>
              <w:ind w:left="432"/>
              <w:rPr>
                <w:b/>
                <w:sz w:val="20"/>
              </w:rPr>
            </w:pPr>
            <w:r>
              <w:rPr>
                <w:b/>
                <w:sz w:val="20"/>
              </w:rPr>
              <w:t>Errors Policy for reformed SONIA</w:t>
            </w:r>
          </w:p>
          <w:p>
            <w:pPr>
              <w:pStyle w:val="TableParagraph"/>
              <w:spacing w:before="3"/>
              <w:ind w:left="432"/>
              <w:rPr>
                <w:sz w:val="20"/>
              </w:rPr>
            </w:pPr>
            <w:r>
              <w:rPr>
                <w:sz w:val="20"/>
              </w:rPr>
              <w:t>The Bank sought views from members on a proposed policy for publishing information on errors that might occur in the production and publication of the benchmark process, in order to improve transparency. The policy would be implemented at the switchover to reformed SONIA.</w:t>
            </w:r>
          </w:p>
          <w:p>
            <w:pPr>
              <w:pStyle w:val="TableParagraph"/>
              <w:spacing w:before="119"/>
              <w:ind w:left="432" w:right="254"/>
              <w:rPr>
                <w:sz w:val="20"/>
              </w:rPr>
            </w:pPr>
            <w:r>
              <w:rPr>
                <w:sz w:val="20"/>
              </w:rPr>
              <w:t>Errors for SONIA are operational or data issues, which would have affected the published rate, but either: have an impact below the threshold for republication (two or more basis points); or are identified after the deadline for republication (noon the same day).</w:t>
            </w:r>
          </w:p>
          <w:p>
            <w:pPr>
              <w:pStyle w:val="TableParagraph"/>
              <w:spacing w:before="120"/>
              <w:ind w:left="432" w:right="469"/>
              <w:rPr>
                <w:sz w:val="20"/>
              </w:rPr>
            </w:pPr>
            <w:r>
              <w:rPr>
                <w:sz w:val="20"/>
              </w:rPr>
              <w:t>The Bank noted that feedback received as part of the consultation on SONIA reform emphasised that clarity and certainty are key for almost all users of SONIA; the Committee agreed that publishing SONIA as it ‘would-have-been’ could create complications.</w:t>
            </w:r>
          </w:p>
          <w:p>
            <w:pPr>
              <w:pStyle w:val="TableParagraph"/>
              <w:spacing w:before="122"/>
              <w:ind w:left="432" w:right="254"/>
              <w:rPr>
                <w:sz w:val="20"/>
              </w:rPr>
            </w:pPr>
            <w:r>
              <w:rPr>
                <w:sz w:val="20"/>
              </w:rPr>
              <w:t>While some members were sceptical of the merits of the additional transparency, the Committee discussed the following issues:</w:t>
            </w:r>
          </w:p>
          <w:p>
            <w:pPr>
              <w:pStyle w:val="TableParagraph"/>
              <w:numPr>
                <w:ilvl w:val="0"/>
                <w:numId w:val="1"/>
              </w:numPr>
              <w:tabs>
                <w:tab w:pos="1152" w:val="left" w:leader="none"/>
                <w:tab w:pos="1153" w:val="left" w:leader="none"/>
              </w:tabs>
              <w:spacing w:line="240" w:lineRule="auto" w:before="119" w:after="0"/>
              <w:ind w:left="1152" w:right="1157" w:hanging="360"/>
              <w:jc w:val="left"/>
              <w:rPr>
                <w:sz w:val="20"/>
              </w:rPr>
            </w:pPr>
            <w:r>
              <w:rPr>
                <w:sz w:val="20"/>
              </w:rPr>
              <w:t>Whether to publish the type of error (data errors, timeliness of reporting, administrator operational issues);</w:t>
            </w:r>
          </w:p>
          <w:p>
            <w:pPr>
              <w:pStyle w:val="TableParagraph"/>
              <w:numPr>
                <w:ilvl w:val="0"/>
                <w:numId w:val="1"/>
              </w:numPr>
              <w:tabs>
                <w:tab w:pos="1152" w:val="left" w:leader="none"/>
                <w:tab w:pos="1153" w:val="left" w:leader="none"/>
              </w:tabs>
              <w:spacing w:line="240" w:lineRule="auto" w:before="118" w:after="0"/>
              <w:ind w:left="1152" w:right="409" w:hanging="360"/>
              <w:jc w:val="left"/>
              <w:rPr>
                <w:sz w:val="20"/>
              </w:rPr>
            </w:pPr>
            <w:r>
              <w:rPr>
                <w:sz w:val="20"/>
              </w:rPr>
              <w:t>Whether to publish information highlighting the magnitude of the error, using set qualitative</w:t>
            </w:r>
            <w:r>
              <w:rPr>
                <w:spacing w:val="-4"/>
                <w:sz w:val="20"/>
              </w:rPr>
              <w:t> </w:t>
            </w:r>
            <w:r>
              <w:rPr>
                <w:sz w:val="20"/>
              </w:rPr>
              <w:t>thresholds;</w:t>
            </w:r>
          </w:p>
          <w:p>
            <w:pPr>
              <w:pStyle w:val="TableParagraph"/>
              <w:numPr>
                <w:ilvl w:val="0"/>
                <w:numId w:val="1"/>
              </w:numPr>
              <w:tabs>
                <w:tab w:pos="1152" w:val="left" w:leader="none"/>
                <w:tab w:pos="1153" w:val="left" w:leader="none"/>
              </w:tabs>
              <w:spacing w:line="235" w:lineRule="auto" w:before="124" w:after="0"/>
              <w:ind w:left="1152" w:right="519" w:hanging="360"/>
              <w:jc w:val="left"/>
              <w:rPr>
                <w:sz w:val="20"/>
              </w:rPr>
            </w:pPr>
            <w:r>
              <w:rPr>
                <w:sz w:val="20"/>
              </w:rPr>
              <w:t>Whether to publish the direction of the impact on SONIA (i.e.</w:t>
            </w:r>
            <w:r>
              <w:rPr>
                <w:spacing w:val="-23"/>
                <w:sz w:val="20"/>
              </w:rPr>
              <w:t> </w:t>
            </w:r>
            <w:r>
              <w:rPr>
                <w:sz w:val="20"/>
              </w:rPr>
              <w:t>positive or</w:t>
            </w:r>
            <w:r>
              <w:rPr>
                <w:spacing w:val="-2"/>
                <w:sz w:val="20"/>
              </w:rPr>
              <w:t> </w:t>
            </w:r>
            <w:r>
              <w:rPr>
                <w:sz w:val="20"/>
              </w:rPr>
              <w:t>negative);</w:t>
            </w:r>
          </w:p>
          <w:p>
            <w:pPr>
              <w:pStyle w:val="TableParagraph"/>
              <w:numPr>
                <w:ilvl w:val="0"/>
                <w:numId w:val="1"/>
              </w:numPr>
              <w:tabs>
                <w:tab w:pos="1152" w:val="left" w:leader="none"/>
                <w:tab w:pos="1153" w:val="left" w:leader="none"/>
              </w:tabs>
              <w:spacing w:line="235" w:lineRule="auto" w:before="127" w:after="0"/>
              <w:ind w:left="1152" w:right="978" w:hanging="360"/>
              <w:jc w:val="left"/>
              <w:rPr>
                <w:sz w:val="20"/>
              </w:rPr>
            </w:pPr>
            <w:r>
              <w:rPr>
                <w:sz w:val="20"/>
              </w:rPr>
              <w:t>The appropriate frequency of publication, for example quarterly, although with an appropriate</w:t>
            </w:r>
            <w:r>
              <w:rPr>
                <w:spacing w:val="-1"/>
                <w:sz w:val="20"/>
              </w:rPr>
              <w:t> </w:t>
            </w:r>
            <w:r>
              <w:rPr>
                <w:sz w:val="20"/>
              </w:rPr>
              <w:t>lag.</w:t>
            </w:r>
          </w:p>
          <w:p>
            <w:pPr>
              <w:pStyle w:val="TableParagraph"/>
              <w:spacing w:before="123"/>
              <w:ind w:left="432"/>
              <w:rPr>
                <w:sz w:val="20"/>
              </w:rPr>
            </w:pPr>
            <w:r>
              <w:rPr>
                <w:sz w:val="20"/>
              </w:rPr>
              <w:t>The Bank would publish a finalised Errors Policy for reformed SONIA in due course.</w:t>
            </w:r>
          </w:p>
        </w:tc>
        <w:tc>
          <w:tcPr>
            <w:tcW w:w="912" w:type="dxa"/>
          </w:tcPr>
          <w:p>
            <w:pPr>
              <w:pStyle w:val="TableParagraph"/>
              <w:spacing w:before="58"/>
              <w:ind w:right="240"/>
              <w:jc w:val="right"/>
              <w:rPr>
                <w:sz w:val="20"/>
              </w:rPr>
            </w:pPr>
            <w:r>
              <w:rPr>
                <w:w w:val="95"/>
                <w:sz w:val="20"/>
              </w:rPr>
              <w:t>N/A</w:t>
            </w:r>
          </w:p>
        </w:tc>
      </w:tr>
      <w:tr>
        <w:trPr>
          <w:trHeight w:val="1151" w:hRule="atLeast"/>
        </w:trPr>
        <w:tc>
          <w:tcPr>
            <w:tcW w:w="799" w:type="dxa"/>
          </w:tcPr>
          <w:p>
            <w:pPr>
              <w:pStyle w:val="TableParagraph"/>
              <w:spacing w:before="3"/>
              <w:rPr>
                <w:rFonts w:ascii="Times New Roman"/>
                <w:sz w:val="20"/>
              </w:rPr>
            </w:pPr>
          </w:p>
          <w:p>
            <w:pPr>
              <w:pStyle w:val="TableParagraph"/>
              <w:ind w:left="200"/>
              <w:rPr>
                <w:sz w:val="20"/>
              </w:rPr>
            </w:pPr>
            <w:r>
              <w:rPr>
                <w:sz w:val="20"/>
              </w:rPr>
              <w:t>4.</w:t>
            </w:r>
          </w:p>
        </w:tc>
        <w:tc>
          <w:tcPr>
            <w:tcW w:w="7758" w:type="dxa"/>
          </w:tcPr>
          <w:p>
            <w:pPr>
              <w:pStyle w:val="TableParagraph"/>
              <w:rPr>
                <w:rFonts w:ascii="Times New Roman"/>
                <w:sz w:val="20"/>
              </w:rPr>
            </w:pPr>
          </w:p>
          <w:p>
            <w:pPr>
              <w:pStyle w:val="TableParagraph"/>
              <w:ind w:left="432"/>
              <w:rPr>
                <w:b/>
                <w:sz w:val="20"/>
              </w:rPr>
            </w:pPr>
            <w:r>
              <w:rPr>
                <w:b/>
                <w:sz w:val="20"/>
              </w:rPr>
              <w:t>Other business</w:t>
            </w:r>
          </w:p>
          <w:p>
            <w:pPr>
              <w:pStyle w:val="TableParagraph"/>
              <w:spacing w:before="3"/>
              <w:ind w:left="432" w:right="347"/>
              <w:rPr>
                <w:sz w:val="20"/>
              </w:rPr>
            </w:pPr>
            <w:r>
              <w:rPr>
                <w:sz w:val="20"/>
              </w:rPr>
              <w:t>The Committee noted that the Working Group on Sterling Risk-Free Reference Rates had recently announced SONIA as its preferred Risk-Free Rate for use</w:t>
            </w:r>
          </w:p>
          <w:p>
            <w:pPr>
              <w:pStyle w:val="TableParagraph"/>
              <w:spacing w:line="208" w:lineRule="exact"/>
              <w:ind w:left="432"/>
              <w:rPr>
                <w:sz w:val="20"/>
              </w:rPr>
            </w:pPr>
            <w:r>
              <w:rPr>
                <w:sz w:val="20"/>
              </w:rPr>
              <w:t>in sterling derivatives and relevant financial contracts.</w:t>
            </w:r>
            <w:r>
              <w:rPr>
                <w:sz w:val="20"/>
                <w:vertAlign w:val="superscript"/>
              </w:rPr>
              <w:t>2</w:t>
            </w:r>
          </w:p>
        </w:tc>
        <w:tc>
          <w:tcPr>
            <w:tcW w:w="912" w:type="dxa"/>
          </w:tcPr>
          <w:p>
            <w:pPr>
              <w:pStyle w:val="TableParagraph"/>
              <w:spacing w:before="3"/>
              <w:rPr>
                <w:rFonts w:ascii="Times New Roman"/>
                <w:sz w:val="20"/>
              </w:rPr>
            </w:pPr>
          </w:p>
          <w:p>
            <w:pPr>
              <w:pStyle w:val="TableParagraph"/>
              <w:ind w:right="240"/>
              <w:jc w:val="right"/>
              <w:rPr>
                <w:sz w:val="20"/>
              </w:rPr>
            </w:pPr>
            <w:r>
              <w:rPr>
                <w:w w:val="95"/>
                <w:sz w:val="20"/>
              </w:rPr>
              <w:t>N/A</w:t>
            </w:r>
          </w:p>
        </w:tc>
      </w:tr>
    </w:tbl>
    <w:p>
      <w:pPr>
        <w:pStyle w:val="BodyText"/>
        <w:rPr>
          <w:rFonts w:ascii="Times New Roman"/>
          <w:sz w:val="20"/>
          <w:u w:val="none"/>
        </w:rPr>
      </w:pPr>
    </w:p>
    <w:p>
      <w:pPr>
        <w:pStyle w:val="BodyText"/>
        <w:rPr>
          <w:rFonts w:ascii="Times New Roman"/>
          <w:sz w:val="20"/>
          <w:u w:val="none"/>
        </w:rPr>
      </w:pPr>
    </w:p>
    <w:p>
      <w:pPr>
        <w:pStyle w:val="BodyText"/>
        <w:rPr>
          <w:rFonts w:ascii="Times New Roman"/>
          <w:sz w:val="20"/>
          <w:u w:val="none"/>
        </w:rPr>
      </w:pPr>
    </w:p>
    <w:p>
      <w:pPr>
        <w:pStyle w:val="BodyText"/>
        <w:rPr>
          <w:rFonts w:ascii="Times New Roman"/>
          <w:sz w:val="20"/>
          <w:u w:val="none"/>
        </w:rPr>
      </w:pPr>
    </w:p>
    <w:p>
      <w:pPr>
        <w:pStyle w:val="BodyText"/>
        <w:rPr>
          <w:rFonts w:ascii="Times New Roman"/>
          <w:sz w:val="20"/>
          <w:u w:val="none"/>
        </w:rPr>
      </w:pPr>
    </w:p>
    <w:p>
      <w:pPr>
        <w:pStyle w:val="BodyText"/>
        <w:rPr>
          <w:rFonts w:ascii="Times New Roman"/>
          <w:sz w:val="20"/>
          <w:u w:val="none"/>
        </w:rPr>
      </w:pPr>
    </w:p>
    <w:p>
      <w:pPr>
        <w:pStyle w:val="BodyText"/>
        <w:rPr>
          <w:rFonts w:ascii="Times New Roman"/>
          <w:sz w:val="20"/>
          <w:u w:val="none"/>
        </w:rPr>
      </w:pPr>
    </w:p>
    <w:p>
      <w:pPr>
        <w:pStyle w:val="BodyText"/>
        <w:rPr>
          <w:rFonts w:ascii="Times New Roman"/>
          <w:sz w:val="20"/>
          <w:u w:val="none"/>
        </w:rPr>
      </w:pPr>
    </w:p>
    <w:p>
      <w:pPr>
        <w:pStyle w:val="BodyText"/>
        <w:rPr>
          <w:rFonts w:ascii="Times New Roman"/>
          <w:sz w:val="20"/>
          <w:u w:val="none"/>
        </w:rPr>
      </w:pPr>
    </w:p>
    <w:p>
      <w:pPr>
        <w:pStyle w:val="BodyText"/>
        <w:rPr>
          <w:rFonts w:ascii="Times New Roman"/>
          <w:sz w:val="20"/>
          <w:u w:val="none"/>
        </w:rPr>
      </w:pPr>
    </w:p>
    <w:p>
      <w:pPr>
        <w:pStyle w:val="BodyText"/>
        <w:rPr>
          <w:rFonts w:ascii="Times New Roman"/>
          <w:sz w:val="20"/>
          <w:u w:val="none"/>
        </w:rPr>
      </w:pPr>
    </w:p>
    <w:p>
      <w:pPr>
        <w:pStyle w:val="BodyText"/>
        <w:rPr>
          <w:rFonts w:ascii="Times New Roman"/>
          <w:sz w:val="20"/>
          <w:u w:val="none"/>
        </w:rPr>
      </w:pPr>
    </w:p>
    <w:p>
      <w:pPr>
        <w:pStyle w:val="BodyText"/>
        <w:rPr>
          <w:rFonts w:ascii="Times New Roman"/>
          <w:sz w:val="20"/>
          <w:u w:val="none"/>
        </w:rPr>
      </w:pPr>
    </w:p>
    <w:p>
      <w:pPr>
        <w:pStyle w:val="BodyText"/>
        <w:rPr>
          <w:rFonts w:ascii="Times New Roman"/>
          <w:sz w:val="20"/>
          <w:u w:val="none"/>
        </w:rPr>
      </w:pPr>
    </w:p>
    <w:p>
      <w:pPr>
        <w:pStyle w:val="BodyText"/>
        <w:rPr>
          <w:rFonts w:ascii="Times New Roman"/>
          <w:sz w:val="20"/>
          <w:u w:val="none"/>
        </w:rPr>
      </w:pPr>
    </w:p>
    <w:p>
      <w:pPr>
        <w:pStyle w:val="BodyText"/>
        <w:rPr>
          <w:rFonts w:ascii="Times New Roman"/>
          <w:sz w:val="20"/>
          <w:u w:val="none"/>
        </w:rPr>
      </w:pPr>
    </w:p>
    <w:p>
      <w:pPr>
        <w:pStyle w:val="BodyText"/>
        <w:spacing w:before="2"/>
        <w:rPr>
          <w:rFonts w:ascii="Times New Roman"/>
          <w:sz w:val="25"/>
          <w:u w:val="none"/>
        </w:rPr>
      </w:pPr>
      <w:r>
        <w:rPr/>
        <w:pict>
          <v:shape style="position:absolute;margin-left:56.664001pt;margin-top:16.714418pt;width:144.050pt;height:.1pt;mso-position-horizontal-relative:page;mso-position-vertical-relative:paragraph;z-index:-251654144;mso-wrap-distance-left:0;mso-wrap-distance-right:0" coordorigin="1133,334" coordsize="2881,0" path="m1133,334l4014,334e" filled="false" stroked="true" strokeweight=".48004pt" strokecolor="#000000">
            <v:path arrowok="t"/>
            <v:stroke dashstyle="solid"/>
            <w10:wrap type="topAndBottom"/>
          </v:shape>
        </w:pict>
      </w:r>
    </w:p>
    <w:p>
      <w:pPr>
        <w:pStyle w:val="BodyText"/>
        <w:spacing w:line="224" w:lineRule="exact" w:before="22"/>
        <w:ind w:left="113"/>
        <w:rPr>
          <w:u w:val="none"/>
        </w:rPr>
      </w:pPr>
      <w:r>
        <w:rPr>
          <w:position w:val="9"/>
          <w:sz w:val="12"/>
          <w:u w:val="none"/>
        </w:rPr>
        <w:t>1 </w:t>
      </w:r>
      <w:r>
        <w:rPr>
          <w:u w:val="none"/>
        </w:rPr>
        <w:t>For more information, see: </w:t>
      </w:r>
      <w:hyperlink r:id="rId20">
        <w:r>
          <w:rPr>
            <w:color w:val="0000FF"/>
            <w:u w:val="single" w:color="0000FF"/>
          </w:rPr>
          <w:t>www.iosco.org/library/pubdocs/pdf/IOSCOPD415.pdf</w:t>
        </w:r>
      </w:hyperlink>
    </w:p>
    <w:p>
      <w:pPr>
        <w:pStyle w:val="BodyText"/>
        <w:spacing w:line="224" w:lineRule="exact"/>
        <w:ind w:left="113"/>
        <w:rPr>
          <w:u w:val="none"/>
        </w:rPr>
      </w:pPr>
      <w:r>
        <w:rPr>
          <w:position w:val="9"/>
          <w:sz w:val="12"/>
          <w:u w:val="none"/>
        </w:rPr>
        <w:t>2 </w:t>
      </w:r>
      <w:r>
        <w:rPr>
          <w:u w:val="none"/>
        </w:rPr>
        <w:t>For more information, see: </w:t>
      </w:r>
      <w:hyperlink r:id="rId21">
        <w:r>
          <w:rPr>
            <w:color w:val="0000FF"/>
            <w:u w:val="single" w:color="0000FF"/>
          </w:rPr>
          <w:t>www.bankofengland.co.uk/publications/Pages/news/2017/033.aspx</w:t>
        </w:r>
      </w:hyperlink>
    </w:p>
    <w:sectPr>
      <w:pgSz w:w="11910" w:h="16840"/>
      <w:pgMar w:header="0" w:footer="494" w:top="1400" w:bottom="680" w:left="102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u w:val="none"/>
      </w:rPr>
    </w:pPr>
    <w:r>
      <w:rPr/>
      <w:pict>
        <v:shapetype id="_x0000_t202" o:spt="202" coordsize="21600,21600" path="m,l,21600r21600,l21600,xe">
          <v:stroke joinstyle="miter"/>
          <v:path gradientshapeok="t" o:connecttype="rect"/>
        </v:shapetype>
        <v:shape style="position:absolute;margin-left:530.159973pt;margin-top:800.679443pt;width:11.55pt;height:14.7pt;mso-position-horizontal-relative:page;mso-position-vertical-relative:page;z-index:-251890688" type="#_x0000_t202" filled="false" stroked="false">
          <v:textbox inset="0,0,0,0">
            <w:txbxContent>
              <w:p>
                <w:pPr>
                  <w:spacing w:before="44"/>
                  <w:ind w:left="60" w:right="0" w:firstLine="0"/>
                  <w:jc w:val="left"/>
                  <w:rPr>
                    <w:sz w:val="20"/>
                  </w:rPr>
                </w:pPr>
                <w:r>
                  <w:rPr/>
                  <w:fldChar w:fldCharType="begin"/>
                </w:r>
                <w:r>
                  <w:rPr>
                    <w:w w:val="99"/>
                    <w:sz w:val="20"/>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152" w:hanging="360"/>
      </w:pPr>
      <w:rPr>
        <w:rFonts w:hint="default" w:ascii="Symbol" w:hAnsi="Symbol" w:eastAsia="Symbol" w:cs="Symbol"/>
        <w:w w:val="99"/>
        <w:sz w:val="20"/>
        <w:szCs w:val="20"/>
        <w:lang w:val="en-gb" w:eastAsia="en-gb" w:bidi="en-gb"/>
      </w:rPr>
    </w:lvl>
    <w:lvl w:ilvl="1">
      <w:start w:val="0"/>
      <w:numFmt w:val="bullet"/>
      <w:lvlText w:val="•"/>
      <w:lvlJc w:val="left"/>
      <w:pPr>
        <w:ind w:left="1819" w:hanging="360"/>
      </w:pPr>
      <w:rPr>
        <w:rFonts w:hint="default"/>
        <w:lang w:val="en-gb" w:eastAsia="en-gb" w:bidi="en-gb"/>
      </w:rPr>
    </w:lvl>
    <w:lvl w:ilvl="2">
      <w:start w:val="0"/>
      <w:numFmt w:val="bullet"/>
      <w:lvlText w:val="•"/>
      <w:lvlJc w:val="left"/>
      <w:pPr>
        <w:ind w:left="2479" w:hanging="360"/>
      </w:pPr>
      <w:rPr>
        <w:rFonts w:hint="default"/>
        <w:lang w:val="en-gb" w:eastAsia="en-gb" w:bidi="en-gb"/>
      </w:rPr>
    </w:lvl>
    <w:lvl w:ilvl="3">
      <w:start w:val="0"/>
      <w:numFmt w:val="bullet"/>
      <w:lvlText w:val="•"/>
      <w:lvlJc w:val="left"/>
      <w:pPr>
        <w:ind w:left="3139" w:hanging="360"/>
      </w:pPr>
      <w:rPr>
        <w:rFonts w:hint="default"/>
        <w:lang w:val="en-gb" w:eastAsia="en-gb" w:bidi="en-gb"/>
      </w:rPr>
    </w:lvl>
    <w:lvl w:ilvl="4">
      <w:start w:val="0"/>
      <w:numFmt w:val="bullet"/>
      <w:lvlText w:val="•"/>
      <w:lvlJc w:val="left"/>
      <w:pPr>
        <w:ind w:left="3799" w:hanging="360"/>
      </w:pPr>
      <w:rPr>
        <w:rFonts w:hint="default"/>
        <w:lang w:val="en-gb" w:eastAsia="en-gb" w:bidi="en-gb"/>
      </w:rPr>
    </w:lvl>
    <w:lvl w:ilvl="5">
      <w:start w:val="0"/>
      <w:numFmt w:val="bullet"/>
      <w:lvlText w:val="•"/>
      <w:lvlJc w:val="left"/>
      <w:pPr>
        <w:ind w:left="4459" w:hanging="360"/>
      </w:pPr>
      <w:rPr>
        <w:rFonts w:hint="default"/>
        <w:lang w:val="en-gb" w:eastAsia="en-gb" w:bidi="en-gb"/>
      </w:rPr>
    </w:lvl>
    <w:lvl w:ilvl="6">
      <w:start w:val="0"/>
      <w:numFmt w:val="bullet"/>
      <w:lvlText w:val="•"/>
      <w:lvlJc w:val="left"/>
      <w:pPr>
        <w:ind w:left="5118" w:hanging="360"/>
      </w:pPr>
      <w:rPr>
        <w:rFonts w:hint="default"/>
        <w:lang w:val="en-gb" w:eastAsia="en-gb" w:bidi="en-gb"/>
      </w:rPr>
    </w:lvl>
    <w:lvl w:ilvl="7">
      <w:start w:val="0"/>
      <w:numFmt w:val="bullet"/>
      <w:lvlText w:val="•"/>
      <w:lvlJc w:val="left"/>
      <w:pPr>
        <w:ind w:left="5778" w:hanging="360"/>
      </w:pPr>
      <w:rPr>
        <w:rFonts w:hint="default"/>
        <w:lang w:val="en-gb" w:eastAsia="en-gb" w:bidi="en-gb"/>
      </w:rPr>
    </w:lvl>
    <w:lvl w:ilvl="8">
      <w:start w:val="0"/>
      <w:numFmt w:val="bullet"/>
      <w:lvlText w:val="•"/>
      <w:lvlJc w:val="left"/>
      <w:pPr>
        <w:ind w:left="6438"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18"/>
      <w:szCs w:val="18"/>
      <w:u w:val="single" w:color="00000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hyperlink" Target="https://www.iosco.org/library/pubdocs/pdf/IOSCOPD415.pdf" TargetMode="External"/><Relationship Id="rId21" Type="http://schemas.openxmlformats.org/officeDocument/2006/relationships/hyperlink" Target="http://www.bankofengland.co.uk/publications/Pages/news/2017/033.aspx"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2020-06-01T02:20:21Z</dcterms:created>
  <dcterms:modified xsi:type="dcterms:W3CDTF">2020-06-01T02:20:21Z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2017-09-14T00:00:00Z</vt:filetime>
  </property>
  <property fmtid="{D5CDD505-2E9C-101B-9397-08002B2CF9AE}" pid="3" name="LastSaved">
    <vt:filetime>2020-06-01T00:00:00Z</vt:filetime>
  </property>
</Properties>
</file>