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7044" w:val="left" w:leader="none"/>
        </w:tabs>
        <w:spacing w:line="240" w:lineRule="auto"/>
        <w:ind w:left="6088" w:right="0" w:firstLine="0"/>
        <w:rPr>
          <w:rFonts w:ascii="Times New Roman"/>
          <w:sz w:val="20"/>
        </w:rPr>
      </w:pPr>
      <w:r>
        <w:rPr>
          <w:rFonts w:ascii="Times New Roman"/>
          <w:sz w:val="20"/>
        </w:rPr>
        <w:drawing>
          <wp:inline distT="0" distB="0" distL="0" distR="0">
            <wp:extent cx="461090" cy="466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461090" cy="466725"/>
                    </a:xfrm>
                    <a:prstGeom prst="rect">
                      <a:avLst/>
                    </a:prstGeom>
                  </pic:spPr>
                </pic:pic>
              </a:graphicData>
            </a:graphic>
          </wp:inline>
        </w:drawing>
      </w:r>
      <w:r>
        <w:rPr>
          <w:rFonts w:ascii="Times New Roman"/>
          <w:sz w:val="20"/>
        </w:rPr>
      </w:r>
      <w:r>
        <w:rPr>
          <w:rFonts w:ascii="Times New Roman"/>
          <w:sz w:val="20"/>
        </w:rPr>
        <w:tab/>
      </w:r>
      <w:r>
        <w:rPr>
          <w:rFonts w:ascii="Times New Roman"/>
          <w:position w:val="26"/>
          <w:sz w:val="20"/>
        </w:rPr>
        <w:pict>
          <v:group style="width:28.3pt;height:9.9pt;mso-position-horizontal-relative:char;mso-position-vertical-relative:line" coordorigin="0,0" coordsize="566,198">
            <v:shape style="position:absolute;left:0;top:0;width:126;height:197" type="#_x0000_t75" stroked="false">
              <v:imagedata r:id="rId7" o:title=""/>
            </v:shape>
            <v:shape style="position:absolute;left:167;top:0;width:175;height:198" type="#_x0000_t75" stroked="false">
              <v:imagedata r:id="rId8" o:title=""/>
            </v:shape>
            <v:shape style="position:absolute;left:394;top:0;width:171;height:197" type="#_x0000_t75" stroked="false">
              <v:imagedata r:id="rId9" o:title=""/>
            </v:shape>
          </v:group>
        </w:pict>
      </w:r>
      <w:r>
        <w:rPr>
          <w:rFonts w:ascii="Times New Roman"/>
          <w:position w:val="26"/>
          <w:sz w:val="20"/>
        </w:rPr>
      </w:r>
      <w:r>
        <w:rPr>
          <w:rFonts w:ascii="Times New Roman"/>
          <w:spacing w:val="15"/>
          <w:position w:val="26"/>
          <w:sz w:val="19"/>
        </w:rPr>
        <w:t> </w:t>
      </w:r>
      <w:r>
        <w:rPr>
          <w:rFonts w:ascii="Times New Roman"/>
          <w:spacing w:val="15"/>
          <w:position w:val="26"/>
          <w:sz w:val="20"/>
        </w:rPr>
        <w:drawing>
          <wp:inline distT="0" distB="0" distL="0" distR="0">
            <wp:extent cx="90507" cy="126015"/>
            <wp:effectExtent l="0" t="0" r="0" b="0"/>
            <wp:docPr id="3" name="image5.png"/>
            <wp:cNvGraphicFramePr>
              <a:graphicFrameLocks noChangeAspect="1"/>
            </wp:cNvGraphicFramePr>
            <a:graphic>
              <a:graphicData uri="http://schemas.openxmlformats.org/drawingml/2006/picture">
                <pic:pic>
                  <pic:nvPicPr>
                    <pic:cNvPr id="4" name="image5.png"/>
                    <pic:cNvPicPr/>
                  </pic:nvPicPr>
                  <pic:blipFill>
                    <a:blip r:embed="rId10" cstate="print"/>
                    <a:stretch>
                      <a:fillRect/>
                    </a:stretch>
                  </pic:blipFill>
                  <pic:spPr>
                    <a:xfrm>
                      <a:off x="0" y="0"/>
                      <a:ext cx="90507" cy="126015"/>
                    </a:xfrm>
                    <a:prstGeom prst="rect">
                      <a:avLst/>
                    </a:prstGeom>
                  </pic:spPr>
                </pic:pic>
              </a:graphicData>
            </a:graphic>
          </wp:inline>
        </w:drawing>
      </w:r>
      <w:r>
        <w:rPr>
          <w:rFonts w:ascii="Times New Roman"/>
          <w:spacing w:val="15"/>
          <w:position w:val="26"/>
          <w:sz w:val="20"/>
        </w:rPr>
      </w:r>
      <w:r>
        <w:rPr>
          <w:rFonts w:ascii="Times New Roman"/>
          <w:spacing w:val="63"/>
          <w:position w:val="26"/>
          <w:sz w:val="20"/>
        </w:rPr>
        <w:t> </w:t>
      </w:r>
      <w:r>
        <w:rPr>
          <w:rFonts w:ascii="Times New Roman"/>
          <w:spacing w:val="63"/>
          <w:position w:val="26"/>
          <w:sz w:val="20"/>
        </w:rPr>
        <w:pict>
          <v:group style="width:18.55pt;height:10.1pt;mso-position-horizontal-relative:char;mso-position-vertical-relative:line" coordorigin="0,0" coordsize="371,202">
            <v:shape style="position:absolute;left:0;top:0;width:194;height:202" type="#_x0000_t75" stroked="false">
              <v:imagedata r:id="rId11" o:title=""/>
            </v:shape>
            <v:shape style="position:absolute;left:258;top:1;width:113;height:197" type="#_x0000_t75" stroked="false">
              <v:imagedata r:id="rId12" o:title=""/>
            </v:shape>
          </v:group>
        </w:pict>
      </w:r>
      <w:r>
        <w:rPr>
          <w:rFonts w:ascii="Times New Roman"/>
          <w:spacing w:val="63"/>
          <w:position w:val="26"/>
          <w:sz w:val="20"/>
        </w:rPr>
      </w:r>
      <w:r>
        <w:rPr>
          <w:rFonts w:ascii="Times New Roman"/>
          <w:spacing w:val="80"/>
          <w:position w:val="26"/>
          <w:sz w:val="20"/>
        </w:rPr>
        <w:t> </w:t>
      </w:r>
      <w:r>
        <w:rPr>
          <w:rFonts w:ascii="Times New Roman"/>
          <w:spacing w:val="80"/>
          <w:position w:val="26"/>
          <w:sz w:val="20"/>
        </w:rPr>
        <w:pict>
          <v:group style="width:29.4pt;height:10.1pt;mso-position-horizontal-relative:char;mso-position-vertical-relative:line" coordorigin="0,0" coordsize="588,202">
            <v:shape style="position:absolute;left:0;top:1;width:119;height:197" type="#_x0000_t75" stroked="false">
              <v:imagedata r:id="rId13" o:title=""/>
            </v:shape>
            <v:shape style="position:absolute;left:184;top:1;width:171;height:197" type="#_x0000_t75" stroked="false">
              <v:imagedata r:id="rId14" o:title=""/>
            </v:shape>
            <v:shape style="position:absolute;left:418;top:0;width:169;height:202" type="#_x0000_t75" stroked="false">
              <v:imagedata r:id="rId15" o:title=""/>
            </v:shape>
          </v:group>
        </w:pict>
      </w:r>
      <w:r>
        <w:rPr>
          <w:rFonts w:ascii="Times New Roman"/>
          <w:spacing w:val="80"/>
          <w:position w:val="26"/>
          <w:sz w:val="20"/>
        </w:rPr>
      </w:r>
      <w:r>
        <w:rPr>
          <w:rFonts w:ascii="Times New Roman"/>
          <w:spacing w:val="13"/>
          <w:position w:val="26"/>
          <w:sz w:val="19"/>
        </w:rPr>
        <w:t> </w:t>
      </w:r>
      <w:r>
        <w:rPr>
          <w:rFonts w:ascii="Times New Roman"/>
          <w:spacing w:val="13"/>
          <w:position w:val="26"/>
          <w:sz w:val="20"/>
        </w:rPr>
        <w:pict>
          <v:group style="width:26.65pt;height:9.9pt;mso-position-horizontal-relative:char;mso-position-vertical-relative:line" coordorigin="0,0" coordsize="533,198">
            <v:shape style="position:absolute;left:134;top:0;width:175;height:198" type="#_x0000_t75" stroked="false">
              <v:imagedata r:id="rId16" o:title=""/>
            </v:shape>
            <v:shape style="position:absolute;left:0;top:0;width:101;height:197" type="#_x0000_t75" stroked="false">
              <v:imagedata r:id="rId17" o:title=""/>
            </v:shape>
            <v:shape style="position:absolute;left:361;top:0;width:171;height:197" type="#_x0000_t75" stroked="false">
              <v:imagedata r:id="rId18" o:title=""/>
            </v:shape>
          </v:group>
        </w:pict>
      </w:r>
      <w:r>
        <w:rPr>
          <w:rFonts w:ascii="Times New Roman"/>
          <w:spacing w:val="13"/>
          <w:position w:val="26"/>
          <w:sz w:val="20"/>
        </w:rPr>
      </w:r>
      <w:r>
        <w:rPr>
          <w:rFonts w:ascii="Times New Roman"/>
          <w:spacing w:val="15"/>
          <w:position w:val="26"/>
          <w:sz w:val="19"/>
        </w:rPr>
        <w:t> </w:t>
      </w:r>
      <w:r>
        <w:rPr>
          <w:rFonts w:ascii="Times New Roman"/>
          <w:spacing w:val="15"/>
          <w:position w:val="26"/>
          <w:sz w:val="20"/>
        </w:rPr>
        <w:drawing>
          <wp:inline distT="0" distB="0" distL="0" distR="0">
            <wp:extent cx="103161" cy="126015"/>
            <wp:effectExtent l="0" t="0" r="0" b="0"/>
            <wp:docPr id="5" name="image14.png"/>
            <wp:cNvGraphicFramePr>
              <a:graphicFrameLocks noChangeAspect="1"/>
            </wp:cNvGraphicFramePr>
            <a:graphic>
              <a:graphicData uri="http://schemas.openxmlformats.org/drawingml/2006/picture">
                <pic:pic>
                  <pic:nvPicPr>
                    <pic:cNvPr id="6" name="image14.png"/>
                    <pic:cNvPicPr/>
                  </pic:nvPicPr>
                  <pic:blipFill>
                    <a:blip r:embed="rId19" cstate="print"/>
                    <a:stretch>
                      <a:fillRect/>
                    </a:stretch>
                  </pic:blipFill>
                  <pic:spPr>
                    <a:xfrm>
                      <a:off x="0" y="0"/>
                      <a:ext cx="103161" cy="126015"/>
                    </a:xfrm>
                    <a:prstGeom prst="rect">
                      <a:avLst/>
                    </a:prstGeom>
                  </pic:spPr>
                </pic:pic>
              </a:graphicData>
            </a:graphic>
          </wp:inline>
        </w:drawing>
      </w:r>
      <w:r>
        <w:rPr>
          <w:rFonts w:ascii="Times New Roman"/>
          <w:spacing w:val="15"/>
          <w:position w:val="26"/>
          <w:sz w:val="20"/>
        </w:rPr>
      </w:r>
    </w:p>
    <w:p>
      <w:pPr>
        <w:pStyle w:val="BodyText"/>
        <w:spacing w:before="2" w:after="1"/>
        <w:rPr>
          <w:rFonts w:ascii="Times New Roman"/>
          <w:sz w:val="23"/>
          <w:u w:val="none"/>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0"/>
        <w:gridCol w:w="7667"/>
        <w:gridCol w:w="1134"/>
      </w:tblGrid>
      <w:tr>
        <w:trPr>
          <w:trHeight w:val="665" w:hRule="atLeast"/>
        </w:trPr>
        <w:tc>
          <w:tcPr>
            <w:tcW w:w="9861" w:type="dxa"/>
            <w:gridSpan w:val="3"/>
          </w:tcPr>
          <w:p>
            <w:pPr>
              <w:pStyle w:val="TableParagraph"/>
              <w:spacing w:line="491" w:lineRule="exact"/>
              <w:rPr>
                <w:sz w:val="44"/>
              </w:rPr>
            </w:pPr>
            <w:r>
              <w:rPr>
                <w:sz w:val="44"/>
              </w:rPr>
              <w:t>Minutes</w:t>
            </w:r>
          </w:p>
        </w:tc>
      </w:tr>
      <w:tr>
        <w:trPr>
          <w:trHeight w:val="467" w:hRule="atLeast"/>
        </w:trPr>
        <w:tc>
          <w:tcPr>
            <w:tcW w:w="9861" w:type="dxa"/>
            <w:gridSpan w:val="3"/>
          </w:tcPr>
          <w:p>
            <w:pPr>
              <w:pStyle w:val="TableParagraph"/>
              <w:spacing w:before="167"/>
              <w:rPr>
                <w:b/>
                <w:sz w:val="24"/>
              </w:rPr>
            </w:pPr>
            <w:r>
              <w:rPr>
                <w:b/>
                <w:sz w:val="24"/>
              </w:rPr>
              <w:t>SONIA Advisory Committee</w:t>
            </w:r>
          </w:p>
        </w:tc>
      </w:tr>
      <w:tr>
        <w:trPr>
          <w:trHeight w:val="565" w:hRule="atLeast"/>
        </w:trPr>
        <w:tc>
          <w:tcPr>
            <w:tcW w:w="9861" w:type="dxa"/>
            <w:gridSpan w:val="3"/>
            <w:tcBorders>
              <w:bottom w:val="single" w:sz="4" w:space="0" w:color="000000"/>
            </w:tcBorders>
          </w:tcPr>
          <w:p>
            <w:pPr>
              <w:pStyle w:val="TableParagraph"/>
              <w:spacing w:before="16"/>
              <w:rPr>
                <w:sz w:val="24"/>
              </w:rPr>
            </w:pPr>
            <w:r>
              <w:rPr>
                <w:sz w:val="24"/>
              </w:rPr>
              <w:t>18 May 2016</w:t>
            </w:r>
          </w:p>
        </w:tc>
      </w:tr>
      <w:tr>
        <w:trPr>
          <w:trHeight w:val="582" w:hRule="atLeast"/>
        </w:trPr>
        <w:tc>
          <w:tcPr>
            <w:tcW w:w="1060" w:type="dxa"/>
            <w:tcBorders>
              <w:top w:val="single" w:sz="4" w:space="0" w:color="000000"/>
            </w:tcBorders>
          </w:tcPr>
          <w:p>
            <w:pPr>
              <w:pStyle w:val="TableParagraph"/>
              <w:spacing w:before="8"/>
              <w:rPr>
                <w:rFonts w:ascii="Times New Roman"/>
                <w:sz w:val="18"/>
              </w:rPr>
            </w:pPr>
          </w:p>
          <w:p>
            <w:pPr>
              <w:pStyle w:val="TableParagraph"/>
              <w:rPr>
                <w:b/>
                <w:sz w:val="20"/>
              </w:rPr>
            </w:pPr>
            <w:r>
              <w:rPr>
                <w:b/>
                <w:sz w:val="20"/>
              </w:rPr>
              <w:t>Location:</w:t>
            </w:r>
          </w:p>
        </w:tc>
        <w:tc>
          <w:tcPr>
            <w:tcW w:w="7667" w:type="dxa"/>
            <w:tcBorders>
              <w:top w:val="single" w:sz="4" w:space="0" w:color="000000"/>
            </w:tcBorders>
          </w:tcPr>
          <w:p>
            <w:pPr>
              <w:pStyle w:val="TableParagraph"/>
              <w:spacing w:before="10"/>
              <w:rPr>
                <w:rFonts w:ascii="Times New Roman"/>
                <w:sz w:val="18"/>
              </w:rPr>
            </w:pPr>
          </w:p>
          <w:p>
            <w:pPr>
              <w:pStyle w:val="TableParagraph"/>
              <w:spacing w:before="1"/>
              <w:ind w:left="30"/>
              <w:rPr>
                <w:sz w:val="20"/>
              </w:rPr>
            </w:pPr>
            <w:r>
              <w:rPr>
                <w:sz w:val="20"/>
              </w:rPr>
              <w:t>Bank of England</w:t>
            </w:r>
          </w:p>
        </w:tc>
        <w:tc>
          <w:tcPr>
            <w:tcW w:w="1134" w:type="dxa"/>
            <w:tcBorders>
              <w:top w:val="single" w:sz="4" w:space="0" w:color="000000"/>
            </w:tcBorders>
          </w:tcPr>
          <w:p>
            <w:pPr>
              <w:pStyle w:val="TableParagraph"/>
              <w:rPr>
                <w:rFonts w:ascii="Times New Roman"/>
                <w:sz w:val="20"/>
              </w:rPr>
            </w:pPr>
          </w:p>
        </w:tc>
      </w:tr>
      <w:tr>
        <w:trPr>
          <w:trHeight w:val="2745" w:hRule="atLeast"/>
        </w:trPr>
        <w:tc>
          <w:tcPr>
            <w:tcW w:w="1060" w:type="dxa"/>
          </w:tcPr>
          <w:p>
            <w:pPr>
              <w:pStyle w:val="TableParagraph"/>
              <w:spacing w:before="127"/>
              <w:rPr>
                <w:b/>
                <w:sz w:val="20"/>
              </w:rPr>
            </w:pPr>
            <w:r>
              <w:rPr>
                <w:b/>
                <w:sz w:val="20"/>
              </w:rPr>
              <w:t>Members:</w:t>
            </w:r>
          </w:p>
        </w:tc>
        <w:tc>
          <w:tcPr>
            <w:tcW w:w="7667" w:type="dxa"/>
          </w:tcPr>
          <w:p>
            <w:pPr>
              <w:pStyle w:val="TableParagraph"/>
              <w:spacing w:before="127"/>
              <w:ind w:left="30" w:right="5927"/>
              <w:rPr>
                <w:sz w:val="20"/>
              </w:rPr>
            </w:pPr>
            <w:r>
              <w:rPr>
                <w:sz w:val="20"/>
              </w:rPr>
              <w:t>Sarah John (Chair) David Clark</w:t>
            </w:r>
          </w:p>
          <w:p>
            <w:pPr>
              <w:pStyle w:val="TableParagraph"/>
              <w:spacing w:before="1"/>
              <w:ind w:left="30" w:right="6278"/>
              <w:rPr>
                <w:sz w:val="20"/>
              </w:rPr>
            </w:pPr>
            <w:r>
              <w:rPr>
                <w:sz w:val="20"/>
              </w:rPr>
              <w:t>Philip Chilvers John Ewan Andrew </w:t>
            </w:r>
            <w:r>
              <w:rPr>
                <w:spacing w:val="-3"/>
                <w:sz w:val="20"/>
              </w:rPr>
              <w:t>Hadley </w:t>
            </w:r>
            <w:r>
              <w:rPr>
                <w:sz w:val="20"/>
              </w:rPr>
              <w:t>Brad Jeffery Ian</w:t>
            </w:r>
            <w:r>
              <w:rPr>
                <w:spacing w:val="-2"/>
                <w:sz w:val="20"/>
              </w:rPr>
              <w:t> </w:t>
            </w:r>
            <w:r>
              <w:rPr>
                <w:sz w:val="20"/>
              </w:rPr>
              <w:t>Mair</w:t>
            </w:r>
          </w:p>
          <w:p>
            <w:pPr>
              <w:pStyle w:val="TableParagraph"/>
              <w:ind w:left="30" w:right="6293"/>
              <w:rPr>
                <w:sz w:val="20"/>
              </w:rPr>
            </w:pPr>
            <w:r>
              <w:rPr>
                <w:sz w:val="20"/>
              </w:rPr>
              <w:t>Alex </w:t>
            </w:r>
            <w:r>
              <w:rPr>
                <w:spacing w:val="-3"/>
                <w:sz w:val="20"/>
              </w:rPr>
              <w:t>McDonald </w:t>
            </w:r>
            <w:r>
              <w:rPr>
                <w:sz w:val="20"/>
              </w:rPr>
              <w:t>Will Parry Peter</w:t>
            </w:r>
            <w:r>
              <w:rPr>
                <w:spacing w:val="-3"/>
                <w:sz w:val="20"/>
              </w:rPr>
              <w:t> </w:t>
            </w:r>
            <w:r>
              <w:rPr>
                <w:sz w:val="20"/>
              </w:rPr>
              <w:t>Weston</w:t>
            </w:r>
          </w:p>
          <w:p>
            <w:pPr>
              <w:pStyle w:val="TableParagraph"/>
              <w:spacing w:before="2"/>
              <w:ind w:left="30"/>
              <w:rPr>
                <w:sz w:val="20"/>
              </w:rPr>
            </w:pPr>
            <w:r>
              <w:rPr>
                <w:sz w:val="20"/>
              </w:rPr>
              <w:t>Philip Whitehurst</w:t>
            </w:r>
          </w:p>
        </w:tc>
        <w:tc>
          <w:tcPr>
            <w:tcW w:w="1134" w:type="dxa"/>
          </w:tcPr>
          <w:p>
            <w:pPr>
              <w:pStyle w:val="TableParagraph"/>
              <w:rPr>
                <w:rFonts w:ascii="Times New Roman"/>
                <w:sz w:val="20"/>
              </w:rPr>
            </w:pPr>
          </w:p>
        </w:tc>
      </w:tr>
      <w:tr>
        <w:trPr>
          <w:trHeight w:val="710" w:hRule="atLeast"/>
        </w:trPr>
        <w:tc>
          <w:tcPr>
            <w:tcW w:w="1060" w:type="dxa"/>
          </w:tcPr>
          <w:p>
            <w:pPr>
              <w:pStyle w:val="TableParagraph"/>
              <w:spacing w:before="78"/>
              <w:rPr>
                <w:b/>
                <w:sz w:val="20"/>
              </w:rPr>
            </w:pPr>
            <w:r>
              <w:rPr>
                <w:b/>
                <w:sz w:val="20"/>
              </w:rPr>
              <w:t>Attendees:</w:t>
            </w:r>
          </w:p>
        </w:tc>
        <w:tc>
          <w:tcPr>
            <w:tcW w:w="7667" w:type="dxa"/>
          </w:tcPr>
          <w:p>
            <w:pPr>
              <w:pStyle w:val="TableParagraph"/>
              <w:spacing w:line="278" w:lineRule="auto" w:before="80"/>
              <w:ind w:left="30" w:right="6472"/>
              <w:rPr>
                <w:sz w:val="20"/>
              </w:rPr>
            </w:pPr>
            <w:r>
              <w:rPr>
                <w:sz w:val="20"/>
              </w:rPr>
              <w:t>Rob Harris Steve Wright</w:t>
            </w:r>
          </w:p>
        </w:tc>
        <w:tc>
          <w:tcPr>
            <w:tcW w:w="1134" w:type="dxa"/>
          </w:tcPr>
          <w:p>
            <w:pPr>
              <w:pStyle w:val="TableParagraph"/>
              <w:rPr>
                <w:rFonts w:ascii="Times New Roman"/>
                <w:sz w:val="20"/>
              </w:rPr>
            </w:pPr>
          </w:p>
        </w:tc>
      </w:tr>
      <w:tr>
        <w:trPr>
          <w:trHeight w:val="587" w:hRule="atLeast"/>
        </w:trPr>
        <w:tc>
          <w:tcPr>
            <w:tcW w:w="1060" w:type="dxa"/>
            <w:tcBorders>
              <w:bottom w:val="single" w:sz="2" w:space="0" w:color="000000"/>
            </w:tcBorders>
          </w:tcPr>
          <w:p>
            <w:pPr>
              <w:pStyle w:val="TableParagraph"/>
              <w:spacing w:before="126"/>
              <w:rPr>
                <w:b/>
                <w:sz w:val="20"/>
              </w:rPr>
            </w:pPr>
            <w:r>
              <w:rPr>
                <w:b/>
                <w:sz w:val="20"/>
              </w:rPr>
              <w:t>Apologies:</w:t>
            </w:r>
          </w:p>
        </w:tc>
        <w:tc>
          <w:tcPr>
            <w:tcW w:w="7667" w:type="dxa"/>
            <w:tcBorders>
              <w:bottom w:val="single" w:sz="2" w:space="0" w:color="000000"/>
            </w:tcBorders>
          </w:tcPr>
          <w:p>
            <w:pPr>
              <w:pStyle w:val="TableParagraph"/>
              <w:spacing w:before="128"/>
              <w:ind w:left="30"/>
              <w:rPr>
                <w:sz w:val="20"/>
              </w:rPr>
            </w:pPr>
            <w:r>
              <w:rPr>
                <w:sz w:val="20"/>
              </w:rPr>
              <w:t>None</w:t>
            </w:r>
          </w:p>
        </w:tc>
        <w:tc>
          <w:tcPr>
            <w:tcW w:w="1134" w:type="dxa"/>
            <w:tcBorders>
              <w:bottom w:val="single" w:sz="2" w:space="0" w:color="000000"/>
            </w:tcBorders>
          </w:tcPr>
          <w:p>
            <w:pPr>
              <w:pStyle w:val="TableParagraph"/>
              <w:rPr>
                <w:rFonts w:ascii="Times New Roman"/>
                <w:sz w:val="20"/>
              </w:rPr>
            </w:pPr>
          </w:p>
        </w:tc>
      </w:tr>
      <w:tr>
        <w:trPr>
          <w:trHeight w:val="697" w:hRule="atLeast"/>
        </w:trPr>
        <w:tc>
          <w:tcPr>
            <w:tcW w:w="1060" w:type="dxa"/>
            <w:tcBorders>
              <w:top w:val="single" w:sz="2" w:space="0" w:color="000000"/>
            </w:tcBorders>
          </w:tcPr>
          <w:p>
            <w:pPr>
              <w:pStyle w:val="TableParagraph"/>
              <w:spacing w:before="6"/>
              <w:rPr>
                <w:rFonts w:ascii="Times New Roman"/>
                <w:sz w:val="19"/>
              </w:rPr>
            </w:pPr>
          </w:p>
          <w:p>
            <w:pPr>
              <w:pStyle w:val="TableParagraph"/>
              <w:spacing w:line="230" w:lineRule="atLeast"/>
              <w:ind w:left="108" w:right="287"/>
              <w:rPr>
                <w:b/>
                <w:sz w:val="20"/>
              </w:rPr>
            </w:pPr>
            <w:r>
              <w:rPr>
                <w:b/>
                <w:sz w:val="20"/>
              </w:rPr>
              <w:t>Minute no.</w:t>
            </w:r>
          </w:p>
        </w:tc>
        <w:tc>
          <w:tcPr>
            <w:tcW w:w="7667" w:type="dxa"/>
            <w:tcBorders>
              <w:top w:val="single" w:sz="2" w:space="0" w:color="000000"/>
            </w:tcBorders>
          </w:tcPr>
          <w:p>
            <w:pPr>
              <w:pStyle w:val="TableParagraph"/>
              <w:spacing w:before="6"/>
              <w:rPr>
                <w:rFonts w:ascii="Times New Roman"/>
                <w:sz w:val="19"/>
              </w:rPr>
            </w:pPr>
          </w:p>
          <w:p>
            <w:pPr>
              <w:pStyle w:val="TableParagraph"/>
              <w:ind w:left="116"/>
              <w:rPr>
                <w:b/>
                <w:sz w:val="20"/>
              </w:rPr>
            </w:pPr>
            <w:r>
              <w:rPr>
                <w:b/>
                <w:sz w:val="20"/>
              </w:rPr>
              <w:t>Minute</w:t>
            </w:r>
          </w:p>
        </w:tc>
        <w:tc>
          <w:tcPr>
            <w:tcW w:w="1134" w:type="dxa"/>
            <w:tcBorders>
              <w:top w:val="single" w:sz="2" w:space="0" w:color="000000"/>
            </w:tcBorders>
          </w:tcPr>
          <w:p>
            <w:pPr>
              <w:pStyle w:val="TableParagraph"/>
              <w:spacing w:before="6"/>
              <w:rPr>
                <w:rFonts w:ascii="Times New Roman"/>
                <w:sz w:val="19"/>
              </w:rPr>
            </w:pPr>
          </w:p>
          <w:p>
            <w:pPr>
              <w:pStyle w:val="TableParagraph"/>
              <w:ind w:right="106"/>
              <w:jc w:val="right"/>
              <w:rPr>
                <w:b/>
                <w:sz w:val="20"/>
              </w:rPr>
            </w:pPr>
            <w:r>
              <w:rPr>
                <w:b/>
                <w:sz w:val="20"/>
              </w:rPr>
              <w:t>Action</w:t>
            </w:r>
          </w:p>
        </w:tc>
      </w:tr>
      <w:tr>
        <w:trPr>
          <w:trHeight w:val="2899" w:hRule="atLeast"/>
        </w:trPr>
        <w:tc>
          <w:tcPr>
            <w:tcW w:w="1060" w:type="dxa"/>
          </w:tcPr>
          <w:p>
            <w:pPr>
              <w:pStyle w:val="TableParagraph"/>
              <w:spacing w:before="7"/>
              <w:ind w:left="108"/>
              <w:rPr>
                <w:sz w:val="20"/>
              </w:rPr>
            </w:pPr>
            <w:r>
              <w:rPr>
                <w:sz w:val="20"/>
              </w:rPr>
              <w:t>1.</w:t>
            </w:r>
          </w:p>
        </w:tc>
        <w:tc>
          <w:tcPr>
            <w:tcW w:w="7667" w:type="dxa"/>
          </w:tcPr>
          <w:p>
            <w:pPr>
              <w:pStyle w:val="TableParagraph"/>
              <w:spacing w:before="5"/>
              <w:ind w:left="116"/>
              <w:rPr>
                <w:b/>
                <w:sz w:val="20"/>
              </w:rPr>
            </w:pPr>
            <w:r>
              <w:rPr>
                <w:b/>
                <w:sz w:val="20"/>
              </w:rPr>
              <w:t>Introductions and Terms of Reference</w:t>
            </w:r>
          </w:p>
          <w:p>
            <w:pPr>
              <w:pStyle w:val="TableParagraph"/>
              <w:spacing w:before="3"/>
              <w:ind w:left="116" w:right="333"/>
              <w:rPr>
                <w:sz w:val="20"/>
              </w:rPr>
            </w:pPr>
            <w:r>
              <w:rPr>
                <w:sz w:val="20"/>
              </w:rPr>
              <w:t>The Committee reviewed and approved the proposed Terms of Reference, subject to minor amendments.</w:t>
            </w:r>
            <w:r>
              <w:rPr>
                <w:sz w:val="20"/>
                <w:vertAlign w:val="superscript"/>
              </w:rPr>
              <w:t>1</w:t>
            </w:r>
            <w:r>
              <w:rPr>
                <w:sz w:val="20"/>
                <w:vertAlign w:val="baseline"/>
              </w:rPr>
              <w:t> The primary purpose of the Committee was agreed to be: to challenge aspects of the design and determination of the SONIA Benchmark, and to advise the Bank on any operational changes or risks to the production of SONIA.</w:t>
            </w:r>
          </w:p>
          <w:p>
            <w:pPr>
              <w:pStyle w:val="TableParagraph"/>
              <w:spacing w:before="10"/>
              <w:rPr>
                <w:rFonts w:ascii="Times New Roman"/>
                <w:sz w:val="20"/>
              </w:rPr>
            </w:pPr>
          </w:p>
          <w:p>
            <w:pPr>
              <w:pStyle w:val="TableParagraph"/>
              <w:ind w:left="116" w:right="411"/>
              <w:rPr>
                <w:sz w:val="20"/>
              </w:rPr>
            </w:pPr>
            <w:r>
              <w:rPr>
                <w:sz w:val="20"/>
              </w:rPr>
              <w:t>It was noted that the Bank had designed its governance arrangements for administering SONIA to be consistent with the intent of regulations and international best practice, as encapsulated by the IOSCO Principles for Financial Benchmarks. An internal audit of the arrangements was due to be undertaken; the Bank would provide a readout at the Committee’s next meeting.</w:t>
            </w:r>
          </w:p>
        </w:tc>
        <w:tc>
          <w:tcPr>
            <w:tcW w:w="1134" w:type="dxa"/>
          </w:tcPr>
          <w:p>
            <w:pPr>
              <w:pStyle w:val="TableParagraph"/>
              <w:spacing w:before="7"/>
              <w:ind w:right="106"/>
              <w:jc w:val="right"/>
              <w:rPr>
                <w:sz w:val="20"/>
              </w:rPr>
            </w:pPr>
            <w:r>
              <w:rPr>
                <w:w w:val="95"/>
                <w:sz w:val="20"/>
              </w:rPr>
              <w:t>N/A</w:t>
            </w:r>
          </w:p>
        </w:tc>
      </w:tr>
      <w:tr>
        <w:trPr>
          <w:trHeight w:val="2198" w:hRule="atLeast"/>
        </w:trPr>
        <w:tc>
          <w:tcPr>
            <w:tcW w:w="1060" w:type="dxa"/>
          </w:tcPr>
          <w:p>
            <w:pPr>
              <w:pStyle w:val="TableParagraph"/>
              <w:spacing w:before="118"/>
              <w:ind w:left="108"/>
              <w:rPr>
                <w:sz w:val="20"/>
              </w:rPr>
            </w:pPr>
            <w:r>
              <w:rPr>
                <w:sz w:val="20"/>
              </w:rPr>
              <w:t>2.</w:t>
            </w:r>
          </w:p>
        </w:tc>
        <w:tc>
          <w:tcPr>
            <w:tcW w:w="7667" w:type="dxa"/>
          </w:tcPr>
          <w:p>
            <w:pPr>
              <w:pStyle w:val="TableParagraph"/>
              <w:spacing w:before="115"/>
              <w:ind w:left="116"/>
              <w:rPr>
                <w:b/>
                <w:sz w:val="20"/>
              </w:rPr>
            </w:pPr>
            <w:r>
              <w:rPr>
                <w:b/>
                <w:sz w:val="20"/>
              </w:rPr>
              <w:t>Review of April 2016 SONIA Dashboard</w:t>
            </w:r>
          </w:p>
          <w:p>
            <w:pPr>
              <w:pStyle w:val="TableParagraph"/>
              <w:spacing w:before="3"/>
              <w:ind w:left="116" w:right="561"/>
              <w:rPr>
                <w:sz w:val="20"/>
              </w:rPr>
            </w:pPr>
            <w:r>
              <w:rPr>
                <w:sz w:val="20"/>
              </w:rPr>
              <w:t>The monthly SONIA Dashboard was reviewed to the Committee. It was agreed that no further action was required on the one minor incident, as existing processes worked as required.</w:t>
            </w:r>
          </w:p>
          <w:p>
            <w:pPr>
              <w:pStyle w:val="TableParagraph"/>
              <w:spacing w:before="9"/>
              <w:rPr>
                <w:rFonts w:ascii="Times New Roman"/>
                <w:sz w:val="20"/>
              </w:rPr>
            </w:pPr>
          </w:p>
          <w:p>
            <w:pPr>
              <w:pStyle w:val="TableParagraph"/>
              <w:ind w:left="116" w:right="938"/>
              <w:rPr>
                <w:sz w:val="20"/>
              </w:rPr>
            </w:pPr>
            <w:r>
              <w:rPr>
                <w:sz w:val="20"/>
              </w:rPr>
              <w:t>Throughout April, aggregate volumes were stable, around £8-10bn, but fell slightly on the last day of the month. The published rate was also stable at</w:t>
            </w:r>
          </w:p>
          <w:p>
            <w:pPr>
              <w:pStyle w:val="TableParagraph"/>
              <w:spacing w:line="230" w:lineRule="atLeast" w:before="1"/>
              <w:ind w:left="116" w:right="561"/>
              <w:rPr>
                <w:sz w:val="20"/>
              </w:rPr>
            </w:pPr>
            <w:r>
              <w:rPr>
                <w:sz w:val="20"/>
              </w:rPr>
              <w:t>around 0.46% through the month; it fell slightly at the end of the month: to 0.45%.</w:t>
            </w:r>
          </w:p>
        </w:tc>
        <w:tc>
          <w:tcPr>
            <w:tcW w:w="1134" w:type="dxa"/>
          </w:tcPr>
          <w:p>
            <w:pPr>
              <w:pStyle w:val="TableParagraph"/>
              <w:spacing w:before="118"/>
              <w:ind w:right="106"/>
              <w:jc w:val="right"/>
              <w:rPr>
                <w:sz w:val="20"/>
              </w:rPr>
            </w:pPr>
            <w:r>
              <w:rPr>
                <w:w w:val="95"/>
                <w:sz w:val="20"/>
              </w:rPr>
              <w:t>N/A</w:t>
            </w:r>
          </w:p>
        </w:tc>
      </w:tr>
    </w:tbl>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rPr>
          <w:rFonts w:ascii="Times New Roman"/>
          <w:sz w:val="20"/>
          <w:u w:val="none"/>
        </w:rPr>
      </w:pPr>
    </w:p>
    <w:p>
      <w:pPr>
        <w:pStyle w:val="BodyText"/>
        <w:spacing w:before="5"/>
        <w:rPr>
          <w:rFonts w:ascii="Times New Roman"/>
          <w:sz w:val="16"/>
          <w:u w:val="none"/>
        </w:rPr>
      </w:pPr>
      <w:r>
        <w:rPr/>
        <w:pict>
          <v:shape style="position:absolute;margin-left:56.664001pt;margin-top:11.691205pt;width:144.050pt;height:.1pt;mso-position-horizontal-relative:page;mso-position-vertical-relative:paragraph;z-index:-251654144;mso-wrap-distance-left:0;mso-wrap-distance-right:0" coordorigin="1133,234" coordsize="2881,0" path="m1133,234l4014,234e" filled="false" stroked="true" strokeweight=".47998pt" strokecolor="#000000">
            <v:path arrowok="t"/>
            <v:stroke dashstyle="solid"/>
            <w10:wrap type="topAndBottom"/>
          </v:shape>
        </w:pict>
      </w:r>
    </w:p>
    <w:p>
      <w:pPr>
        <w:pStyle w:val="BodyText"/>
        <w:spacing w:before="22"/>
        <w:ind w:left="313"/>
        <w:rPr>
          <w:u w:val="none"/>
        </w:rPr>
      </w:pPr>
      <w:r>
        <w:rPr>
          <w:position w:val="9"/>
          <w:sz w:val="12"/>
          <w:u w:val="none"/>
        </w:rPr>
        <w:t>1 </w:t>
      </w:r>
      <w:r>
        <w:rPr>
          <w:u w:val="none"/>
        </w:rPr>
        <w:t>See </w:t>
      </w:r>
      <w:hyperlink r:id="rId20">
        <w:r>
          <w:rPr>
            <w:color w:val="0000FF"/>
            <w:u w:val="single" w:color="0000FF"/>
          </w:rPr>
          <w:t>www.bankofengland.co.uk/markets/Documents/soniacommtor.pdf</w:t>
        </w:r>
        <w:r>
          <w:rPr>
            <w:u w:val="none"/>
          </w:rPr>
          <w:t>.</w:t>
        </w:r>
      </w:hyperlink>
    </w:p>
    <w:p>
      <w:pPr>
        <w:spacing w:after="0"/>
        <w:sectPr>
          <w:footerReference w:type="default" r:id="rId5"/>
          <w:type w:val="continuous"/>
          <w:pgSz w:w="11910" w:h="16840"/>
          <w:pgMar w:footer="600" w:top="660" w:bottom="800" w:left="820" w:right="820"/>
          <w:pgNumType w:start="1"/>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7756"/>
        <w:gridCol w:w="1476"/>
      </w:tblGrid>
      <w:tr>
        <w:trPr>
          <w:trHeight w:val="7529" w:hRule="atLeast"/>
        </w:trPr>
        <w:tc>
          <w:tcPr>
            <w:tcW w:w="817" w:type="dxa"/>
          </w:tcPr>
          <w:p>
            <w:pPr>
              <w:pStyle w:val="TableParagraph"/>
              <w:spacing w:line="222" w:lineRule="exact"/>
              <w:ind w:left="200"/>
              <w:rPr>
                <w:sz w:val="20"/>
              </w:rPr>
            </w:pPr>
            <w:r>
              <w:rPr>
                <w:sz w:val="20"/>
              </w:rPr>
              <w:t>3.</w:t>
            </w:r>
          </w:p>
        </w:tc>
        <w:tc>
          <w:tcPr>
            <w:tcW w:w="7756" w:type="dxa"/>
          </w:tcPr>
          <w:p>
            <w:pPr>
              <w:pStyle w:val="TableParagraph"/>
              <w:spacing w:line="219" w:lineRule="exact"/>
              <w:ind w:left="450"/>
              <w:rPr>
                <w:b/>
                <w:sz w:val="20"/>
              </w:rPr>
            </w:pPr>
            <w:r>
              <w:rPr>
                <w:b/>
                <w:sz w:val="20"/>
              </w:rPr>
              <w:t>Discussion on readiness for extension of RTGS operating</w:t>
            </w:r>
            <w:r>
              <w:rPr>
                <w:b/>
                <w:spacing w:val="-17"/>
                <w:sz w:val="20"/>
              </w:rPr>
              <w:t> </w:t>
            </w:r>
            <w:r>
              <w:rPr>
                <w:b/>
                <w:sz w:val="20"/>
              </w:rPr>
              <w:t>hours</w:t>
            </w:r>
          </w:p>
          <w:p>
            <w:pPr>
              <w:pStyle w:val="TableParagraph"/>
              <w:spacing w:before="3"/>
              <w:ind w:left="450" w:right="248"/>
              <w:rPr>
                <w:sz w:val="20"/>
              </w:rPr>
            </w:pPr>
            <w:r>
              <w:rPr>
                <w:sz w:val="20"/>
              </w:rPr>
              <w:t>From 20 June 2016, the operating hours for the RTGS system will be extended, and will close at 18:00.</w:t>
            </w:r>
            <w:r>
              <w:rPr>
                <w:sz w:val="20"/>
                <w:vertAlign w:val="superscript"/>
              </w:rPr>
              <w:t>2</w:t>
            </w:r>
            <w:r>
              <w:rPr>
                <w:sz w:val="20"/>
                <w:vertAlign w:val="baseline"/>
              </w:rPr>
              <w:t> In parallel, the window for qualifying transactions for SONIA will be extended from the current 16:15, to close at 18:00. The publication time for SONIA will change to between 18:15 and</w:t>
            </w:r>
            <w:r>
              <w:rPr>
                <w:spacing w:val="-4"/>
                <w:sz w:val="20"/>
                <w:vertAlign w:val="baseline"/>
              </w:rPr>
              <w:t> </w:t>
            </w:r>
            <w:r>
              <w:rPr>
                <w:sz w:val="20"/>
                <w:vertAlign w:val="baseline"/>
              </w:rPr>
              <w:t>18:30.</w:t>
            </w:r>
            <w:r>
              <w:rPr>
                <w:sz w:val="20"/>
                <w:vertAlign w:val="superscript"/>
              </w:rPr>
              <w:t>3</w:t>
            </w:r>
          </w:p>
          <w:p>
            <w:pPr>
              <w:pStyle w:val="TableParagraph"/>
              <w:rPr>
                <w:sz w:val="21"/>
              </w:rPr>
            </w:pPr>
          </w:p>
          <w:p>
            <w:pPr>
              <w:pStyle w:val="TableParagraph"/>
              <w:ind w:left="450" w:right="171"/>
              <w:rPr>
                <w:sz w:val="20"/>
              </w:rPr>
            </w:pPr>
            <w:r>
              <w:rPr>
                <w:sz w:val="20"/>
              </w:rPr>
              <w:t>The Committee noted that the bulk of brokered unsecured money market activity was typically completed by mid-afternoon, with only a small volume transacted nearer to the closure of the payment systems. It was felt that this pattern of activity might continue after the extension of the RTGS operating hours on 20 June. Indeed, the London Money Markets Association has agreed a revised market convention for the end of the sterling money market trading day to move from 15:30 as currently, to 17:00 on 20 June.</w:t>
            </w:r>
            <w:r>
              <w:rPr>
                <w:sz w:val="20"/>
                <w:vertAlign w:val="superscript"/>
              </w:rPr>
              <w:t>4</w:t>
            </w:r>
          </w:p>
          <w:p>
            <w:pPr>
              <w:pStyle w:val="TableParagraph"/>
              <w:spacing w:before="8"/>
              <w:rPr>
                <w:sz w:val="20"/>
              </w:rPr>
            </w:pPr>
          </w:p>
          <w:p>
            <w:pPr>
              <w:pStyle w:val="TableParagraph"/>
              <w:ind w:left="450" w:right="160"/>
              <w:rPr>
                <w:sz w:val="20"/>
              </w:rPr>
            </w:pPr>
            <w:r>
              <w:rPr>
                <w:sz w:val="20"/>
              </w:rPr>
              <w:t>It was agreed that the contributing firms would provide one set of input data at 16:30 to enable the WMBA, in the role of calculation and publication agent, to conduct earlier plausibility checks and discuss any issues with contributing firms. A subsequent set of input data would then be provided after the 18:00 closure, where necessary.</w:t>
            </w:r>
          </w:p>
          <w:p>
            <w:pPr>
              <w:pStyle w:val="TableParagraph"/>
              <w:spacing w:before="1"/>
              <w:rPr>
                <w:sz w:val="21"/>
              </w:rPr>
            </w:pPr>
          </w:p>
          <w:p>
            <w:pPr>
              <w:pStyle w:val="TableParagraph"/>
              <w:ind w:left="450"/>
              <w:rPr>
                <w:sz w:val="20"/>
              </w:rPr>
            </w:pPr>
            <w:r>
              <w:rPr>
                <w:sz w:val="20"/>
              </w:rPr>
              <w:t>It was agreed that contributing firms would have staff available beyond 18:00 to respond to any queries. This would be kept under review, while the Committee monitored the pattern of trading activity through the day once the extension had been implemented.</w:t>
            </w:r>
          </w:p>
          <w:p>
            <w:pPr>
              <w:pStyle w:val="TableParagraph"/>
              <w:spacing w:before="10"/>
              <w:rPr>
                <w:sz w:val="20"/>
              </w:rPr>
            </w:pPr>
          </w:p>
          <w:p>
            <w:pPr>
              <w:pStyle w:val="TableParagraph"/>
              <w:ind w:left="450" w:right="21"/>
              <w:rPr>
                <w:sz w:val="20"/>
              </w:rPr>
            </w:pPr>
            <w:r>
              <w:rPr>
                <w:sz w:val="20"/>
              </w:rPr>
              <w:t>The Committee also discussed what action was required to ensure the readiness of end-users of SONIA for the change to the publication time. The WMBA noted that all SONIA subscribers had previously been notified and would be re-notified on 20 May, with the offer of systems testing where necessary.</w:t>
            </w:r>
          </w:p>
          <w:p>
            <w:pPr>
              <w:pStyle w:val="TableParagraph"/>
              <w:spacing w:before="9"/>
              <w:rPr>
                <w:sz w:val="20"/>
              </w:rPr>
            </w:pPr>
          </w:p>
          <w:p>
            <w:pPr>
              <w:pStyle w:val="TableParagraph"/>
              <w:ind w:left="450"/>
              <w:rPr>
                <w:sz w:val="20"/>
              </w:rPr>
            </w:pPr>
            <w:r>
              <w:rPr>
                <w:sz w:val="20"/>
              </w:rPr>
              <w:t>Relevant market infrastructure firms and financial market associations had also been notified of the impending change.</w:t>
            </w:r>
          </w:p>
        </w:tc>
        <w:tc>
          <w:tcPr>
            <w:tcW w:w="1476" w:type="dxa"/>
          </w:tcPr>
          <w:p>
            <w:pPr>
              <w:pStyle w:val="TableParagraph"/>
              <w:ind w:left="160" w:right="199" w:firstLine="446"/>
              <w:jc w:val="right"/>
              <w:rPr>
                <w:sz w:val="20"/>
              </w:rPr>
            </w:pPr>
            <w:r>
              <w:rPr>
                <w:sz w:val="20"/>
              </w:rPr>
              <w:t>Monitor pattern of</w:t>
            </w:r>
            <w:r>
              <w:rPr>
                <w:w w:val="99"/>
                <w:sz w:val="20"/>
              </w:rPr>
              <w:t> </w:t>
            </w:r>
            <w:r>
              <w:rPr>
                <w:sz w:val="20"/>
              </w:rPr>
              <w:t>daily activity</w:t>
            </w:r>
            <w:r>
              <w:rPr>
                <w:w w:val="99"/>
                <w:sz w:val="20"/>
              </w:rPr>
              <w:t> </w:t>
            </w:r>
            <w:r>
              <w:rPr>
                <w:sz w:val="20"/>
              </w:rPr>
              <w:t>following the</w:t>
            </w:r>
            <w:r>
              <w:rPr>
                <w:w w:val="99"/>
                <w:sz w:val="20"/>
              </w:rPr>
              <w:t> </w:t>
            </w:r>
            <w:r>
              <w:rPr>
                <w:sz w:val="20"/>
              </w:rPr>
              <w:t>extension of</w:t>
            </w:r>
            <w:r>
              <w:rPr>
                <w:w w:val="99"/>
                <w:sz w:val="20"/>
              </w:rPr>
              <w:t> </w:t>
            </w:r>
            <w:r>
              <w:rPr>
                <w:sz w:val="20"/>
              </w:rPr>
              <w:t>RTGS hours</w:t>
            </w:r>
          </w:p>
        </w:tc>
      </w:tr>
      <w:tr>
        <w:trPr>
          <w:trHeight w:val="2549" w:hRule="atLeast"/>
        </w:trPr>
        <w:tc>
          <w:tcPr>
            <w:tcW w:w="817" w:type="dxa"/>
          </w:tcPr>
          <w:p>
            <w:pPr>
              <w:pStyle w:val="TableParagraph"/>
              <w:spacing w:before="114"/>
              <w:ind w:left="200"/>
              <w:rPr>
                <w:sz w:val="20"/>
              </w:rPr>
            </w:pPr>
            <w:r>
              <w:rPr>
                <w:sz w:val="20"/>
              </w:rPr>
              <w:t>4.</w:t>
            </w:r>
          </w:p>
        </w:tc>
        <w:tc>
          <w:tcPr>
            <w:tcW w:w="7756" w:type="dxa"/>
          </w:tcPr>
          <w:p>
            <w:pPr>
              <w:pStyle w:val="TableParagraph"/>
              <w:spacing w:before="112"/>
              <w:ind w:left="450"/>
              <w:rPr>
                <w:b/>
                <w:sz w:val="20"/>
              </w:rPr>
            </w:pPr>
            <w:r>
              <w:rPr>
                <w:b/>
                <w:sz w:val="20"/>
              </w:rPr>
              <w:t>Discussion on vulnerabilities of SONIA</w:t>
            </w:r>
          </w:p>
          <w:p>
            <w:pPr>
              <w:pStyle w:val="TableParagraph"/>
              <w:spacing w:before="2"/>
              <w:ind w:left="450" w:right="849"/>
              <w:rPr>
                <w:sz w:val="20"/>
              </w:rPr>
            </w:pPr>
            <w:r>
              <w:rPr>
                <w:sz w:val="20"/>
              </w:rPr>
              <w:t>The Chair sought the views of Committee members regarding potential vulnerabilities in the current design and determination of SONIA, and in particular how the Bank could survey the counterparty-specific data most effectively.</w:t>
            </w:r>
          </w:p>
          <w:p>
            <w:pPr>
              <w:pStyle w:val="TableParagraph"/>
              <w:spacing w:before="10"/>
              <w:rPr>
                <w:sz w:val="20"/>
              </w:rPr>
            </w:pPr>
          </w:p>
          <w:p>
            <w:pPr>
              <w:pStyle w:val="TableParagraph"/>
              <w:ind w:left="450" w:right="248"/>
              <w:rPr>
                <w:sz w:val="20"/>
              </w:rPr>
            </w:pPr>
            <w:r>
              <w:rPr>
                <w:sz w:val="20"/>
              </w:rPr>
              <w:t>Members discussed two types of vulnerability: structural issues related to the market activity that was intended to be measured by the benchmark; and the motivation and ability to impact the benchmark rate by transacting in the brokered unsecured money markets.</w:t>
            </w:r>
          </w:p>
        </w:tc>
        <w:tc>
          <w:tcPr>
            <w:tcW w:w="1476" w:type="dxa"/>
          </w:tcPr>
          <w:p>
            <w:pPr>
              <w:pStyle w:val="TableParagraph"/>
              <w:spacing w:before="114"/>
              <w:ind w:right="203"/>
              <w:jc w:val="right"/>
              <w:rPr>
                <w:sz w:val="20"/>
              </w:rPr>
            </w:pPr>
            <w:r>
              <w:rPr>
                <w:w w:val="95"/>
                <w:sz w:val="20"/>
              </w:rPr>
              <w:t>N/A</w:t>
            </w:r>
          </w:p>
        </w:tc>
      </w:tr>
      <w:tr>
        <w:trPr>
          <w:trHeight w:val="1038" w:hRule="atLeast"/>
        </w:trPr>
        <w:tc>
          <w:tcPr>
            <w:tcW w:w="817" w:type="dxa"/>
          </w:tcPr>
          <w:p>
            <w:pPr>
              <w:pStyle w:val="TableParagraph"/>
              <w:spacing w:before="114"/>
              <w:ind w:left="200"/>
              <w:rPr>
                <w:sz w:val="20"/>
              </w:rPr>
            </w:pPr>
            <w:r>
              <w:rPr>
                <w:sz w:val="20"/>
              </w:rPr>
              <w:t>5.</w:t>
            </w:r>
          </w:p>
        </w:tc>
        <w:tc>
          <w:tcPr>
            <w:tcW w:w="7756" w:type="dxa"/>
          </w:tcPr>
          <w:p>
            <w:pPr>
              <w:pStyle w:val="TableParagraph"/>
              <w:spacing w:before="112"/>
              <w:ind w:left="450"/>
              <w:rPr>
                <w:b/>
                <w:sz w:val="20"/>
              </w:rPr>
            </w:pPr>
            <w:r>
              <w:rPr>
                <w:b/>
                <w:sz w:val="20"/>
              </w:rPr>
              <w:t>Other business</w:t>
            </w:r>
          </w:p>
          <w:p>
            <w:pPr>
              <w:pStyle w:val="TableParagraph"/>
              <w:spacing w:line="230" w:lineRule="atLeast" w:before="2"/>
              <w:ind w:left="450" w:right="315"/>
              <w:rPr>
                <w:sz w:val="20"/>
              </w:rPr>
            </w:pPr>
            <w:r>
              <w:rPr>
                <w:sz w:val="20"/>
              </w:rPr>
              <w:t>The Committee noted that there may be operational risks related to the forthcoming UK referendum on EU membership on 23 June. These were felt to be manageable in the context of benchmark production and administration.</w:t>
            </w:r>
          </w:p>
        </w:tc>
        <w:tc>
          <w:tcPr>
            <w:tcW w:w="1476" w:type="dxa"/>
          </w:tcPr>
          <w:p>
            <w:pPr>
              <w:pStyle w:val="TableParagraph"/>
              <w:spacing w:before="114"/>
              <w:ind w:right="203"/>
              <w:jc w:val="right"/>
              <w:rPr>
                <w:sz w:val="20"/>
              </w:rPr>
            </w:pPr>
            <w:r>
              <w:rPr>
                <w:w w:val="95"/>
                <w:sz w:val="20"/>
              </w:rPr>
              <w:t>N/A</w:t>
            </w:r>
          </w:p>
        </w:tc>
      </w:tr>
    </w:tbl>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rPr>
          <w:sz w:val="20"/>
          <w:u w:val="none"/>
        </w:rPr>
      </w:pPr>
    </w:p>
    <w:p>
      <w:pPr>
        <w:pStyle w:val="BodyText"/>
        <w:spacing w:before="10"/>
        <w:rPr>
          <w:sz w:val="22"/>
          <w:u w:val="none"/>
        </w:rPr>
      </w:pPr>
      <w:r>
        <w:rPr/>
        <w:pict>
          <v:shape style="position:absolute;margin-left:56.664001pt;margin-top:15.390541pt;width:144.050pt;height:.1pt;mso-position-horizontal-relative:page;mso-position-vertical-relative:paragraph;z-index:-251653120;mso-wrap-distance-left:0;mso-wrap-distance-right:0" coordorigin="1133,308" coordsize="2881,0" path="m1133,308l4014,308e" filled="false" stroked="true" strokeweight=".47998pt" strokecolor="#000000">
            <v:path arrowok="t"/>
            <v:stroke dashstyle="solid"/>
            <w10:wrap type="topAndBottom"/>
          </v:shape>
        </w:pict>
      </w:r>
    </w:p>
    <w:p>
      <w:pPr>
        <w:pStyle w:val="BodyText"/>
        <w:spacing w:line="224" w:lineRule="exact" w:before="22"/>
        <w:ind w:left="313"/>
        <w:rPr>
          <w:u w:val="none"/>
        </w:rPr>
      </w:pPr>
      <w:r>
        <w:rPr>
          <w:position w:val="9"/>
          <w:sz w:val="12"/>
          <w:u w:val="none"/>
        </w:rPr>
        <w:t>2 </w:t>
      </w:r>
      <w:r>
        <w:rPr>
          <w:u w:val="none"/>
        </w:rPr>
        <w:t>For more information, see: </w:t>
      </w:r>
      <w:hyperlink r:id="rId21">
        <w:r>
          <w:rPr>
            <w:color w:val="800080"/>
            <w:u w:val="single" w:color="800080"/>
          </w:rPr>
          <w:t>www.bankofengland.co.uk/publications/Pages/news/2015/059.aspx</w:t>
        </w:r>
      </w:hyperlink>
    </w:p>
    <w:p>
      <w:pPr>
        <w:pStyle w:val="BodyText"/>
        <w:spacing w:line="206" w:lineRule="exact"/>
        <w:ind w:left="313"/>
        <w:rPr>
          <w:u w:val="none"/>
        </w:rPr>
      </w:pPr>
      <w:r>
        <w:rPr>
          <w:position w:val="9"/>
          <w:sz w:val="12"/>
          <w:u w:val="none"/>
        </w:rPr>
        <w:t>3 </w:t>
      </w:r>
      <w:r>
        <w:rPr>
          <w:u w:val="none"/>
        </w:rPr>
        <w:t>For more information, see: </w:t>
      </w:r>
      <w:hyperlink r:id="rId22">
        <w:r>
          <w:rPr>
            <w:color w:val="800080"/>
            <w:u w:val="single" w:color="800080"/>
          </w:rPr>
          <w:t>www.wmba.org.uk/assets/Data_Notifications/WMBA_Market%20Notice_27-01-16.pdf</w:t>
        </w:r>
      </w:hyperlink>
    </w:p>
    <w:p>
      <w:pPr>
        <w:pStyle w:val="BodyText"/>
        <w:spacing w:line="224" w:lineRule="exact"/>
        <w:ind w:left="313"/>
        <w:rPr>
          <w:u w:val="none"/>
        </w:rPr>
      </w:pPr>
      <w:r>
        <w:rPr>
          <w:position w:val="9"/>
          <w:sz w:val="12"/>
          <w:u w:val="none"/>
        </w:rPr>
        <w:t>4 </w:t>
      </w:r>
      <w:r>
        <w:rPr>
          <w:u w:val="none"/>
        </w:rPr>
        <w:t>For more information, see: </w:t>
      </w:r>
      <w:hyperlink r:id="rId23">
        <w:r>
          <w:rPr>
            <w:color w:val="800080"/>
            <w:u w:val="single" w:color="800080"/>
          </w:rPr>
          <w:t>www.lmma.org.uk/</w:t>
        </w:r>
      </w:hyperlink>
    </w:p>
    <w:sectPr>
      <w:pgSz w:w="11910" w:h="16840"/>
      <w:pgMar w:header="0" w:footer="600" w:top="1120" w:bottom="800" w:left="8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u w:val="none"/>
      </w:rPr>
    </w:pPr>
    <w:r>
      <w:rPr/>
      <w:pict>
        <v:shapetype id="_x0000_t202" o:spt="202" coordsize="21600,21600" path="m,l,21600r21600,l21600,xe">
          <v:stroke joinstyle="miter"/>
          <v:path gradientshapeok="t" o:connecttype="rect"/>
        </v:shapetype>
        <v:shape style="position:absolute;margin-left:530.159973pt;margin-top:799.359436pt;width:11.55pt;height:14.7pt;mso-position-horizontal-relative:page;mso-position-vertical-relative:page;z-index:-251902976" type="#_x0000_t202" filled="false" stroked="false">
          <v:textbox inset="0,0,0,0">
            <w:txbxContent>
              <w:p>
                <w:pPr>
                  <w:spacing w:before="44"/>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18"/>
      <w:szCs w:val="18"/>
      <w:u w:val="single" w:color="00000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hyperlink" Target="http://www.bankofengland.co.uk/markets/Documents/soniacommtor.pdf" TargetMode="External"/><Relationship Id="rId21" Type="http://schemas.openxmlformats.org/officeDocument/2006/relationships/hyperlink" Target="http://www.bankofengland.co.uk/publications/Pages/news/2015/059.aspx" TargetMode="External"/><Relationship Id="rId22" Type="http://schemas.openxmlformats.org/officeDocument/2006/relationships/hyperlink" Target="http://www.wmba.org.uk/assets/Data_Notifications/WMBA_Market%20Notice_27-01-16.pdf" TargetMode="External"/><Relationship Id="rId23" Type="http://schemas.openxmlformats.org/officeDocument/2006/relationships/hyperlink" Target="http://www.lmma.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SONIA Advisory Committee Minutes - 18 May 2016</dc:title>
  <dcterms:created xsi:type="dcterms:W3CDTF">2020-06-01T02:20:27Z</dcterms:created>
  <dcterms:modified xsi:type="dcterms:W3CDTF">2020-06-01T02:20:27Z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2016-06-16T00:00:00Z</vt:filetime>
  </property>
  <property fmtid="{D5CDD505-2E9C-101B-9397-08002B2CF9AE}" pid="3" name="LastSaved">
    <vt:filetime>2020-06-01T00:00:00Z</vt:filetime>
  </property>
</Properties>
</file>