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116" w:val="left" w:leader="none"/>
        </w:tabs>
        <w:spacing w:line="240" w:lineRule="auto"/>
        <w:ind w:left="160" w:right="0" w:firstLine="0"/>
        <w:rPr>
          <w:rFonts w:ascii="Times New Roman"/>
          <w:sz w:val="20"/>
        </w:rPr>
      </w:pPr>
      <w:r>
        <w:rPr>
          <w:rFonts w:ascii="Times New Roman"/>
          <w:sz w:val="20"/>
        </w:rPr>
        <w:drawing>
          <wp:inline distT="0" distB="0" distL="0" distR="0">
            <wp:extent cx="465798"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5798" cy="471487"/>
                    </a:xfrm>
                    <a:prstGeom prst="rect">
                      <a:avLst/>
                    </a:prstGeom>
                  </pic:spPr>
                </pic:pic>
              </a:graphicData>
            </a:graphic>
          </wp:inline>
        </w:drawing>
      </w:r>
      <w:r>
        <w:rPr>
          <w:rFonts w:ascii="Times New Roman"/>
          <w:sz w:val="20"/>
        </w:rPr>
      </w:r>
      <w:r>
        <w:rPr>
          <w:rFonts w:ascii="Times New Roman"/>
          <w:sz w:val="20"/>
        </w:rPr>
        <w:tab/>
      </w:r>
      <w:r>
        <w:rPr>
          <w:rFonts w:ascii="Times New Roman"/>
          <w:position w:val="27"/>
          <w:sz w:val="20"/>
        </w:rPr>
        <w:pict>
          <v:group style="width:28.3pt;height:9.9pt;mso-position-horizontal-relative:char;mso-position-vertical-relative:line" coordorigin="0,0" coordsize="566,198">
            <v:shape style="position:absolute;left:0;top:0;width:126;height:197" type="#_x0000_t75" stroked="false">
              <v:imagedata r:id="rId7" o:title=""/>
            </v:shape>
            <v:shape style="position:absolute;left:167;top:0;width:175;height:198" type="#_x0000_t75" stroked="false">
              <v:imagedata r:id="rId8" o:title=""/>
            </v:shape>
            <v:shape style="position:absolute;left:394;top:0;width:171;height:197" type="#_x0000_t75" stroked="false">
              <v:imagedata r:id="rId9" o:title=""/>
            </v:shape>
          </v:group>
        </w:pict>
      </w:r>
      <w:r>
        <w:rPr>
          <w:rFonts w:ascii="Times New Roman"/>
          <w:position w:val="27"/>
          <w:sz w:val="20"/>
        </w:rPr>
      </w:r>
      <w:r>
        <w:rPr>
          <w:rFonts w:ascii="Times New Roman"/>
          <w:spacing w:val="15"/>
          <w:position w:val="27"/>
          <w:sz w:val="19"/>
        </w:rPr>
        <w:t> </w:t>
      </w:r>
      <w:r>
        <w:rPr>
          <w:rFonts w:ascii="Times New Roman"/>
          <w:spacing w:val="15"/>
          <w:position w:val="27"/>
          <w:sz w:val="20"/>
        </w:rPr>
        <w:drawing>
          <wp:inline distT="0" distB="0" distL="0" distR="0">
            <wp:extent cx="88922"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88922" cy="123825"/>
                    </a:xfrm>
                    <a:prstGeom prst="rect">
                      <a:avLst/>
                    </a:prstGeom>
                  </pic:spPr>
                </pic:pic>
              </a:graphicData>
            </a:graphic>
          </wp:inline>
        </w:drawing>
      </w:r>
      <w:r>
        <w:rPr>
          <w:rFonts w:ascii="Times New Roman"/>
          <w:spacing w:val="15"/>
          <w:position w:val="27"/>
          <w:sz w:val="20"/>
        </w:rPr>
      </w:r>
      <w:r>
        <w:rPr>
          <w:rFonts w:ascii="Times New Roman"/>
          <w:spacing w:val="66"/>
          <w:position w:val="27"/>
          <w:sz w:val="20"/>
        </w:rPr>
        <w:t> </w:t>
      </w:r>
      <w:r>
        <w:rPr>
          <w:rFonts w:ascii="Times New Roman"/>
          <w:spacing w:val="66"/>
          <w:position w:val="27"/>
          <w:sz w:val="20"/>
        </w:rPr>
        <w:pict>
          <v:group style="width:18.55pt;height:10.1pt;mso-position-horizontal-relative:char;mso-position-vertical-relative:line" coordorigin="0,0" coordsize="371,202">
            <v:shape style="position:absolute;left:258;top:1;width:113;height:197" type="#_x0000_t75" stroked="false">
              <v:imagedata r:id="rId11" o:title=""/>
            </v:shape>
            <v:shape style="position:absolute;left:0;top:0;width:194;height:202" type="#_x0000_t75" stroked="false">
              <v:imagedata r:id="rId12" o:title=""/>
            </v:shape>
          </v:group>
        </w:pict>
      </w:r>
      <w:r>
        <w:rPr>
          <w:rFonts w:ascii="Times New Roman"/>
          <w:spacing w:val="66"/>
          <w:position w:val="27"/>
          <w:sz w:val="20"/>
        </w:rPr>
      </w:r>
      <w:r>
        <w:rPr>
          <w:rFonts w:ascii="Times New Roman"/>
          <w:spacing w:val="80"/>
          <w:position w:val="27"/>
          <w:sz w:val="20"/>
        </w:rPr>
        <w:t> </w:t>
      </w:r>
      <w:r>
        <w:rPr>
          <w:rFonts w:ascii="Times New Roman"/>
          <w:spacing w:val="80"/>
          <w:position w:val="27"/>
          <w:sz w:val="20"/>
        </w:rPr>
        <w:pict>
          <v:group style="width:29.4pt;height:10.1pt;mso-position-horizontal-relative:char;mso-position-vertical-relative:line" coordorigin="0,0" coordsize="588,202">
            <v:shape style="position:absolute;left:0;top:1;width:119;height:197" type="#_x0000_t75" stroked="false">
              <v:imagedata r:id="rId13" o:title=""/>
            </v:shape>
            <v:shape style="position:absolute;left:184;top:1;width:171;height:197" type="#_x0000_t75" stroked="false">
              <v:imagedata r:id="rId14" o:title=""/>
            </v:shape>
            <v:shape style="position:absolute;left:418;top:0;width:169;height:202" type="#_x0000_t75" stroked="false">
              <v:imagedata r:id="rId15" o:title=""/>
            </v:shape>
          </v:group>
        </w:pict>
      </w:r>
      <w:r>
        <w:rPr>
          <w:rFonts w:ascii="Times New Roman"/>
          <w:spacing w:val="80"/>
          <w:position w:val="27"/>
          <w:sz w:val="20"/>
        </w:rPr>
      </w:r>
      <w:r>
        <w:rPr>
          <w:rFonts w:ascii="Times New Roman"/>
          <w:spacing w:val="10"/>
          <w:position w:val="27"/>
          <w:sz w:val="20"/>
        </w:rPr>
        <w:t> </w:t>
      </w:r>
      <w:r>
        <w:rPr>
          <w:rFonts w:ascii="Times New Roman"/>
          <w:spacing w:val="10"/>
          <w:position w:val="27"/>
          <w:sz w:val="20"/>
        </w:rPr>
        <w:pict>
          <v:group style="width:26.65pt;height:9.9pt;mso-position-horizontal-relative:char;mso-position-vertical-relative:line" coordorigin="0,0" coordsize="533,198">
            <v:line style="position:absolute" from="15,1" to="15,172" stroked="true" strokeweight="1.549727pt" strokecolor="#231f20">
              <v:stroke dashstyle="solid"/>
            </v:line>
            <v:rect style="position:absolute;left:0;top:171;width:101;height:27" filled="true" fillcolor="#231f20" stroked="false">
              <v:fill type="solid"/>
            </v:rect>
            <v:shape style="position:absolute;left:361;top:0;width:171;height:197" type="#_x0000_t75" stroked="false">
              <v:imagedata r:id="rId16" o:title=""/>
            </v:shape>
            <v:shape style="position:absolute;left:134;top:0;width:175;height:198" type="#_x0000_t75" stroked="false">
              <v:imagedata r:id="rId8" o:title=""/>
            </v:shape>
          </v:group>
        </w:pict>
      </w:r>
      <w:r>
        <w:rPr>
          <w:rFonts w:ascii="Times New Roman"/>
          <w:spacing w:val="10"/>
          <w:position w:val="27"/>
          <w:sz w:val="20"/>
        </w:rPr>
      </w:r>
      <w:r>
        <w:rPr>
          <w:rFonts w:ascii="Times New Roman"/>
          <w:spacing w:val="29"/>
          <w:position w:val="27"/>
          <w:sz w:val="19"/>
        </w:rPr>
        <w:t> </w:t>
      </w:r>
      <w:r>
        <w:rPr>
          <w:rFonts w:ascii="Times New Roman"/>
          <w:spacing w:val="29"/>
          <w:position w:val="27"/>
          <w:sz w:val="20"/>
        </w:rPr>
        <w:drawing>
          <wp:inline distT="0" distB="0" distL="0" distR="0">
            <wp:extent cx="101361" cy="123825"/>
            <wp:effectExtent l="0" t="0" r="0" b="0"/>
            <wp:docPr id="5" name="image12.png"/>
            <wp:cNvGraphicFramePr>
              <a:graphicFrameLocks noChangeAspect="1"/>
            </wp:cNvGraphicFramePr>
            <a:graphic>
              <a:graphicData uri="http://schemas.openxmlformats.org/drawingml/2006/picture">
                <pic:pic>
                  <pic:nvPicPr>
                    <pic:cNvPr id="6" name="image12.png"/>
                    <pic:cNvPicPr/>
                  </pic:nvPicPr>
                  <pic:blipFill>
                    <a:blip r:embed="rId17" cstate="print"/>
                    <a:stretch>
                      <a:fillRect/>
                    </a:stretch>
                  </pic:blipFill>
                  <pic:spPr>
                    <a:xfrm>
                      <a:off x="0" y="0"/>
                      <a:ext cx="101361" cy="123825"/>
                    </a:xfrm>
                    <a:prstGeom prst="rect">
                      <a:avLst/>
                    </a:prstGeom>
                  </pic:spPr>
                </pic:pic>
              </a:graphicData>
            </a:graphic>
          </wp:inline>
        </w:drawing>
      </w:r>
      <w:r>
        <w:rPr>
          <w:rFonts w:ascii="Times New Roman"/>
          <w:spacing w:val="29"/>
          <w:position w:val="27"/>
          <w:sz w:val="20"/>
        </w:rPr>
      </w:r>
    </w:p>
    <w:p>
      <w:pPr>
        <w:pStyle w:val="BodyText"/>
        <w:spacing w:before="1" w:after="1"/>
        <w:rPr>
          <w:rFonts w:ascii="Times New Roman"/>
          <w:sz w:val="21"/>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5"/>
        <w:gridCol w:w="7429"/>
        <w:gridCol w:w="811"/>
      </w:tblGrid>
      <w:tr>
        <w:trPr>
          <w:trHeight w:val="538" w:hRule="atLeast"/>
        </w:trPr>
        <w:tc>
          <w:tcPr>
            <w:tcW w:w="9315" w:type="dxa"/>
            <w:gridSpan w:val="3"/>
          </w:tcPr>
          <w:p>
            <w:pPr>
              <w:pStyle w:val="TableParagraph"/>
              <w:spacing w:line="491" w:lineRule="exact"/>
              <w:ind w:left="2"/>
              <w:rPr>
                <w:sz w:val="44"/>
              </w:rPr>
            </w:pPr>
            <w:r>
              <w:rPr>
                <w:sz w:val="44"/>
              </w:rPr>
              <w:t>Minutes</w:t>
            </w:r>
          </w:p>
        </w:tc>
      </w:tr>
      <w:tr>
        <w:trPr>
          <w:trHeight w:val="346" w:hRule="atLeast"/>
        </w:trPr>
        <w:tc>
          <w:tcPr>
            <w:tcW w:w="9315" w:type="dxa"/>
            <w:gridSpan w:val="3"/>
          </w:tcPr>
          <w:p>
            <w:pPr>
              <w:pStyle w:val="TableParagraph"/>
              <w:spacing w:before="39"/>
              <w:ind w:left="2"/>
              <w:rPr>
                <w:b/>
                <w:sz w:val="24"/>
              </w:rPr>
            </w:pPr>
            <w:r>
              <w:rPr>
                <w:b/>
                <w:sz w:val="24"/>
              </w:rPr>
              <w:t>SONIA Advisory Committee</w:t>
            </w:r>
          </w:p>
        </w:tc>
      </w:tr>
      <w:tr>
        <w:trPr>
          <w:trHeight w:val="592" w:hRule="atLeast"/>
        </w:trPr>
        <w:tc>
          <w:tcPr>
            <w:tcW w:w="9315" w:type="dxa"/>
            <w:gridSpan w:val="3"/>
            <w:tcBorders>
              <w:bottom w:val="single" w:sz="4" w:space="0" w:color="000000"/>
            </w:tcBorders>
          </w:tcPr>
          <w:p>
            <w:pPr>
              <w:pStyle w:val="TableParagraph"/>
              <w:spacing w:before="23"/>
              <w:ind w:left="2"/>
              <w:rPr>
                <w:sz w:val="20"/>
              </w:rPr>
            </w:pPr>
            <w:r>
              <w:rPr>
                <w:sz w:val="20"/>
              </w:rPr>
              <w:t>7 March 2018</w:t>
            </w:r>
          </w:p>
        </w:tc>
      </w:tr>
      <w:tr>
        <w:trPr>
          <w:trHeight w:val="590" w:hRule="atLeast"/>
        </w:trPr>
        <w:tc>
          <w:tcPr>
            <w:tcW w:w="1075" w:type="dxa"/>
            <w:tcBorders>
              <w:top w:val="single" w:sz="4" w:space="0" w:color="000000"/>
            </w:tcBorders>
          </w:tcPr>
          <w:p>
            <w:pPr>
              <w:pStyle w:val="TableParagraph"/>
              <w:spacing w:before="1"/>
              <w:rPr>
                <w:rFonts w:ascii="Times New Roman"/>
                <w:sz w:val="19"/>
              </w:rPr>
            </w:pPr>
          </w:p>
          <w:p>
            <w:pPr>
              <w:pStyle w:val="TableParagraph"/>
              <w:ind w:left="2"/>
              <w:rPr>
                <w:b/>
                <w:sz w:val="20"/>
              </w:rPr>
            </w:pPr>
            <w:r>
              <w:rPr>
                <w:b/>
                <w:sz w:val="20"/>
              </w:rPr>
              <w:t>Location:</w:t>
            </w:r>
          </w:p>
        </w:tc>
        <w:tc>
          <w:tcPr>
            <w:tcW w:w="7429" w:type="dxa"/>
            <w:tcBorders>
              <w:top w:val="single" w:sz="4" w:space="0" w:color="000000"/>
            </w:tcBorders>
          </w:tcPr>
          <w:p>
            <w:pPr>
              <w:pStyle w:val="TableParagraph"/>
              <w:spacing w:before="4"/>
              <w:rPr>
                <w:rFonts w:ascii="Times New Roman"/>
                <w:sz w:val="19"/>
              </w:rPr>
            </w:pPr>
          </w:p>
          <w:p>
            <w:pPr>
              <w:pStyle w:val="TableParagraph"/>
              <w:ind w:left="40"/>
              <w:rPr>
                <w:sz w:val="20"/>
              </w:rPr>
            </w:pPr>
            <w:r>
              <w:rPr>
                <w:sz w:val="20"/>
              </w:rPr>
              <w:t>Bank of England</w:t>
            </w:r>
          </w:p>
        </w:tc>
        <w:tc>
          <w:tcPr>
            <w:tcW w:w="811" w:type="dxa"/>
            <w:tcBorders>
              <w:top w:val="single" w:sz="4" w:space="0" w:color="000000"/>
            </w:tcBorders>
          </w:tcPr>
          <w:p>
            <w:pPr>
              <w:pStyle w:val="TableParagraph"/>
              <w:rPr>
                <w:rFonts w:ascii="Times New Roman"/>
                <w:sz w:val="20"/>
              </w:rPr>
            </w:pPr>
          </w:p>
        </w:tc>
      </w:tr>
      <w:tr>
        <w:trPr>
          <w:trHeight w:val="2631" w:hRule="atLeast"/>
        </w:trPr>
        <w:tc>
          <w:tcPr>
            <w:tcW w:w="1075" w:type="dxa"/>
          </w:tcPr>
          <w:p>
            <w:pPr>
              <w:pStyle w:val="TableParagraph"/>
              <w:spacing w:before="131"/>
              <w:ind w:left="2"/>
              <w:rPr>
                <w:b/>
                <w:sz w:val="20"/>
              </w:rPr>
            </w:pPr>
            <w:r>
              <w:rPr>
                <w:b/>
                <w:sz w:val="20"/>
              </w:rPr>
              <w:t>Members:</w:t>
            </w:r>
          </w:p>
        </w:tc>
        <w:tc>
          <w:tcPr>
            <w:tcW w:w="7429" w:type="dxa"/>
          </w:tcPr>
          <w:p>
            <w:pPr>
              <w:pStyle w:val="TableParagraph"/>
              <w:spacing w:before="131"/>
              <w:ind w:left="40" w:right="5679"/>
              <w:rPr>
                <w:sz w:val="20"/>
              </w:rPr>
            </w:pPr>
            <w:r>
              <w:rPr>
                <w:sz w:val="20"/>
              </w:rPr>
              <w:t>Sarah John (Chair) Alex McDonald David Clark</w:t>
            </w:r>
          </w:p>
          <w:p>
            <w:pPr>
              <w:pStyle w:val="TableParagraph"/>
              <w:ind w:left="40" w:right="6101"/>
              <w:rPr>
                <w:sz w:val="20"/>
              </w:rPr>
            </w:pPr>
            <w:r>
              <w:rPr>
                <w:sz w:val="20"/>
              </w:rPr>
              <w:t>Philip Chilvers Ian Mair</w:t>
            </w:r>
          </w:p>
          <w:p>
            <w:pPr>
              <w:pStyle w:val="TableParagraph"/>
              <w:ind w:left="40" w:right="6186"/>
              <w:rPr>
                <w:sz w:val="20"/>
              </w:rPr>
            </w:pPr>
            <w:r>
              <w:rPr>
                <w:sz w:val="20"/>
              </w:rPr>
              <w:t>Will Parry Rob</w:t>
            </w:r>
            <w:r>
              <w:rPr>
                <w:spacing w:val="-18"/>
                <w:sz w:val="20"/>
              </w:rPr>
              <w:t> </w:t>
            </w:r>
            <w:r>
              <w:rPr>
                <w:sz w:val="20"/>
              </w:rPr>
              <w:t>Thurlow</w:t>
            </w:r>
          </w:p>
          <w:p>
            <w:pPr>
              <w:pStyle w:val="TableParagraph"/>
              <w:ind w:left="40" w:right="5868"/>
              <w:rPr>
                <w:sz w:val="20"/>
              </w:rPr>
            </w:pPr>
            <w:r>
              <w:rPr>
                <w:sz w:val="20"/>
              </w:rPr>
              <w:t>Philip Whitehurst Brad Jeffery Peter</w:t>
            </w:r>
            <w:r>
              <w:rPr>
                <w:spacing w:val="-3"/>
                <w:sz w:val="20"/>
              </w:rPr>
              <w:t> </w:t>
            </w:r>
            <w:r>
              <w:rPr>
                <w:sz w:val="20"/>
              </w:rPr>
              <w:t>Weston</w:t>
            </w:r>
          </w:p>
        </w:tc>
        <w:tc>
          <w:tcPr>
            <w:tcW w:w="811" w:type="dxa"/>
          </w:tcPr>
          <w:p>
            <w:pPr>
              <w:pStyle w:val="TableParagraph"/>
              <w:rPr>
                <w:rFonts w:ascii="Times New Roman"/>
                <w:sz w:val="20"/>
              </w:rPr>
            </w:pPr>
          </w:p>
        </w:tc>
      </w:tr>
      <w:tr>
        <w:trPr>
          <w:trHeight w:val="759" w:hRule="atLeast"/>
        </w:trPr>
        <w:tc>
          <w:tcPr>
            <w:tcW w:w="1075" w:type="dxa"/>
          </w:tcPr>
          <w:p>
            <w:pPr>
              <w:pStyle w:val="TableParagraph"/>
              <w:spacing w:before="194"/>
              <w:ind w:left="2"/>
              <w:rPr>
                <w:b/>
                <w:sz w:val="20"/>
              </w:rPr>
            </w:pPr>
            <w:r>
              <w:rPr>
                <w:b/>
                <w:sz w:val="20"/>
              </w:rPr>
              <w:t>Attendees:</w:t>
            </w:r>
          </w:p>
        </w:tc>
        <w:tc>
          <w:tcPr>
            <w:tcW w:w="7429" w:type="dxa"/>
          </w:tcPr>
          <w:p>
            <w:pPr>
              <w:pStyle w:val="TableParagraph"/>
              <w:spacing w:before="197"/>
              <w:ind w:left="40"/>
              <w:rPr>
                <w:sz w:val="20"/>
              </w:rPr>
            </w:pPr>
            <w:r>
              <w:rPr>
                <w:sz w:val="20"/>
              </w:rPr>
              <w:t>Paul Burton</w:t>
            </w:r>
          </w:p>
        </w:tc>
        <w:tc>
          <w:tcPr>
            <w:tcW w:w="811" w:type="dxa"/>
          </w:tcPr>
          <w:p>
            <w:pPr>
              <w:pStyle w:val="TableParagraph"/>
              <w:rPr>
                <w:rFonts w:ascii="Times New Roman"/>
                <w:sz w:val="20"/>
              </w:rPr>
            </w:pPr>
          </w:p>
        </w:tc>
      </w:tr>
      <w:tr>
        <w:trPr>
          <w:trHeight w:val="1456" w:hRule="atLeast"/>
        </w:trPr>
        <w:tc>
          <w:tcPr>
            <w:tcW w:w="1075" w:type="dxa"/>
            <w:tcBorders>
              <w:bottom w:val="single" w:sz="2" w:space="0" w:color="000000"/>
            </w:tcBorders>
          </w:tcPr>
          <w:p>
            <w:pPr>
              <w:pStyle w:val="TableParagraph"/>
              <w:spacing w:before="3"/>
              <w:rPr>
                <w:rFonts w:ascii="Times New Roman"/>
                <w:sz w:val="28"/>
              </w:rPr>
            </w:pPr>
          </w:p>
          <w:p>
            <w:pPr>
              <w:pStyle w:val="TableParagraph"/>
              <w:ind w:left="2"/>
              <w:rPr>
                <w:b/>
                <w:sz w:val="20"/>
              </w:rPr>
            </w:pPr>
            <w:r>
              <w:rPr>
                <w:b/>
                <w:sz w:val="20"/>
              </w:rPr>
              <w:t>Apologies:</w:t>
            </w:r>
          </w:p>
        </w:tc>
        <w:tc>
          <w:tcPr>
            <w:tcW w:w="7429" w:type="dxa"/>
            <w:tcBorders>
              <w:bottom w:val="single" w:sz="2" w:space="0" w:color="000000"/>
            </w:tcBorders>
          </w:tcPr>
          <w:p>
            <w:pPr>
              <w:pStyle w:val="TableParagraph"/>
              <w:spacing w:before="5"/>
              <w:rPr>
                <w:rFonts w:ascii="Times New Roman"/>
                <w:sz w:val="28"/>
              </w:rPr>
            </w:pPr>
          </w:p>
          <w:p>
            <w:pPr>
              <w:pStyle w:val="TableParagraph"/>
              <w:spacing w:before="1"/>
              <w:ind w:left="40"/>
              <w:rPr>
                <w:sz w:val="20"/>
              </w:rPr>
            </w:pPr>
            <w:r>
              <w:rPr>
                <w:sz w:val="20"/>
              </w:rPr>
              <w:t>Steve Wright</w:t>
            </w:r>
          </w:p>
        </w:tc>
        <w:tc>
          <w:tcPr>
            <w:tcW w:w="811" w:type="dxa"/>
            <w:tcBorders>
              <w:bottom w:val="single" w:sz="2" w:space="0" w:color="000000"/>
            </w:tcBorders>
          </w:tcPr>
          <w:p>
            <w:pPr>
              <w:pStyle w:val="TableParagraph"/>
              <w:rPr>
                <w:rFonts w:ascii="Times New Roman"/>
                <w:sz w:val="20"/>
              </w:rPr>
            </w:pPr>
          </w:p>
        </w:tc>
      </w:tr>
      <w:tr>
        <w:trPr>
          <w:trHeight w:val="709" w:hRule="atLeast"/>
        </w:trPr>
        <w:tc>
          <w:tcPr>
            <w:tcW w:w="1075" w:type="dxa"/>
            <w:tcBorders>
              <w:top w:val="single" w:sz="2" w:space="0" w:color="000000"/>
            </w:tcBorders>
          </w:tcPr>
          <w:p>
            <w:pPr>
              <w:pStyle w:val="TableParagraph"/>
              <w:spacing w:before="11"/>
              <w:rPr>
                <w:rFonts w:ascii="Times New Roman"/>
                <w:sz w:val="19"/>
              </w:rPr>
            </w:pPr>
          </w:p>
          <w:p>
            <w:pPr>
              <w:pStyle w:val="TableParagraph"/>
              <w:ind w:left="110" w:right="300"/>
              <w:rPr>
                <w:b/>
                <w:sz w:val="20"/>
              </w:rPr>
            </w:pPr>
            <w:r>
              <w:rPr>
                <w:b/>
                <w:sz w:val="20"/>
              </w:rPr>
              <w:t>Minute no.</w:t>
            </w:r>
          </w:p>
        </w:tc>
        <w:tc>
          <w:tcPr>
            <w:tcW w:w="7429" w:type="dxa"/>
            <w:tcBorders>
              <w:top w:val="single" w:sz="2" w:space="0" w:color="000000"/>
            </w:tcBorders>
          </w:tcPr>
          <w:p>
            <w:pPr>
              <w:pStyle w:val="TableParagraph"/>
              <w:spacing w:before="11"/>
              <w:rPr>
                <w:rFonts w:ascii="Times New Roman"/>
                <w:sz w:val="19"/>
              </w:rPr>
            </w:pPr>
          </w:p>
          <w:p>
            <w:pPr>
              <w:pStyle w:val="TableParagraph"/>
              <w:ind w:left="81"/>
              <w:rPr>
                <w:b/>
                <w:sz w:val="20"/>
              </w:rPr>
            </w:pPr>
            <w:r>
              <w:rPr>
                <w:b/>
                <w:sz w:val="20"/>
              </w:rPr>
              <w:t>Minute</w:t>
            </w:r>
          </w:p>
        </w:tc>
        <w:tc>
          <w:tcPr>
            <w:tcW w:w="811" w:type="dxa"/>
            <w:tcBorders>
              <w:top w:val="single" w:sz="2" w:space="0" w:color="000000"/>
            </w:tcBorders>
          </w:tcPr>
          <w:p>
            <w:pPr>
              <w:pStyle w:val="TableParagraph"/>
              <w:spacing w:before="11"/>
              <w:rPr>
                <w:rFonts w:ascii="Times New Roman"/>
                <w:sz w:val="19"/>
              </w:rPr>
            </w:pPr>
          </w:p>
          <w:p>
            <w:pPr>
              <w:pStyle w:val="TableParagraph"/>
              <w:ind w:right="13"/>
              <w:jc w:val="right"/>
              <w:rPr>
                <w:b/>
                <w:sz w:val="20"/>
              </w:rPr>
            </w:pPr>
            <w:r>
              <w:rPr>
                <w:b/>
                <w:w w:val="95"/>
                <w:sz w:val="20"/>
              </w:rPr>
              <w:t>Action</w:t>
            </w:r>
          </w:p>
        </w:tc>
      </w:tr>
      <w:tr>
        <w:trPr>
          <w:trHeight w:val="714" w:hRule="atLeast"/>
        </w:trPr>
        <w:tc>
          <w:tcPr>
            <w:tcW w:w="1075" w:type="dxa"/>
          </w:tcPr>
          <w:p>
            <w:pPr>
              <w:pStyle w:val="TableParagraph"/>
              <w:spacing w:before="17"/>
              <w:ind w:left="110"/>
              <w:rPr>
                <w:sz w:val="20"/>
              </w:rPr>
            </w:pPr>
            <w:r>
              <w:rPr>
                <w:sz w:val="20"/>
              </w:rPr>
              <w:t>1.</w:t>
            </w:r>
          </w:p>
        </w:tc>
        <w:tc>
          <w:tcPr>
            <w:tcW w:w="7429" w:type="dxa"/>
          </w:tcPr>
          <w:p>
            <w:pPr>
              <w:pStyle w:val="TableParagraph"/>
              <w:spacing w:before="14"/>
              <w:ind w:left="81"/>
              <w:rPr>
                <w:b/>
                <w:sz w:val="20"/>
              </w:rPr>
            </w:pPr>
            <w:r>
              <w:rPr>
                <w:b/>
                <w:sz w:val="20"/>
              </w:rPr>
              <w:t>Minutes of 12 December meeting</w:t>
            </w:r>
          </w:p>
          <w:p>
            <w:pPr>
              <w:pStyle w:val="TableParagraph"/>
              <w:spacing w:before="3"/>
              <w:ind w:left="81"/>
              <w:rPr>
                <w:sz w:val="20"/>
              </w:rPr>
            </w:pPr>
            <w:r>
              <w:rPr>
                <w:sz w:val="20"/>
              </w:rPr>
              <w:t>The Committee agreed the minutes of the previous meeting.</w:t>
            </w:r>
          </w:p>
        </w:tc>
        <w:tc>
          <w:tcPr>
            <w:tcW w:w="811" w:type="dxa"/>
          </w:tcPr>
          <w:p>
            <w:pPr>
              <w:pStyle w:val="TableParagraph"/>
              <w:spacing w:before="17"/>
              <w:ind w:right="14"/>
              <w:jc w:val="right"/>
              <w:rPr>
                <w:sz w:val="20"/>
              </w:rPr>
            </w:pPr>
            <w:r>
              <w:rPr>
                <w:w w:val="95"/>
                <w:sz w:val="20"/>
              </w:rPr>
              <w:t>N/A</w:t>
            </w:r>
          </w:p>
        </w:tc>
      </w:tr>
      <w:tr>
        <w:trPr>
          <w:trHeight w:val="3923" w:hRule="atLeast"/>
        </w:trPr>
        <w:tc>
          <w:tcPr>
            <w:tcW w:w="1075" w:type="dxa"/>
          </w:tcPr>
          <w:p>
            <w:pPr>
              <w:pStyle w:val="TableParagraph"/>
              <w:spacing w:before="1"/>
              <w:rPr>
                <w:rFonts w:ascii="Times New Roman"/>
                <w:sz w:val="20"/>
              </w:rPr>
            </w:pPr>
          </w:p>
          <w:p>
            <w:pPr>
              <w:pStyle w:val="TableParagraph"/>
              <w:spacing w:before="1"/>
              <w:ind w:left="110"/>
              <w:rPr>
                <w:sz w:val="20"/>
              </w:rPr>
            </w:pPr>
            <w:r>
              <w:rPr>
                <w:sz w:val="20"/>
              </w:rPr>
              <w:t>2.</w:t>
            </w:r>
          </w:p>
        </w:tc>
        <w:tc>
          <w:tcPr>
            <w:tcW w:w="7429" w:type="dxa"/>
          </w:tcPr>
          <w:p>
            <w:pPr>
              <w:pStyle w:val="TableParagraph"/>
              <w:spacing w:before="10"/>
              <w:rPr>
                <w:rFonts w:ascii="Times New Roman"/>
                <w:sz w:val="19"/>
              </w:rPr>
            </w:pPr>
          </w:p>
          <w:p>
            <w:pPr>
              <w:pStyle w:val="TableParagraph"/>
              <w:spacing w:before="1"/>
              <w:ind w:left="81"/>
              <w:jc w:val="both"/>
              <w:rPr>
                <w:b/>
                <w:sz w:val="20"/>
              </w:rPr>
            </w:pPr>
            <w:r>
              <w:rPr>
                <w:b/>
                <w:sz w:val="20"/>
              </w:rPr>
              <w:t>Review of the SONIA</w:t>
            </w:r>
            <w:r>
              <w:rPr>
                <w:b/>
                <w:spacing w:val="-13"/>
                <w:sz w:val="20"/>
              </w:rPr>
              <w:t> </w:t>
            </w:r>
            <w:r>
              <w:rPr>
                <w:b/>
                <w:sz w:val="20"/>
              </w:rPr>
              <w:t>Dashboard</w:t>
            </w:r>
          </w:p>
          <w:p>
            <w:pPr>
              <w:pStyle w:val="TableParagraph"/>
              <w:spacing w:before="2"/>
              <w:ind w:left="81" w:right="180"/>
              <w:jc w:val="both"/>
              <w:rPr>
                <w:sz w:val="20"/>
              </w:rPr>
            </w:pPr>
            <w:r>
              <w:rPr>
                <w:sz w:val="20"/>
              </w:rPr>
              <w:t>The Committee reviewed the SONIA Dashboard covering the period of December 2017 to February</w:t>
            </w:r>
            <w:r>
              <w:rPr>
                <w:spacing w:val="-5"/>
                <w:sz w:val="20"/>
              </w:rPr>
              <w:t> </w:t>
            </w:r>
            <w:r>
              <w:rPr>
                <w:sz w:val="20"/>
              </w:rPr>
              <w:t>2018.</w:t>
            </w:r>
          </w:p>
          <w:p>
            <w:pPr>
              <w:pStyle w:val="TableParagraph"/>
              <w:spacing w:before="2"/>
              <w:rPr>
                <w:rFonts w:ascii="Times New Roman"/>
                <w:sz w:val="20"/>
              </w:rPr>
            </w:pPr>
          </w:p>
          <w:p>
            <w:pPr>
              <w:pStyle w:val="TableParagraph"/>
              <w:ind w:left="81" w:right="176"/>
              <w:jc w:val="both"/>
              <w:rPr>
                <w:sz w:val="20"/>
              </w:rPr>
            </w:pPr>
            <w:r>
              <w:rPr>
                <w:sz w:val="20"/>
              </w:rPr>
              <w:t>SONIA reflected a very orderly trading pattern in the unsecured market over the year end, certainly in comparison to the secured market. There was an anticipated drop in volumes and rate on the last day of the 2017. The Bank confirmed that these observations were in line with its market intelligence and committee members noted this was their experience as well.</w:t>
            </w:r>
          </w:p>
          <w:p>
            <w:pPr>
              <w:pStyle w:val="TableParagraph"/>
              <w:spacing w:before="10"/>
              <w:rPr>
                <w:rFonts w:ascii="Times New Roman"/>
                <w:sz w:val="20"/>
              </w:rPr>
            </w:pPr>
          </w:p>
          <w:p>
            <w:pPr>
              <w:pStyle w:val="TableParagraph"/>
              <w:ind w:left="81" w:right="177"/>
              <w:jc w:val="both"/>
              <w:rPr>
                <w:sz w:val="20"/>
              </w:rPr>
            </w:pPr>
            <w:r>
              <w:rPr>
                <w:sz w:val="20"/>
              </w:rPr>
              <w:t>Other than the year end, SONIA had behaved in line with expectations throughout the period. The ‘non-reporting period’ month-end behaviours were in line with previous experience, and generally there is less changes in behaviour from the rest of the month. It was noted that daily trading volumes had remained at heightened levels, with the daily average volumes being greater than £16bn in</w:t>
            </w:r>
          </w:p>
          <w:p>
            <w:pPr>
              <w:pStyle w:val="TableParagraph"/>
              <w:spacing w:line="210" w:lineRule="exact"/>
              <w:ind w:left="81"/>
              <w:jc w:val="both"/>
              <w:rPr>
                <w:sz w:val="20"/>
              </w:rPr>
            </w:pPr>
            <w:r>
              <w:rPr>
                <w:sz w:val="20"/>
              </w:rPr>
              <w:t>January and February.</w:t>
            </w:r>
          </w:p>
        </w:tc>
        <w:tc>
          <w:tcPr>
            <w:tcW w:w="811" w:type="dxa"/>
          </w:tcPr>
          <w:p>
            <w:pPr>
              <w:pStyle w:val="TableParagraph"/>
              <w:spacing w:before="1"/>
              <w:rPr>
                <w:rFonts w:ascii="Times New Roman"/>
                <w:sz w:val="20"/>
              </w:rPr>
            </w:pPr>
          </w:p>
          <w:p>
            <w:pPr>
              <w:pStyle w:val="TableParagraph"/>
              <w:spacing w:before="1"/>
              <w:ind w:right="14"/>
              <w:jc w:val="right"/>
              <w:rPr>
                <w:sz w:val="20"/>
              </w:rPr>
            </w:pPr>
            <w:r>
              <w:rPr>
                <w:w w:val="95"/>
                <w:sz w:val="20"/>
              </w:rPr>
              <w:t>N/A</w:t>
            </w:r>
          </w:p>
        </w:tc>
      </w:tr>
    </w:tbl>
    <w:p>
      <w:pPr>
        <w:spacing w:after="0"/>
        <w:jc w:val="right"/>
        <w:rPr>
          <w:sz w:val="20"/>
        </w:rPr>
        <w:sectPr>
          <w:footerReference w:type="default" r:id="rId5"/>
          <w:type w:val="continuous"/>
          <w:pgSz w:w="11910" w:h="16840"/>
          <w:pgMar w:footer="496" w:top="860" w:bottom="680" w:left="1040" w:right="1060"/>
          <w:pgNumType w:start="1"/>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7911"/>
        <w:gridCol w:w="871"/>
      </w:tblGrid>
      <w:tr>
        <w:trPr>
          <w:trHeight w:val="2471" w:hRule="atLeast"/>
        </w:trPr>
        <w:tc>
          <w:tcPr>
            <w:tcW w:w="806" w:type="dxa"/>
          </w:tcPr>
          <w:p>
            <w:pPr>
              <w:pStyle w:val="TableParagraph"/>
              <w:spacing w:line="225" w:lineRule="exact"/>
              <w:ind w:left="200"/>
              <w:rPr>
                <w:sz w:val="20"/>
              </w:rPr>
            </w:pPr>
            <w:r>
              <w:rPr>
                <w:sz w:val="20"/>
              </w:rPr>
              <w:t>3.</w:t>
            </w:r>
          </w:p>
        </w:tc>
        <w:tc>
          <w:tcPr>
            <w:tcW w:w="7911" w:type="dxa"/>
          </w:tcPr>
          <w:p>
            <w:pPr>
              <w:pStyle w:val="TableParagraph"/>
              <w:spacing w:line="223" w:lineRule="exact"/>
              <w:ind w:left="440"/>
              <w:jc w:val="both"/>
              <w:rPr>
                <w:b/>
                <w:sz w:val="20"/>
              </w:rPr>
            </w:pPr>
            <w:r>
              <w:rPr>
                <w:b/>
                <w:sz w:val="20"/>
              </w:rPr>
              <w:t>Reformed SONIA Go Live Announcement</w:t>
            </w:r>
          </w:p>
          <w:p>
            <w:pPr>
              <w:pStyle w:val="TableParagraph"/>
              <w:spacing w:before="3"/>
              <w:ind w:left="440" w:right="299"/>
              <w:jc w:val="both"/>
              <w:rPr>
                <w:sz w:val="20"/>
              </w:rPr>
            </w:pPr>
            <w:r>
              <w:rPr>
                <w:sz w:val="20"/>
              </w:rPr>
              <w:t>The Bank attendees updated the Committee on the communications plans ahead of the implementation of the reforms to SONIA on 23 April 2018. One of the key aims was to promote awareness that no SONIA rate will be published on Monday 23 April 2018; the rate for 23 April will be published at 9am on Tuesday 24 April</w:t>
            </w:r>
            <w:r>
              <w:rPr>
                <w:spacing w:val="-4"/>
                <w:sz w:val="20"/>
              </w:rPr>
              <w:t> </w:t>
            </w:r>
            <w:r>
              <w:rPr>
                <w:sz w:val="20"/>
              </w:rPr>
              <w:t>2018.</w:t>
            </w:r>
          </w:p>
          <w:p>
            <w:pPr>
              <w:pStyle w:val="TableParagraph"/>
              <w:rPr>
                <w:rFonts w:ascii="Times New Roman"/>
                <w:sz w:val="20"/>
              </w:rPr>
            </w:pPr>
          </w:p>
          <w:p>
            <w:pPr>
              <w:pStyle w:val="TableParagraph"/>
              <w:ind w:left="440" w:right="302"/>
              <w:jc w:val="both"/>
              <w:rPr>
                <w:sz w:val="20"/>
              </w:rPr>
            </w:pPr>
            <w:r>
              <w:rPr>
                <w:sz w:val="20"/>
              </w:rPr>
              <w:t>The Committee agreed on the importance of getting front, middle and back offices on board with the changes and that the planned communications were appropriate.</w:t>
            </w:r>
          </w:p>
        </w:tc>
        <w:tc>
          <w:tcPr>
            <w:tcW w:w="871" w:type="dxa"/>
          </w:tcPr>
          <w:p>
            <w:pPr>
              <w:pStyle w:val="TableParagraph"/>
              <w:spacing w:line="225" w:lineRule="exact"/>
              <w:ind w:right="198"/>
              <w:jc w:val="right"/>
              <w:rPr>
                <w:sz w:val="20"/>
              </w:rPr>
            </w:pPr>
            <w:r>
              <w:rPr>
                <w:w w:val="95"/>
                <w:sz w:val="20"/>
              </w:rPr>
              <w:t>N/A</w:t>
            </w:r>
          </w:p>
        </w:tc>
      </w:tr>
      <w:tr>
        <w:trPr>
          <w:trHeight w:val="1966" w:hRule="atLeast"/>
        </w:trPr>
        <w:tc>
          <w:tcPr>
            <w:tcW w:w="806" w:type="dxa"/>
          </w:tcPr>
          <w:p>
            <w:pPr>
              <w:pStyle w:val="TableParagraph"/>
              <w:spacing w:before="172"/>
              <w:ind w:left="200"/>
              <w:rPr>
                <w:sz w:val="20"/>
              </w:rPr>
            </w:pPr>
            <w:r>
              <w:rPr>
                <w:sz w:val="20"/>
              </w:rPr>
              <w:t>4.</w:t>
            </w:r>
          </w:p>
        </w:tc>
        <w:tc>
          <w:tcPr>
            <w:tcW w:w="7911" w:type="dxa"/>
          </w:tcPr>
          <w:p>
            <w:pPr>
              <w:pStyle w:val="TableParagraph"/>
              <w:spacing w:before="170"/>
              <w:ind w:left="440"/>
              <w:rPr>
                <w:b/>
                <w:sz w:val="20"/>
              </w:rPr>
            </w:pPr>
            <w:r>
              <w:rPr>
                <w:b/>
                <w:sz w:val="20"/>
              </w:rPr>
              <w:t>Other business</w:t>
            </w:r>
          </w:p>
          <w:p>
            <w:pPr>
              <w:pStyle w:val="TableParagraph"/>
              <w:spacing w:before="3"/>
              <w:ind w:left="440" w:right="325"/>
              <w:rPr>
                <w:sz w:val="20"/>
              </w:rPr>
            </w:pPr>
            <w:r>
              <w:rPr>
                <w:sz w:val="20"/>
              </w:rPr>
              <w:t>Recognising this was the final meeting of the SONIA Advisory Committee, Sarah John thanked the committee members for their input and support in the Bank’s administration of SONIA during this phase. She also thanked WMBA Ltd for producing the dashboard for the quarterly SONIA Advisory Committee meetings and their calculation and publication responsibilities for the SONIA benchmark.</w:t>
            </w:r>
          </w:p>
          <w:p>
            <w:pPr>
              <w:pStyle w:val="TableParagraph"/>
              <w:spacing w:before="120"/>
              <w:ind w:left="440"/>
              <w:rPr>
                <w:sz w:val="20"/>
              </w:rPr>
            </w:pPr>
            <w:r>
              <w:rPr>
                <w:sz w:val="20"/>
              </w:rPr>
              <w:t>It was agreed that there were no outstanding actions against the Committee.</w:t>
            </w:r>
          </w:p>
        </w:tc>
        <w:tc>
          <w:tcPr>
            <w:tcW w:w="871" w:type="dxa"/>
          </w:tcPr>
          <w:p>
            <w:pPr>
              <w:pStyle w:val="TableParagraph"/>
              <w:spacing w:before="172"/>
              <w:ind w:right="236"/>
              <w:jc w:val="right"/>
              <w:rPr>
                <w:sz w:val="20"/>
              </w:rPr>
            </w:pPr>
            <w:r>
              <w:rPr>
                <w:w w:val="95"/>
                <w:sz w:val="20"/>
              </w:rPr>
              <w:t>N/A</w:t>
            </w:r>
          </w:p>
        </w:tc>
      </w:tr>
      <w:tr>
        <w:trPr>
          <w:trHeight w:val="2604" w:hRule="atLeast"/>
        </w:trPr>
        <w:tc>
          <w:tcPr>
            <w:tcW w:w="806" w:type="dxa"/>
          </w:tcPr>
          <w:p>
            <w:pPr>
              <w:pStyle w:val="TableParagraph"/>
              <w:rPr>
                <w:rFonts w:ascii="Times New Roman"/>
                <w:sz w:val="18"/>
              </w:rPr>
            </w:pPr>
          </w:p>
        </w:tc>
        <w:tc>
          <w:tcPr>
            <w:tcW w:w="7911" w:type="dxa"/>
          </w:tcPr>
          <w:p>
            <w:pPr>
              <w:pStyle w:val="TableParagraph"/>
              <w:spacing w:before="56"/>
              <w:ind w:left="440" w:right="209"/>
              <w:rPr>
                <w:sz w:val="20"/>
              </w:rPr>
            </w:pPr>
            <w:r>
              <w:rPr>
                <w:sz w:val="20"/>
              </w:rPr>
              <w:t>The Bank confirmed that the recruitment for the external members of the SONIA Oversight Committee was nearing completion. Once this recruitment is complete and the chair of the SONIA Stakeholders Advisory Group is identified, the selection criteria for members of this group can be finalised.</w:t>
            </w:r>
          </w:p>
          <w:p>
            <w:pPr>
              <w:pStyle w:val="TableParagraph"/>
              <w:spacing w:before="9"/>
              <w:rPr>
                <w:rFonts w:ascii="Times New Roman"/>
                <w:sz w:val="20"/>
              </w:rPr>
            </w:pPr>
          </w:p>
          <w:p>
            <w:pPr>
              <w:pStyle w:val="TableParagraph"/>
              <w:spacing w:before="1"/>
              <w:ind w:left="440" w:right="325"/>
              <w:rPr>
                <w:sz w:val="20"/>
              </w:rPr>
            </w:pPr>
            <w:r>
              <w:rPr>
                <w:sz w:val="20"/>
              </w:rPr>
              <w:t>There was a discussion of the non-publication of the USD ICE Swap Rate on 6 February 2018. The Committee noted that as SONIA was based on transactions the underlying cause was not applicable to SONIA.</w:t>
            </w:r>
          </w:p>
          <w:p>
            <w:pPr>
              <w:pStyle w:val="TableParagraph"/>
              <w:spacing w:before="8"/>
              <w:rPr>
                <w:rFonts w:ascii="Times New Roman"/>
                <w:sz w:val="20"/>
              </w:rPr>
            </w:pPr>
          </w:p>
          <w:p>
            <w:pPr>
              <w:pStyle w:val="TableParagraph"/>
              <w:spacing w:line="230" w:lineRule="atLeast"/>
              <w:ind w:left="440" w:right="386"/>
              <w:rPr>
                <w:sz w:val="20"/>
              </w:rPr>
            </w:pPr>
            <w:r>
              <w:rPr>
                <w:sz w:val="20"/>
              </w:rPr>
              <w:t>The minutes of this meeting would be agreed by written procedure and published on the Bank’s website in due course.</w:t>
            </w:r>
          </w:p>
        </w:tc>
        <w:tc>
          <w:tcPr>
            <w:tcW w:w="871" w:type="dxa"/>
          </w:tcPr>
          <w:p>
            <w:pPr>
              <w:pStyle w:val="TableParagraph"/>
              <w:rPr>
                <w:rFonts w:ascii="Times New Roman"/>
                <w:sz w:val="18"/>
              </w:rPr>
            </w:pPr>
          </w:p>
        </w:tc>
      </w:tr>
    </w:tbl>
    <w:sectPr>
      <w:pgSz w:w="11910" w:h="16840"/>
      <w:pgMar w:header="0" w:footer="496" w:top="1400" w:bottom="680" w:left="104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530.039978pt;margin-top:800.583435pt;width:11.55pt;height:14.7pt;mso-position-horizontal-relative:page;mso-position-vertical-relative:page;z-index:-251871232" type="#_x0000_t202" filled="false" stroked="false">
          <v:textbox inset="0,0,0,0">
            <w:txbxContent>
              <w:p>
                <w:pPr>
                  <w:pStyle w:val="BodyText"/>
                  <w:spacing w:before="44"/>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SONIA Advisory Committee - 7 March 2018</dc:title>
  <dcterms:created xsi:type="dcterms:W3CDTF">2020-06-01T02:20:34Z</dcterms:created>
  <dcterms:modified xsi:type="dcterms:W3CDTF">2020-06-01T02:20:34Z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Acrobat PDFMaker 10.1 for Word</vt:lpwstr>
  </property>
  <property fmtid="{D5CDD505-2E9C-101B-9397-08002B2CF9AE}" pid="4" name="LastSaved">
    <vt:filetime>2020-06-01T00:00:00Z</vt:filetime>
  </property>
</Properties>
</file>