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216" w:val="left" w:leader="none"/>
        </w:tabs>
        <w:spacing w:line="240" w:lineRule="auto"/>
        <w:ind w:left="260" w:right="0" w:firstLine="0"/>
        <w:rPr>
          <w:rFonts w:ascii="Times New Roman"/>
          <w:sz w:val="20"/>
        </w:rPr>
      </w:pPr>
      <w:r>
        <w:rPr>
          <w:rFonts w:ascii="Times New Roman"/>
          <w:sz w:val="20"/>
        </w:rPr>
        <w:drawing>
          <wp:inline distT="0" distB="0" distL="0" distR="0">
            <wp:extent cx="465795" cy="4714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65795" cy="471487"/>
                    </a:xfrm>
                    <a:prstGeom prst="rect">
                      <a:avLst/>
                    </a:prstGeom>
                  </pic:spPr>
                </pic:pic>
              </a:graphicData>
            </a:graphic>
          </wp:inline>
        </w:drawing>
      </w:r>
      <w:r>
        <w:rPr>
          <w:rFonts w:ascii="Times New Roman"/>
          <w:sz w:val="20"/>
        </w:rPr>
      </w:r>
      <w:r>
        <w:rPr>
          <w:rFonts w:ascii="Times New Roman"/>
          <w:sz w:val="20"/>
        </w:rPr>
        <w:tab/>
      </w:r>
      <w:r>
        <w:rPr>
          <w:rFonts w:ascii="Times New Roman"/>
          <w:position w:val="27"/>
          <w:sz w:val="20"/>
        </w:rPr>
        <w:pict>
          <v:group style="width:28.3pt;height:9.9pt;mso-position-horizontal-relative:char;mso-position-vertical-relative:line" coordorigin="0,0" coordsize="566,198">
            <v:shape style="position:absolute;left:0;top:0;width:126;height:197" type="#_x0000_t75" stroked="false">
              <v:imagedata r:id="rId7" o:title=""/>
            </v:shape>
            <v:shape style="position:absolute;left:167;top:0;width:175;height:198" type="#_x0000_t75" stroked="false">
              <v:imagedata r:id="rId8" o:title=""/>
            </v:shape>
            <v:shape style="position:absolute;left:394;top:0;width:171;height:197" type="#_x0000_t75" stroked="false">
              <v:imagedata r:id="rId9" o:title=""/>
            </v:shape>
          </v:group>
        </w:pict>
      </w:r>
      <w:r>
        <w:rPr>
          <w:rFonts w:ascii="Times New Roman"/>
          <w:position w:val="27"/>
          <w:sz w:val="20"/>
        </w:rPr>
      </w:r>
      <w:r>
        <w:rPr>
          <w:rFonts w:ascii="Times New Roman"/>
          <w:spacing w:val="15"/>
          <w:position w:val="27"/>
          <w:sz w:val="19"/>
        </w:rPr>
        <w:t> </w:t>
      </w:r>
      <w:r>
        <w:rPr>
          <w:rFonts w:ascii="Times New Roman"/>
          <w:spacing w:val="15"/>
          <w:position w:val="27"/>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88933" cy="123825"/>
                    </a:xfrm>
                    <a:prstGeom prst="rect">
                      <a:avLst/>
                    </a:prstGeom>
                  </pic:spPr>
                </pic:pic>
              </a:graphicData>
            </a:graphic>
          </wp:inline>
        </w:drawing>
      </w:r>
      <w:r>
        <w:rPr>
          <w:rFonts w:ascii="Times New Roman"/>
          <w:spacing w:val="15"/>
          <w:position w:val="27"/>
          <w:sz w:val="20"/>
        </w:rPr>
      </w:r>
      <w:r>
        <w:rPr>
          <w:rFonts w:ascii="Times New Roman"/>
          <w:spacing w:val="66"/>
          <w:position w:val="27"/>
          <w:sz w:val="20"/>
        </w:rPr>
        <w:t> </w:t>
      </w:r>
      <w:r>
        <w:rPr>
          <w:rFonts w:ascii="Times New Roman"/>
          <w:spacing w:val="66"/>
          <w:position w:val="27"/>
          <w:sz w:val="20"/>
        </w:rPr>
        <w:pict>
          <v:group style="width:18.55pt;height:10.1pt;mso-position-horizontal-relative:char;mso-position-vertical-relative:line" coordorigin="0,0" coordsize="371,202">
            <v:shape style="position:absolute;left:0;top:0;width:194;height:202" type="#_x0000_t75" stroked="false">
              <v:imagedata r:id="rId11" o:title=""/>
            </v:shape>
            <v:shape style="position:absolute;left:258;top:1;width:113;height:197" type="#_x0000_t75" stroked="false">
              <v:imagedata r:id="rId12" o:title=""/>
            </v:shape>
          </v:group>
        </w:pict>
      </w:r>
      <w:r>
        <w:rPr>
          <w:rFonts w:ascii="Times New Roman"/>
          <w:spacing w:val="66"/>
          <w:position w:val="27"/>
          <w:sz w:val="20"/>
        </w:rPr>
      </w:r>
      <w:r>
        <w:rPr>
          <w:rFonts w:ascii="Times New Roman"/>
          <w:spacing w:val="80"/>
          <w:position w:val="27"/>
          <w:sz w:val="20"/>
        </w:rPr>
        <w:t> </w:t>
      </w:r>
      <w:r>
        <w:rPr>
          <w:rFonts w:ascii="Times New Roman"/>
          <w:spacing w:val="80"/>
          <w:position w:val="27"/>
          <w:sz w:val="20"/>
        </w:rPr>
        <w:pict>
          <v:group style="width:29.4pt;height:10.1pt;mso-position-horizontal-relative:char;mso-position-vertical-relative:line" coordorigin="0,0" coordsize="588,202">
            <v:shape style="position:absolute;left:0;top:1;width:119;height:197" type="#_x0000_t75" stroked="false">
              <v:imagedata r:id="rId13" o:title=""/>
            </v:shape>
            <v:shape style="position:absolute;left:184;top:1;width:171;height:197" type="#_x0000_t75" stroked="false">
              <v:imagedata r:id="rId14" o:title=""/>
            </v:shape>
            <v:shape style="position:absolute;left:418;top:0;width:169;height:202" type="#_x0000_t75" stroked="false">
              <v:imagedata r:id="rId15" o:title=""/>
            </v:shape>
          </v:group>
        </w:pict>
      </w:r>
      <w:r>
        <w:rPr>
          <w:rFonts w:ascii="Times New Roman"/>
          <w:spacing w:val="80"/>
          <w:position w:val="27"/>
          <w:sz w:val="20"/>
        </w:rPr>
      </w:r>
      <w:r>
        <w:rPr>
          <w:rFonts w:ascii="Times New Roman"/>
          <w:spacing w:val="13"/>
          <w:position w:val="27"/>
          <w:sz w:val="19"/>
        </w:rPr>
        <w:t> </w:t>
      </w:r>
      <w:r>
        <w:rPr>
          <w:rFonts w:ascii="Times New Roman"/>
          <w:spacing w:val="13"/>
          <w:position w:val="27"/>
          <w:sz w:val="20"/>
        </w:rPr>
        <w:pict>
          <v:group style="width:26.65pt;height:9.9pt;mso-position-horizontal-relative:char;mso-position-vertical-relative:line" coordorigin="0,0" coordsize="533,198">
            <v:shape style="position:absolute;left:134;top:0;width:175;height:198" type="#_x0000_t75" stroked="false">
              <v:imagedata r:id="rId16" o:title=""/>
            </v:shape>
            <v:shape style="position:absolute;left:0;top:0;width:101;height:197" type="#_x0000_t75" stroked="false">
              <v:imagedata r:id="rId17" o:title=""/>
            </v:shape>
            <v:shape style="position:absolute;left:361;top:0;width:171;height:197" type="#_x0000_t75" stroked="false">
              <v:imagedata r:id="rId18" o:title=""/>
            </v:shape>
          </v:group>
        </w:pict>
      </w:r>
      <w:r>
        <w:rPr>
          <w:rFonts w:ascii="Times New Roman"/>
          <w:spacing w:val="13"/>
          <w:position w:val="27"/>
          <w:sz w:val="20"/>
        </w:rPr>
      </w:r>
      <w:r>
        <w:rPr>
          <w:rFonts w:ascii="Times New Roman"/>
          <w:spacing w:val="15"/>
          <w:position w:val="27"/>
          <w:sz w:val="19"/>
        </w:rPr>
        <w:t> </w:t>
      </w:r>
      <w:r>
        <w:rPr>
          <w:rFonts w:ascii="Times New Roman"/>
          <w:spacing w:val="15"/>
          <w:position w:val="2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9" cstate="print"/>
                    <a:stretch>
                      <a:fillRect/>
                    </a:stretch>
                  </pic:blipFill>
                  <pic:spPr>
                    <a:xfrm>
                      <a:off x="0" y="0"/>
                      <a:ext cx="101368" cy="123825"/>
                    </a:xfrm>
                    <a:prstGeom prst="rect">
                      <a:avLst/>
                    </a:prstGeom>
                  </pic:spPr>
                </pic:pic>
              </a:graphicData>
            </a:graphic>
          </wp:inline>
        </w:drawing>
      </w:r>
      <w:r>
        <w:rPr>
          <w:rFonts w:ascii="Times New Roman"/>
          <w:spacing w:val="15"/>
          <w:position w:val="27"/>
          <w:sz w:val="20"/>
        </w:rPr>
      </w:r>
    </w:p>
    <w:p>
      <w:pPr>
        <w:pStyle w:val="BodyText"/>
        <w:spacing w:before="8"/>
        <w:rPr>
          <w:rFonts w:ascii="Times New Roman"/>
          <w:sz w:val="22"/>
        </w:rPr>
      </w:pPr>
    </w:p>
    <w:tbl>
      <w:tblPr>
        <w:tblW w:w="0" w:type="auto"/>
        <w:jc w:val="left"/>
        <w:tblInd w:w="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726"/>
        <w:gridCol w:w="8121"/>
      </w:tblGrid>
      <w:tr>
        <w:trPr>
          <w:trHeight w:val="509" w:hRule="atLeast"/>
        </w:trPr>
        <w:tc>
          <w:tcPr>
            <w:tcW w:w="9570" w:type="dxa"/>
            <w:gridSpan w:val="3"/>
          </w:tcPr>
          <w:p>
            <w:pPr>
              <w:pStyle w:val="TableParagraph"/>
              <w:spacing w:line="402" w:lineRule="exact"/>
              <w:ind w:left="2"/>
              <w:rPr>
                <w:sz w:val="36"/>
              </w:rPr>
            </w:pPr>
            <w:r>
              <w:rPr>
                <w:sz w:val="36"/>
              </w:rPr>
              <w:t>Minutes</w:t>
            </w:r>
          </w:p>
        </w:tc>
      </w:tr>
      <w:tr>
        <w:trPr>
          <w:trHeight w:val="510" w:hRule="atLeast"/>
        </w:trPr>
        <w:tc>
          <w:tcPr>
            <w:tcW w:w="9570" w:type="dxa"/>
            <w:gridSpan w:val="3"/>
          </w:tcPr>
          <w:p>
            <w:pPr>
              <w:pStyle w:val="TableParagraph"/>
              <w:spacing w:before="96"/>
              <w:ind w:left="2"/>
              <w:rPr>
                <w:b/>
                <w:sz w:val="32"/>
              </w:rPr>
            </w:pPr>
            <w:r>
              <w:rPr>
                <w:b/>
                <w:sz w:val="32"/>
              </w:rPr>
              <w:t>SONIA Stakeholder Advisory Group</w:t>
            </w:r>
          </w:p>
        </w:tc>
      </w:tr>
      <w:tr>
        <w:trPr>
          <w:trHeight w:val="603" w:hRule="atLeast"/>
        </w:trPr>
        <w:tc>
          <w:tcPr>
            <w:tcW w:w="9570" w:type="dxa"/>
            <w:gridSpan w:val="3"/>
          </w:tcPr>
          <w:p>
            <w:pPr>
              <w:pStyle w:val="TableParagraph"/>
              <w:spacing w:before="39"/>
              <w:ind w:left="2"/>
              <w:rPr>
                <w:sz w:val="20"/>
              </w:rPr>
            </w:pPr>
            <w:r>
              <w:rPr>
                <w:sz w:val="20"/>
              </w:rPr>
              <w:t>23 September 2019</w:t>
            </w:r>
          </w:p>
        </w:tc>
      </w:tr>
      <w:tr>
        <w:trPr>
          <w:trHeight w:val="566" w:hRule="atLeast"/>
        </w:trPr>
        <w:tc>
          <w:tcPr>
            <w:tcW w:w="1449" w:type="dxa"/>
            <w:gridSpan w:val="2"/>
            <w:tcBorders>
              <w:top w:val="single" w:sz="4" w:space="0" w:color="000000"/>
            </w:tcBorders>
          </w:tcPr>
          <w:p>
            <w:pPr>
              <w:pStyle w:val="TableParagraph"/>
              <w:spacing w:before="4"/>
              <w:ind w:left="0"/>
              <w:rPr>
                <w:rFonts w:ascii="Times New Roman"/>
                <w:sz w:val="19"/>
              </w:rPr>
            </w:pPr>
          </w:p>
          <w:p>
            <w:pPr>
              <w:pStyle w:val="TableParagraph"/>
              <w:ind w:left="2"/>
              <w:rPr>
                <w:b/>
                <w:sz w:val="20"/>
              </w:rPr>
            </w:pPr>
            <w:r>
              <w:rPr>
                <w:b/>
                <w:sz w:val="20"/>
              </w:rPr>
              <w:t>Location:</w:t>
            </w:r>
          </w:p>
        </w:tc>
        <w:tc>
          <w:tcPr>
            <w:tcW w:w="8121" w:type="dxa"/>
            <w:tcBorders>
              <w:top w:val="single" w:sz="4" w:space="0" w:color="000000"/>
            </w:tcBorders>
          </w:tcPr>
          <w:p>
            <w:pPr>
              <w:pStyle w:val="TableParagraph"/>
              <w:spacing w:before="6"/>
              <w:ind w:left="0"/>
              <w:rPr>
                <w:rFonts w:ascii="Times New Roman"/>
                <w:sz w:val="19"/>
              </w:rPr>
            </w:pPr>
          </w:p>
          <w:p>
            <w:pPr>
              <w:pStyle w:val="TableParagraph"/>
              <w:ind w:left="550"/>
              <w:rPr>
                <w:sz w:val="20"/>
              </w:rPr>
            </w:pPr>
            <w:r>
              <w:rPr>
                <w:sz w:val="20"/>
              </w:rPr>
              <w:t>Bank of England</w:t>
            </w:r>
          </w:p>
        </w:tc>
      </w:tr>
      <w:tr>
        <w:trPr>
          <w:trHeight w:val="596" w:hRule="atLeast"/>
        </w:trPr>
        <w:tc>
          <w:tcPr>
            <w:tcW w:w="723" w:type="dxa"/>
          </w:tcPr>
          <w:p>
            <w:pPr>
              <w:pStyle w:val="TableParagraph"/>
              <w:spacing w:before="104"/>
              <w:ind w:left="2" w:right="56"/>
              <w:rPr>
                <w:b/>
                <w:sz w:val="20"/>
              </w:rPr>
            </w:pPr>
            <w:r>
              <w:rPr>
                <w:b/>
                <w:sz w:val="20"/>
              </w:rPr>
              <w:t>Minute no.</w:t>
            </w:r>
          </w:p>
        </w:tc>
        <w:tc>
          <w:tcPr>
            <w:tcW w:w="8847" w:type="dxa"/>
            <w:gridSpan w:val="2"/>
          </w:tcPr>
          <w:p>
            <w:pPr>
              <w:pStyle w:val="TableParagraph"/>
              <w:spacing w:before="104"/>
              <w:ind w:left="143"/>
              <w:rPr>
                <w:b/>
                <w:sz w:val="20"/>
              </w:rPr>
            </w:pPr>
            <w:r>
              <w:rPr>
                <w:b/>
                <w:sz w:val="20"/>
              </w:rPr>
              <w:t>Minute</w:t>
            </w:r>
          </w:p>
        </w:tc>
      </w:tr>
      <w:tr>
        <w:trPr>
          <w:trHeight w:val="2208" w:hRule="atLeast"/>
        </w:trPr>
        <w:tc>
          <w:tcPr>
            <w:tcW w:w="723" w:type="dxa"/>
          </w:tcPr>
          <w:p>
            <w:pPr>
              <w:pStyle w:val="TableParagraph"/>
              <w:spacing w:before="26"/>
              <w:ind w:left="60"/>
              <w:rPr>
                <w:sz w:val="20"/>
              </w:rPr>
            </w:pPr>
            <w:r>
              <w:rPr>
                <w:sz w:val="20"/>
              </w:rPr>
              <w:t>1.</w:t>
            </w:r>
          </w:p>
        </w:tc>
        <w:tc>
          <w:tcPr>
            <w:tcW w:w="8847" w:type="dxa"/>
            <w:gridSpan w:val="2"/>
          </w:tcPr>
          <w:p>
            <w:pPr>
              <w:pStyle w:val="TableParagraph"/>
              <w:spacing w:before="24"/>
              <w:ind w:left="76"/>
              <w:rPr>
                <w:b/>
                <w:sz w:val="20"/>
              </w:rPr>
            </w:pPr>
            <w:r>
              <w:rPr>
                <w:b/>
                <w:sz w:val="20"/>
              </w:rPr>
              <w:t>The role of the SONIA Stakeholder Advisory Group</w:t>
            </w:r>
          </w:p>
          <w:p>
            <w:pPr>
              <w:pStyle w:val="TableParagraph"/>
              <w:spacing w:before="10"/>
              <w:ind w:left="0"/>
              <w:rPr>
                <w:rFonts w:ascii="Times New Roman"/>
                <w:sz w:val="19"/>
              </w:rPr>
            </w:pPr>
          </w:p>
          <w:p>
            <w:pPr>
              <w:pStyle w:val="TableParagraph"/>
              <w:spacing w:line="288" w:lineRule="auto"/>
              <w:ind w:left="76" w:right="231"/>
              <w:rPr>
                <w:sz w:val="20"/>
              </w:rPr>
            </w:pPr>
            <w:r>
              <w:rPr>
                <w:sz w:val="20"/>
              </w:rPr>
              <w:t>The meeting was attended by Dave Ramsden (Deputy Governor, Markets and Banking; accountable senior manager for SONIA) and Jo Place (the Bank’s COO and chair of the SONIA Oversight Committee). They provided their perspectives on the Group’s role and how it fits into the Bank’s administration of SONIA. Both Governors thanked members for their time and said the market views provided by the Group had provided helpful input enabling the Oversight Committee to discharge its responsibilities and supported the Bank’s administration of SONIA.</w:t>
            </w:r>
          </w:p>
        </w:tc>
      </w:tr>
      <w:tr>
        <w:trPr>
          <w:trHeight w:val="5868" w:hRule="atLeast"/>
        </w:trPr>
        <w:tc>
          <w:tcPr>
            <w:tcW w:w="723" w:type="dxa"/>
          </w:tcPr>
          <w:p>
            <w:pPr>
              <w:pStyle w:val="TableParagraph"/>
              <w:spacing w:before="110"/>
              <w:ind w:left="60"/>
              <w:rPr>
                <w:sz w:val="20"/>
              </w:rPr>
            </w:pPr>
            <w:r>
              <w:rPr>
                <w:sz w:val="20"/>
              </w:rPr>
              <w:t>2.</w:t>
            </w:r>
          </w:p>
        </w:tc>
        <w:tc>
          <w:tcPr>
            <w:tcW w:w="8847" w:type="dxa"/>
            <w:gridSpan w:val="2"/>
          </w:tcPr>
          <w:p>
            <w:pPr>
              <w:pStyle w:val="TableParagraph"/>
              <w:spacing w:before="108"/>
              <w:ind w:left="76"/>
              <w:rPr>
                <w:b/>
                <w:sz w:val="20"/>
              </w:rPr>
            </w:pPr>
            <w:r>
              <w:rPr>
                <w:b/>
                <w:sz w:val="20"/>
              </w:rPr>
              <w:t>Review of market conditions</w:t>
            </w:r>
          </w:p>
          <w:p>
            <w:pPr>
              <w:pStyle w:val="TableParagraph"/>
              <w:spacing w:before="10"/>
              <w:ind w:left="0"/>
              <w:rPr>
                <w:rFonts w:ascii="Times New Roman"/>
                <w:sz w:val="19"/>
              </w:rPr>
            </w:pPr>
          </w:p>
          <w:p>
            <w:pPr>
              <w:pStyle w:val="TableParagraph"/>
              <w:spacing w:line="288" w:lineRule="auto"/>
              <w:ind w:left="76" w:right="180"/>
              <w:rPr>
                <w:sz w:val="13"/>
              </w:rPr>
            </w:pPr>
            <w:r>
              <w:rPr>
                <w:sz w:val="20"/>
              </w:rPr>
              <w:t>The Bank presented a pack of publically available statistics on the SONIA rate and volumes, and on SONIA adoption since the reforms were implemented.</w:t>
            </w:r>
            <w:r>
              <w:rPr>
                <w:position w:val="6"/>
                <w:sz w:val="13"/>
              </w:rPr>
              <w:t>1</w:t>
            </w:r>
          </w:p>
          <w:p>
            <w:pPr>
              <w:pStyle w:val="TableParagraph"/>
              <w:spacing w:line="288" w:lineRule="auto" w:before="180"/>
              <w:ind w:left="76" w:right="202"/>
              <w:rPr>
                <w:sz w:val="20"/>
              </w:rPr>
            </w:pPr>
            <w:r>
              <w:rPr>
                <w:sz w:val="20"/>
              </w:rPr>
              <w:t>The SONIA rate continued to be stable and had increased slowly since the Group’s February meeting, with the basis to Bank Rate now consistently around 4 basis points. The Group noted that, as discussed at the previous meeting, the market has now been better prepared for period- ends and start planning well ahead of the event. This was again evident on June half year-end when the SONIA rate remained virtually unchanged. The volumes increased over the summer</w:t>
            </w:r>
            <w:r>
              <w:rPr>
                <w:spacing w:val="-24"/>
                <w:sz w:val="20"/>
              </w:rPr>
              <w:t> </w:t>
            </w:r>
            <w:r>
              <w:rPr>
                <w:sz w:val="20"/>
              </w:rPr>
              <w:t>to around £41bn, which the Group felt could be due to seasonal effects; similar increases were observed across different markets. The Bank shared with the Group charts showing the concentration of participants in the underlying market was broadly unchanged since the Bank had taken on publication in April 2018 and was marginally down on the levels published as a part of the SONIA reform consultation.</w:t>
            </w:r>
            <w:r>
              <w:rPr>
                <w:position w:val="6"/>
                <w:sz w:val="13"/>
              </w:rPr>
              <w:t>2 </w:t>
            </w:r>
            <w:r>
              <w:rPr>
                <w:sz w:val="20"/>
              </w:rPr>
              <w:t>This was viewed as</w:t>
            </w:r>
            <w:r>
              <w:rPr>
                <w:spacing w:val="2"/>
                <w:sz w:val="20"/>
              </w:rPr>
              <w:t> </w:t>
            </w:r>
            <w:r>
              <w:rPr>
                <w:sz w:val="20"/>
              </w:rPr>
              <w:t>reassuring.</w:t>
            </w:r>
          </w:p>
          <w:p>
            <w:pPr>
              <w:pStyle w:val="TableParagraph"/>
              <w:spacing w:line="288" w:lineRule="auto" w:before="181"/>
              <w:ind w:left="76" w:right="231"/>
              <w:rPr>
                <w:sz w:val="20"/>
              </w:rPr>
            </w:pPr>
            <w:r>
              <w:rPr>
                <w:sz w:val="20"/>
              </w:rPr>
              <w:t>The Group discussed recent volatility in the US Treasury repo markets; it was noted there</w:t>
            </w:r>
            <w:r>
              <w:rPr>
                <w:spacing w:val="-33"/>
                <w:sz w:val="20"/>
              </w:rPr>
              <w:t> </w:t>
            </w:r>
            <w:r>
              <w:rPr>
                <w:sz w:val="20"/>
              </w:rPr>
              <w:t>had been no spillover into sterling money</w:t>
            </w:r>
            <w:r>
              <w:rPr>
                <w:spacing w:val="-5"/>
                <w:sz w:val="20"/>
              </w:rPr>
              <w:t> </w:t>
            </w:r>
            <w:r>
              <w:rPr>
                <w:sz w:val="20"/>
              </w:rPr>
              <w:t>markets.</w:t>
            </w:r>
          </w:p>
          <w:p>
            <w:pPr>
              <w:pStyle w:val="TableParagraph"/>
              <w:spacing w:line="288" w:lineRule="auto" w:before="180"/>
              <w:ind w:left="76" w:right="579"/>
              <w:rPr>
                <w:sz w:val="13"/>
              </w:rPr>
            </w:pPr>
            <w:r>
              <w:rPr>
                <w:sz w:val="20"/>
              </w:rPr>
              <w:t>Looking forward, the Group acknowledged continued market uncertainty around terms of the UK’s withdrawal from the EU and discussed potential impact on SONIA. The position was considered largely unchanged from</w:t>
            </w:r>
            <w:r>
              <w:rPr>
                <w:spacing w:val="-2"/>
                <w:sz w:val="20"/>
              </w:rPr>
              <w:t> </w:t>
            </w:r>
            <w:r>
              <w:rPr>
                <w:sz w:val="20"/>
              </w:rPr>
              <w:t>February.</w:t>
            </w:r>
            <w:r>
              <w:rPr>
                <w:position w:val="6"/>
                <w:sz w:val="13"/>
              </w:rPr>
              <w:t>3</w:t>
            </w:r>
          </w:p>
        </w:tc>
      </w:tr>
      <w:tr>
        <w:trPr>
          <w:trHeight w:val="1349" w:hRule="atLeast"/>
        </w:trPr>
        <w:tc>
          <w:tcPr>
            <w:tcW w:w="723" w:type="dxa"/>
          </w:tcPr>
          <w:p>
            <w:pPr>
              <w:pStyle w:val="TableParagraph"/>
              <w:spacing w:before="110"/>
              <w:ind w:left="60"/>
              <w:rPr>
                <w:sz w:val="20"/>
              </w:rPr>
            </w:pPr>
            <w:r>
              <w:rPr>
                <w:sz w:val="20"/>
              </w:rPr>
              <w:t>3.</w:t>
            </w:r>
          </w:p>
        </w:tc>
        <w:tc>
          <w:tcPr>
            <w:tcW w:w="8847" w:type="dxa"/>
            <w:gridSpan w:val="2"/>
          </w:tcPr>
          <w:p>
            <w:pPr>
              <w:pStyle w:val="TableParagraph"/>
              <w:spacing w:before="108"/>
              <w:ind w:left="76"/>
              <w:rPr>
                <w:b/>
                <w:sz w:val="20"/>
              </w:rPr>
            </w:pPr>
            <w:r>
              <w:rPr>
                <w:b/>
                <w:sz w:val="20"/>
              </w:rPr>
              <w:t>SONIA borrowers’ requirements, capacity and ability to borrow</w:t>
            </w:r>
          </w:p>
          <w:p>
            <w:pPr>
              <w:pStyle w:val="TableParagraph"/>
              <w:spacing w:line="270" w:lineRule="atLeast" w:before="189"/>
              <w:ind w:left="76" w:right="180"/>
              <w:rPr>
                <w:sz w:val="20"/>
              </w:rPr>
            </w:pPr>
            <w:r>
              <w:rPr>
                <w:sz w:val="20"/>
              </w:rPr>
              <w:t>Following on from the discussion at the February meeting on the EU MMF Regulation reform and MMFs’ role in the SONIA market, the Group discussed the role of borrowers and the drivers and constraints on their participation.</w:t>
            </w:r>
          </w:p>
        </w:tc>
      </w:tr>
    </w:tbl>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1"/>
        </w:rPr>
      </w:pPr>
      <w:r>
        <w:rPr/>
        <w:pict>
          <v:shape style="position:absolute;margin-left:56.664001pt;margin-top:8.769252pt;width:144.050pt;height:.1pt;mso-position-horizontal-relative:page;mso-position-vertical-relative:paragraph;z-index:-251654144;mso-wrap-distance-left:0;mso-wrap-distance-right:0" coordorigin="1133,175" coordsize="2881,0" path="m1133,175l4014,175e" filled="false" stroked="true" strokeweight=".47998pt" strokecolor="#000000">
            <v:path arrowok="t"/>
            <v:stroke dashstyle="solid"/>
            <w10:wrap type="topAndBottom"/>
          </v:shape>
        </w:pict>
      </w:r>
    </w:p>
    <w:p>
      <w:pPr>
        <w:spacing w:line="210" w:lineRule="exact" w:before="50"/>
        <w:ind w:left="193" w:right="0" w:firstLine="0"/>
        <w:jc w:val="left"/>
        <w:rPr>
          <w:sz w:val="18"/>
        </w:rPr>
      </w:pPr>
      <w:r>
        <w:rPr>
          <w:position w:val="6"/>
          <w:sz w:val="12"/>
        </w:rPr>
        <w:t>1  </w:t>
      </w:r>
      <w:r>
        <w:rPr>
          <w:sz w:val="18"/>
        </w:rPr>
        <w:t>Appended to these</w:t>
      </w:r>
      <w:r>
        <w:rPr>
          <w:spacing w:val="-26"/>
          <w:sz w:val="18"/>
        </w:rPr>
        <w:t> </w:t>
      </w:r>
      <w:r>
        <w:rPr>
          <w:sz w:val="18"/>
        </w:rPr>
        <w:t>minutes.</w:t>
      </w:r>
    </w:p>
    <w:p>
      <w:pPr>
        <w:spacing w:line="208" w:lineRule="exact" w:before="0"/>
        <w:ind w:left="193" w:right="0" w:firstLine="0"/>
        <w:jc w:val="left"/>
        <w:rPr>
          <w:sz w:val="18"/>
        </w:rPr>
      </w:pPr>
      <w:r>
        <w:rPr>
          <w:position w:val="6"/>
          <w:sz w:val="12"/>
        </w:rPr>
        <w:t>2  </w:t>
      </w:r>
      <w:r>
        <w:rPr>
          <w:sz w:val="18"/>
        </w:rPr>
        <w:t>Appended to these</w:t>
      </w:r>
      <w:r>
        <w:rPr>
          <w:spacing w:val="-26"/>
          <w:sz w:val="18"/>
        </w:rPr>
        <w:t> </w:t>
      </w:r>
      <w:r>
        <w:rPr>
          <w:sz w:val="18"/>
        </w:rPr>
        <w:t>minutes.</w:t>
      </w:r>
    </w:p>
    <w:p>
      <w:pPr>
        <w:spacing w:line="240" w:lineRule="auto" w:before="0"/>
        <w:ind w:left="193" w:right="108" w:firstLine="0"/>
        <w:jc w:val="left"/>
        <w:rPr>
          <w:sz w:val="18"/>
        </w:rPr>
      </w:pPr>
      <w:r>
        <w:rPr>
          <w:position w:val="6"/>
          <w:sz w:val="12"/>
        </w:rPr>
        <w:t>3 </w:t>
      </w:r>
      <w:r>
        <w:rPr>
          <w:sz w:val="18"/>
        </w:rPr>
        <w:t>Item 2, Minutes of the 21/02/19 meeting: </w:t>
      </w:r>
      <w:hyperlink r:id="rId20">
        <w:r>
          <w:rPr>
            <w:color w:val="0000FF"/>
            <w:sz w:val="18"/>
            <w:u w:val="single" w:color="0000FF"/>
          </w:rPr>
          <w:t>www.bankofengland.co.uk/-/media/boe/files/minutes/2019/sonia-stakeholder-</w:t>
        </w:r>
      </w:hyperlink>
      <w:r>
        <w:rPr>
          <w:color w:val="0000FF"/>
          <w:sz w:val="18"/>
        </w:rPr>
        <w:t> </w:t>
      </w:r>
      <w:hyperlink r:id="rId20">
        <w:r>
          <w:rPr>
            <w:color w:val="0000FF"/>
            <w:sz w:val="18"/>
            <w:u w:val="single" w:color="0000FF"/>
          </w:rPr>
          <w:t>advisory-group-21-february-2019.pdf</w:t>
        </w:r>
      </w:hyperlink>
    </w:p>
    <w:p>
      <w:pPr>
        <w:spacing w:after="0" w:line="240" w:lineRule="auto"/>
        <w:jc w:val="left"/>
        <w:rPr>
          <w:sz w:val="18"/>
        </w:rPr>
        <w:sectPr>
          <w:footerReference w:type="default" r:id="rId5"/>
          <w:type w:val="continuous"/>
          <w:pgSz w:w="11910" w:h="16840"/>
          <w:pgMar w:footer="439" w:top="720" w:bottom="620" w:left="940" w:right="1020"/>
          <w:pgNumType w:start="1"/>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
        <w:gridCol w:w="9042"/>
      </w:tblGrid>
      <w:tr>
        <w:trPr>
          <w:trHeight w:val="2546" w:hRule="atLeast"/>
        </w:trPr>
        <w:tc>
          <w:tcPr>
            <w:tcW w:w="652" w:type="dxa"/>
          </w:tcPr>
          <w:p>
            <w:pPr>
              <w:pStyle w:val="TableParagraph"/>
              <w:ind w:left="0"/>
              <w:rPr>
                <w:rFonts w:ascii="Times New Roman"/>
                <w:sz w:val="18"/>
              </w:rPr>
            </w:pPr>
          </w:p>
        </w:tc>
        <w:tc>
          <w:tcPr>
            <w:tcW w:w="9042" w:type="dxa"/>
          </w:tcPr>
          <w:p>
            <w:pPr>
              <w:pStyle w:val="TableParagraph"/>
              <w:spacing w:line="288" w:lineRule="auto"/>
              <w:ind w:right="203"/>
              <w:rPr>
                <w:sz w:val="20"/>
              </w:rPr>
            </w:pPr>
            <w:r>
              <w:rPr>
                <w:sz w:val="20"/>
              </w:rPr>
              <w:t>An important driver for banks’ activity was how monetary policy was implemented. The current floor based system in sterling meant there was excess cash in the system.  As a result, banks did not necessarily need to borrow in the market to meet their day to day liquidity needs; their activity is then balanced against its impact on their regulatory liquidity ratios, specifically the Net Stable Funding Ratio (NSFR) and Liquidity Coverage Ratio (LCR). It was noted that for banks who were not solely regulated by the PRA, the approach of other regulators affected their activity in the sterling markets. An example of this was the different treatment of reserves held at central banks in the calculation of liquidity ratios which limited some banks’ activity. The Group’s view was that PRA’s interpretation better reflected the original intention of the</w:t>
            </w:r>
            <w:r>
              <w:rPr>
                <w:spacing w:val="-10"/>
                <w:sz w:val="20"/>
              </w:rPr>
              <w:t> </w:t>
            </w:r>
            <w:r>
              <w:rPr>
                <w:sz w:val="20"/>
              </w:rPr>
              <w:t>regulations.</w:t>
            </w:r>
          </w:p>
        </w:tc>
      </w:tr>
      <w:tr>
        <w:trPr>
          <w:trHeight w:val="3024" w:hRule="atLeast"/>
        </w:trPr>
        <w:tc>
          <w:tcPr>
            <w:tcW w:w="652" w:type="dxa"/>
          </w:tcPr>
          <w:p>
            <w:pPr>
              <w:pStyle w:val="TableParagraph"/>
              <w:spacing w:before="110"/>
              <w:ind w:left="180" w:right="264"/>
              <w:jc w:val="center"/>
              <w:rPr>
                <w:sz w:val="20"/>
              </w:rPr>
            </w:pPr>
            <w:r>
              <w:rPr>
                <w:sz w:val="20"/>
              </w:rPr>
              <w:t>4.</w:t>
            </w:r>
          </w:p>
        </w:tc>
        <w:tc>
          <w:tcPr>
            <w:tcW w:w="9042" w:type="dxa"/>
          </w:tcPr>
          <w:p>
            <w:pPr>
              <w:pStyle w:val="TableParagraph"/>
              <w:spacing w:before="108"/>
              <w:rPr>
                <w:b/>
                <w:sz w:val="20"/>
              </w:rPr>
            </w:pPr>
            <w:r>
              <w:rPr>
                <w:b/>
                <w:sz w:val="20"/>
              </w:rPr>
              <w:t>SONIA contingency arrangements</w:t>
            </w:r>
          </w:p>
          <w:p>
            <w:pPr>
              <w:pStyle w:val="TableParagraph"/>
              <w:spacing w:before="10"/>
              <w:ind w:left="0"/>
              <w:rPr>
                <w:sz w:val="19"/>
              </w:rPr>
            </w:pPr>
          </w:p>
          <w:p>
            <w:pPr>
              <w:pStyle w:val="TableParagraph"/>
              <w:spacing w:line="288" w:lineRule="auto"/>
              <w:ind w:right="254"/>
              <w:rPr>
                <w:sz w:val="20"/>
              </w:rPr>
            </w:pPr>
            <w:r>
              <w:rPr>
                <w:sz w:val="20"/>
              </w:rPr>
              <w:t>The short-term contingency arrangements for SONIA were reviewed.</w:t>
            </w:r>
            <w:r>
              <w:rPr>
                <w:position w:val="6"/>
                <w:sz w:val="13"/>
              </w:rPr>
              <w:t>4 </w:t>
            </w:r>
            <w:r>
              <w:rPr>
                <w:sz w:val="20"/>
              </w:rPr>
              <w:t>The Group’s view was that the policies were clear and understandable. They noted that were the contingency arrangements for calculating the rate to be invoked, transparent and clear communication would be appreciated by the market.</w:t>
            </w:r>
          </w:p>
          <w:p>
            <w:pPr>
              <w:pStyle w:val="TableParagraph"/>
              <w:spacing w:line="288" w:lineRule="auto" w:before="181"/>
              <w:ind w:right="685"/>
              <w:jc w:val="both"/>
              <w:rPr>
                <w:sz w:val="13"/>
              </w:rPr>
            </w:pPr>
            <w:r>
              <w:rPr>
                <w:sz w:val="20"/>
              </w:rPr>
              <w:t>It was confirmed that the anticipated trigger for the use of these arrangements would be an operational issue; a response to any future change in the structure of the underlying</w:t>
            </w:r>
            <w:r>
              <w:rPr>
                <w:spacing w:val="-25"/>
                <w:sz w:val="20"/>
              </w:rPr>
              <w:t> </w:t>
            </w:r>
            <w:r>
              <w:rPr>
                <w:sz w:val="20"/>
              </w:rPr>
              <w:t>market would be considered using the published policies relating to the review and evolution of the methodology.</w:t>
            </w:r>
            <w:r>
              <w:rPr>
                <w:position w:val="6"/>
                <w:sz w:val="13"/>
              </w:rPr>
              <w:t>5</w:t>
            </w:r>
          </w:p>
        </w:tc>
      </w:tr>
      <w:tr>
        <w:trPr>
          <w:trHeight w:val="4032" w:hRule="atLeast"/>
        </w:trPr>
        <w:tc>
          <w:tcPr>
            <w:tcW w:w="652" w:type="dxa"/>
          </w:tcPr>
          <w:p>
            <w:pPr>
              <w:pStyle w:val="TableParagraph"/>
              <w:spacing w:before="108"/>
              <w:ind w:left="180" w:right="264"/>
              <w:jc w:val="center"/>
              <w:rPr>
                <w:sz w:val="20"/>
              </w:rPr>
            </w:pPr>
            <w:r>
              <w:rPr>
                <w:sz w:val="20"/>
              </w:rPr>
              <w:t>5.</w:t>
            </w:r>
          </w:p>
        </w:tc>
        <w:tc>
          <w:tcPr>
            <w:tcW w:w="9042" w:type="dxa"/>
          </w:tcPr>
          <w:p>
            <w:pPr>
              <w:pStyle w:val="TableParagraph"/>
              <w:spacing w:before="108"/>
              <w:rPr>
                <w:b/>
                <w:sz w:val="20"/>
              </w:rPr>
            </w:pPr>
            <w:r>
              <w:rPr>
                <w:b/>
                <w:sz w:val="20"/>
              </w:rPr>
              <w:t>Evolving uses of SONIA</w:t>
            </w:r>
          </w:p>
          <w:p>
            <w:pPr>
              <w:pStyle w:val="TableParagraph"/>
              <w:spacing w:before="10"/>
              <w:ind w:left="0"/>
              <w:rPr>
                <w:sz w:val="19"/>
              </w:rPr>
            </w:pPr>
          </w:p>
          <w:p>
            <w:pPr>
              <w:pStyle w:val="TableParagraph"/>
              <w:spacing w:line="288" w:lineRule="auto"/>
              <w:ind w:right="204"/>
              <w:rPr>
                <w:sz w:val="20"/>
              </w:rPr>
            </w:pPr>
            <w:r>
              <w:rPr>
                <w:sz w:val="20"/>
              </w:rPr>
              <w:t>There had been a further increase in issuance of SONIA based FRNs and use of SONIA referencing derivatives since the last meeting. The first SONIA referencing loans and transactions of SONIA swaptions had also been reported. It was agreed to discuss at a future meeting if there were any implications from these developments for the administration of SONIA.</w:t>
            </w:r>
          </w:p>
          <w:p>
            <w:pPr>
              <w:pStyle w:val="TableParagraph"/>
              <w:spacing w:line="288" w:lineRule="auto" w:before="180"/>
              <w:ind w:right="254"/>
              <w:rPr>
                <w:sz w:val="20"/>
              </w:rPr>
            </w:pPr>
            <w:r>
              <w:rPr>
                <w:sz w:val="20"/>
              </w:rPr>
              <w:t>It was noted that there remained some lack of visibility on precise terms of certain privately placed instruments, which was limiting activity in secondary markets. The Bank said it would pass this feedback to the Sterling Risk Free Rates Working Group who were best placed to consider how to address this point.</w:t>
            </w:r>
          </w:p>
          <w:p>
            <w:pPr>
              <w:pStyle w:val="TableParagraph"/>
              <w:spacing w:line="288" w:lineRule="auto" w:before="180"/>
              <w:rPr>
                <w:sz w:val="20"/>
              </w:rPr>
            </w:pPr>
            <w:r>
              <w:rPr>
                <w:sz w:val="20"/>
              </w:rPr>
              <w:t>It was suggested that the forthcoming launch of €STR and the related increase in engagement of investors in euro markets in RFR adoption could prompt more activity in SONIA markets given increased synergies.</w:t>
            </w:r>
          </w:p>
        </w:tc>
      </w:tr>
      <w:tr>
        <w:trPr>
          <w:trHeight w:val="1348" w:hRule="atLeast"/>
        </w:trPr>
        <w:tc>
          <w:tcPr>
            <w:tcW w:w="652" w:type="dxa"/>
          </w:tcPr>
          <w:p>
            <w:pPr>
              <w:pStyle w:val="TableParagraph"/>
              <w:spacing w:before="108"/>
              <w:ind w:left="180" w:right="264"/>
              <w:jc w:val="center"/>
              <w:rPr>
                <w:sz w:val="20"/>
              </w:rPr>
            </w:pPr>
            <w:r>
              <w:rPr>
                <w:sz w:val="20"/>
              </w:rPr>
              <w:t>6.</w:t>
            </w:r>
          </w:p>
        </w:tc>
        <w:tc>
          <w:tcPr>
            <w:tcW w:w="9042" w:type="dxa"/>
          </w:tcPr>
          <w:p>
            <w:pPr>
              <w:pStyle w:val="TableParagraph"/>
              <w:spacing w:before="108"/>
              <w:rPr>
                <w:b/>
                <w:sz w:val="20"/>
              </w:rPr>
            </w:pPr>
            <w:r>
              <w:rPr>
                <w:b/>
                <w:sz w:val="20"/>
              </w:rPr>
              <w:t>Future discussion topics</w:t>
            </w:r>
          </w:p>
          <w:p>
            <w:pPr>
              <w:pStyle w:val="TableParagraph"/>
              <w:spacing w:line="270" w:lineRule="atLeast" w:before="188"/>
              <w:ind w:right="203"/>
              <w:rPr>
                <w:sz w:val="20"/>
              </w:rPr>
            </w:pPr>
            <w:r>
              <w:rPr>
                <w:sz w:val="20"/>
              </w:rPr>
              <w:t>In the light of the ongoing uncertainty over the terms of the UK’s withdrawal from the EU, as was the case following the Group’s February meeting, the Chair noted it may be appropriate for the Group to meet ahead of its next scheduled meeting in the spring.</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9"/>
        </w:rPr>
      </w:pPr>
      <w:r>
        <w:rPr/>
        <w:pict>
          <v:shape style="position:absolute;margin-left:56.664001pt;margin-top:19.009565pt;width:144.050pt;height:.1pt;mso-position-horizontal-relative:page;mso-position-vertical-relative:paragraph;z-index:-251653120;mso-wrap-distance-left:0;mso-wrap-distance-right:0" coordorigin="1133,380" coordsize="2881,0" path="m1133,380l4014,380e" filled="false" stroked="true" strokeweight=".47998pt" strokecolor="#000000">
            <v:path arrowok="t"/>
            <v:stroke dashstyle="solid"/>
            <w10:wrap type="topAndBottom"/>
          </v:shape>
        </w:pict>
      </w:r>
    </w:p>
    <w:p>
      <w:pPr>
        <w:spacing w:before="50"/>
        <w:ind w:left="193" w:right="110" w:firstLine="0"/>
        <w:jc w:val="left"/>
        <w:rPr>
          <w:sz w:val="18"/>
        </w:rPr>
      </w:pPr>
      <w:r>
        <w:rPr>
          <w:position w:val="6"/>
          <w:sz w:val="12"/>
        </w:rPr>
        <w:t>4 </w:t>
      </w:r>
      <w:r>
        <w:rPr>
          <w:sz w:val="18"/>
        </w:rPr>
        <w:t>See Section 5 of the SONIA Key features and policies: </w:t>
      </w:r>
      <w:hyperlink r:id="rId21">
        <w:r>
          <w:rPr>
            <w:color w:val="0000FF"/>
            <w:sz w:val="18"/>
            <w:u w:val="single" w:color="0000FF"/>
          </w:rPr>
          <w:t>www.bankofengland.co.uk/markets/sonia-benchmark/sonia-key-</w:t>
        </w:r>
      </w:hyperlink>
      <w:r>
        <w:rPr>
          <w:color w:val="0000FF"/>
          <w:sz w:val="18"/>
        </w:rPr>
        <w:t> </w:t>
      </w:r>
      <w:hyperlink r:id="rId21">
        <w:r>
          <w:rPr>
            <w:color w:val="0000FF"/>
            <w:sz w:val="18"/>
            <w:u w:val="single" w:color="0000FF"/>
          </w:rPr>
          <w:t>features-and-policies</w:t>
        </w:r>
      </w:hyperlink>
    </w:p>
    <w:p>
      <w:pPr>
        <w:spacing w:line="206" w:lineRule="exact" w:before="0"/>
        <w:ind w:left="193" w:right="0" w:firstLine="0"/>
        <w:jc w:val="left"/>
        <w:rPr>
          <w:sz w:val="18"/>
        </w:rPr>
      </w:pPr>
      <w:r>
        <w:rPr>
          <w:position w:val="6"/>
          <w:sz w:val="12"/>
        </w:rPr>
        <w:t>5 </w:t>
      </w:r>
      <w:r>
        <w:rPr>
          <w:sz w:val="18"/>
        </w:rPr>
        <w:t>See Section 8 of the SONIA Key features and policies.</w:t>
      </w:r>
    </w:p>
    <w:p>
      <w:pPr>
        <w:spacing w:after="0" w:line="206" w:lineRule="exact"/>
        <w:jc w:val="left"/>
        <w:rPr>
          <w:sz w:val="18"/>
        </w:rPr>
        <w:sectPr>
          <w:pgSz w:w="11910" w:h="16840"/>
          <w:pgMar w:header="0" w:footer="439" w:top="1400" w:bottom="620" w:left="940" w:right="1020"/>
        </w:sectPr>
      </w:pPr>
    </w:p>
    <w:p>
      <w:pPr>
        <w:spacing w:before="79"/>
        <w:ind w:left="193" w:right="0" w:firstLine="0"/>
        <w:jc w:val="left"/>
        <w:rPr>
          <w:b/>
          <w:sz w:val="20"/>
        </w:rPr>
      </w:pPr>
      <w:r>
        <w:rPr>
          <w:b/>
          <w:sz w:val="20"/>
        </w:rPr>
        <w:t>Attendees:</w:t>
      </w:r>
    </w:p>
    <w:p>
      <w:pPr>
        <w:pStyle w:val="BodyText"/>
        <w:spacing w:before="4"/>
        <w:rPr>
          <w:b/>
        </w:rPr>
      </w:pPr>
    </w:p>
    <w:p>
      <w:pPr>
        <w:pStyle w:val="BodyText"/>
        <w:tabs>
          <w:tab w:pos="2461" w:val="left" w:leader="none"/>
        </w:tabs>
        <w:spacing w:line="360" w:lineRule="auto"/>
        <w:ind w:left="193" w:right="1248"/>
      </w:pPr>
      <w:r>
        <w:rPr/>
        <w:t>Chair</w:t>
        <w:tab/>
        <w:t>Richard Moore (Independent member of SONIA Oversight Committee) External</w:t>
      </w:r>
      <w:r>
        <w:rPr>
          <w:spacing w:val="-3"/>
        </w:rPr>
        <w:t> </w:t>
      </w:r>
      <w:r>
        <w:rPr/>
        <w:t>Member</w:t>
        <w:tab/>
        <w:t>Julia Black (Independent member of SONIA Oversight Committee) Goldman</w:t>
      </w:r>
      <w:r>
        <w:rPr>
          <w:spacing w:val="-3"/>
        </w:rPr>
        <w:t> </w:t>
      </w:r>
      <w:r>
        <w:rPr/>
        <w:t>Sachs</w:t>
        <w:tab/>
        <w:t>Nikhil</w:t>
      </w:r>
      <w:r>
        <w:rPr>
          <w:spacing w:val="-2"/>
        </w:rPr>
        <w:t> </w:t>
      </w:r>
      <w:r>
        <w:rPr/>
        <w:t>Choraria</w:t>
      </w:r>
    </w:p>
    <w:p>
      <w:pPr>
        <w:pStyle w:val="BodyText"/>
        <w:tabs>
          <w:tab w:pos="2461" w:val="left" w:leader="none"/>
        </w:tabs>
        <w:spacing w:line="357" w:lineRule="auto" w:before="2"/>
        <w:ind w:left="193" w:right="6169"/>
      </w:pPr>
      <w:r>
        <w:rPr/>
        <w:t>HSBC</w:t>
        <w:tab/>
        <w:t>James </w:t>
      </w:r>
      <w:r>
        <w:rPr>
          <w:spacing w:val="-3"/>
        </w:rPr>
        <w:t>Murphy </w:t>
      </w:r>
      <w:r>
        <w:rPr/>
        <w:t>Insight</w:t>
      </w:r>
      <w:r>
        <w:rPr>
          <w:spacing w:val="-3"/>
        </w:rPr>
        <w:t> </w:t>
      </w:r>
      <w:r>
        <w:rPr/>
        <w:t>Investment</w:t>
        <w:tab/>
        <w:t>Robert</w:t>
      </w:r>
      <w:r>
        <w:rPr>
          <w:spacing w:val="-1"/>
        </w:rPr>
        <w:t> </w:t>
      </w:r>
      <w:r>
        <w:rPr/>
        <w:t>Gall</w:t>
      </w:r>
    </w:p>
    <w:p>
      <w:pPr>
        <w:pStyle w:val="BodyText"/>
        <w:tabs>
          <w:tab w:pos="2461" w:val="left" w:leader="none"/>
        </w:tabs>
        <w:spacing w:before="3"/>
        <w:ind w:left="193"/>
      </w:pPr>
      <w:r>
        <w:rPr/>
        <w:t>ICE</w:t>
      </w:r>
      <w:r>
        <w:rPr>
          <w:spacing w:val="-2"/>
        </w:rPr>
        <w:t> </w:t>
      </w:r>
      <w:r>
        <w:rPr/>
        <w:t>Futures</w:t>
        <w:tab/>
        <w:t>Matthew</w:t>
      </w:r>
      <w:r>
        <w:rPr>
          <w:spacing w:val="-6"/>
        </w:rPr>
        <w:t> </w:t>
      </w:r>
      <w:r>
        <w:rPr/>
        <w:t>Horton</w:t>
      </w:r>
    </w:p>
    <w:p>
      <w:pPr>
        <w:pStyle w:val="BodyText"/>
        <w:tabs>
          <w:tab w:pos="2461" w:val="left" w:leader="none"/>
        </w:tabs>
        <w:spacing w:before="116"/>
        <w:ind w:left="193"/>
      </w:pPr>
      <w:r>
        <w:rPr/>
        <w:t>ISDA</w:t>
        <w:tab/>
        <w:t>Jonathan</w:t>
      </w:r>
      <w:r>
        <w:rPr>
          <w:spacing w:val="-4"/>
        </w:rPr>
        <w:t> </w:t>
      </w:r>
      <w:r>
        <w:rPr/>
        <w:t>Martin</w:t>
      </w:r>
    </w:p>
    <w:p>
      <w:pPr>
        <w:pStyle w:val="BodyText"/>
        <w:tabs>
          <w:tab w:pos="2461" w:val="left" w:leader="none"/>
        </w:tabs>
        <w:spacing w:before="116"/>
        <w:ind w:left="193"/>
      </w:pPr>
      <w:r>
        <w:rPr/>
        <w:t>JP</w:t>
      </w:r>
      <w:r>
        <w:rPr>
          <w:spacing w:val="-3"/>
        </w:rPr>
        <w:t> </w:t>
      </w:r>
      <w:r>
        <w:rPr/>
        <w:t>Morgan AM</w:t>
        <w:tab/>
        <w:t>Olivia</w:t>
      </w:r>
      <w:r>
        <w:rPr>
          <w:spacing w:val="1"/>
        </w:rPr>
        <w:t> </w:t>
      </w:r>
      <w:r>
        <w:rPr/>
        <w:t>Maguire</w:t>
      </w:r>
    </w:p>
    <w:p>
      <w:pPr>
        <w:pStyle w:val="BodyText"/>
        <w:tabs>
          <w:tab w:pos="2461" w:val="left" w:leader="none"/>
        </w:tabs>
        <w:spacing w:before="113"/>
        <w:ind w:left="193"/>
      </w:pPr>
      <w:r>
        <w:rPr/>
        <w:t>LCH</w:t>
        <w:tab/>
        <w:t>Philip</w:t>
      </w:r>
      <w:r>
        <w:rPr>
          <w:spacing w:val="-4"/>
        </w:rPr>
        <w:t> </w:t>
      </w:r>
      <w:r>
        <w:rPr/>
        <w:t>Whitehurst</w:t>
      </w:r>
    </w:p>
    <w:p>
      <w:pPr>
        <w:pStyle w:val="BodyText"/>
        <w:tabs>
          <w:tab w:pos="2461" w:val="left" w:leader="none"/>
        </w:tabs>
        <w:spacing w:before="115"/>
        <w:ind w:left="193"/>
      </w:pPr>
      <w:r>
        <w:rPr/>
        <w:t>LGIM</w:t>
        <w:tab/>
        <w:t>John</w:t>
      </w:r>
      <w:r>
        <w:rPr>
          <w:spacing w:val="-4"/>
        </w:rPr>
        <w:t> </w:t>
      </w:r>
      <w:r>
        <w:rPr/>
        <w:t>Wherton</w:t>
      </w:r>
    </w:p>
    <w:p>
      <w:pPr>
        <w:pStyle w:val="BodyText"/>
        <w:tabs>
          <w:tab w:pos="2461" w:val="left" w:leader="none"/>
        </w:tabs>
        <w:spacing w:line="360" w:lineRule="auto" w:before="116"/>
        <w:ind w:left="193" w:right="6350"/>
      </w:pPr>
      <w:r>
        <w:rPr/>
        <w:t>Mizuho</w:t>
        <w:tab/>
        <w:t>Rob Thurlow RBC</w:t>
      </w:r>
      <w:r>
        <w:rPr>
          <w:spacing w:val="-2"/>
        </w:rPr>
        <w:t> </w:t>
      </w:r>
      <w:r>
        <w:rPr/>
        <w:t>Capital</w:t>
      </w:r>
      <w:r>
        <w:rPr>
          <w:spacing w:val="-3"/>
        </w:rPr>
        <w:t> </w:t>
      </w:r>
      <w:r>
        <w:rPr/>
        <w:t>Markets</w:t>
        <w:tab/>
        <w:t>Sean Taor RBS</w:t>
        <w:tab/>
        <w:t>Donal</w:t>
      </w:r>
      <w:r>
        <w:rPr>
          <w:spacing w:val="-5"/>
        </w:rPr>
        <w:t> </w:t>
      </w:r>
      <w:r>
        <w:rPr/>
        <w:t>Quaid</w:t>
      </w:r>
    </w:p>
    <w:p>
      <w:pPr>
        <w:pStyle w:val="BodyText"/>
        <w:tabs>
          <w:tab w:pos="2461" w:val="left" w:leader="none"/>
        </w:tabs>
        <w:spacing w:line="360" w:lineRule="auto"/>
        <w:ind w:left="193" w:right="6085"/>
      </w:pPr>
      <w:r>
        <w:rPr/>
        <w:t>Société</w:t>
      </w:r>
      <w:r>
        <w:rPr>
          <w:spacing w:val="-4"/>
        </w:rPr>
        <w:t> </w:t>
      </w:r>
      <w:r>
        <w:rPr/>
        <w:t>Generalé</w:t>
        <w:tab/>
        <w:t>Romain </w:t>
      </w:r>
      <w:r>
        <w:rPr>
          <w:spacing w:val="-3"/>
        </w:rPr>
        <w:t>Sinclair </w:t>
      </w:r>
      <w:r>
        <w:rPr/>
        <w:t>TP</w:t>
      </w:r>
      <w:r>
        <w:rPr>
          <w:spacing w:val="-3"/>
        </w:rPr>
        <w:t> </w:t>
      </w:r>
      <w:r>
        <w:rPr/>
        <w:t>ICAP</w:t>
        <w:tab/>
        <w:t>Philip</w:t>
      </w:r>
      <w:r>
        <w:rPr>
          <w:spacing w:val="-2"/>
        </w:rPr>
        <w:t> </w:t>
      </w:r>
      <w:r>
        <w:rPr/>
        <w:t>Chilvers</w:t>
      </w:r>
    </w:p>
    <w:p>
      <w:pPr>
        <w:pStyle w:val="BodyText"/>
        <w:tabs>
          <w:tab w:pos="2461" w:val="left" w:leader="none"/>
        </w:tabs>
        <w:spacing w:line="229" w:lineRule="exact"/>
        <w:ind w:left="193"/>
      </w:pPr>
      <w:r>
        <w:rPr/>
        <w:t>Bank</w:t>
      </w:r>
      <w:r>
        <w:rPr>
          <w:spacing w:val="1"/>
        </w:rPr>
        <w:t> </w:t>
      </w:r>
      <w:r>
        <w:rPr/>
        <w:t>of</w:t>
      </w:r>
      <w:r>
        <w:rPr>
          <w:spacing w:val="-1"/>
        </w:rPr>
        <w:t> </w:t>
      </w:r>
      <w:r>
        <w:rPr/>
        <w:t>England</w:t>
        <w:tab/>
        <w:t>Jo</w:t>
      </w:r>
      <w:r>
        <w:rPr>
          <w:spacing w:val="-1"/>
        </w:rPr>
        <w:t> </w:t>
      </w:r>
      <w:r>
        <w:rPr/>
        <w:t>Place</w:t>
      </w:r>
    </w:p>
    <w:p>
      <w:pPr>
        <w:pStyle w:val="BodyText"/>
        <w:spacing w:line="360" w:lineRule="auto" w:before="116"/>
        <w:ind w:left="2461" w:right="6085"/>
      </w:pPr>
      <w:r>
        <w:rPr/>
        <w:t>Dave </w:t>
      </w:r>
      <w:r>
        <w:rPr>
          <w:spacing w:val="-3"/>
        </w:rPr>
        <w:t>Ramsden </w:t>
      </w:r>
      <w:r>
        <w:rPr/>
        <w:t>Will</w:t>
      </w:r>
      <w:r>
        <w:rPr>
          <w:spacing w:val="-2"/>
        </w:rPr>
        <w:t> </w:t>
      </w:r>
      <w:r>
        <w:rPr/>
        <w:t>Parry</w:t>
      </w:r>
    </w:p>
    <w:p>
      <w:pPr>
        <w:pStyle w:val="BodyText"/>
        <w:spacing w:before="1"/>
        <w:ind w:left="2461"/>
      </w:pPr>
      <w:r>
        <w:rPr/>
        <w:t>Tom</w:t>
      </w:r>
      <w:r>
        <w:rPr>
          <w:spacing w:val="-1"/>
        </w:rPr>
        <w:t> </w:t>
      </w:r>
      <w:r>
        <w:rPr/>
        <w:t>Horn</w:t>
      </w:r>
    </w:p>
    <w:p>
      <w:pPr>
        <w:pStyle w:val="BodyText"/>
        <w:spacing w:before="113"/>
        <w:ind w:left="2461"/>
      </w:pPr>
      <w:r>
        <w:rPr/>
        <w:t>Joanna McLafferty</w:t>
      </w:r>
    </w:p>
    <w:p>
      <w:pPr>
        <w:spacing w:after="0"/>
        <w:sectPr>
          <w:pgSz w:w="11910" w:h="16840"/>
          <w:pgMar w:header="0" w:footer="439" w:top="1320" w:bottom="620" w:left="940" w:right="1020"/>
        </w:sectPr>
      </w:pPr>
    </w:p>
    <w:p>
      <w:pPr>
        <w:spacing w:before="1"/>
        <w:ind w:left="251" w:right="0" w:firstLine="0"/>
        <w:jc w:val="center"/>
        <w:rPr>
          <w:rFonts w:ascii="Calibri"/>
          <w:b/>
          <w:sz w:val="40"/>
        </w:rPr>
      </w:pPr>
      <w:r>
        <w:rPr>
          <w:rFonts w:ascii="Calibri"/>
          <w:b/>
          <w:sz w:val="40"/>
        </w:rPr>
        <w:t>SONIA Stakeholder Advisory Group</w:t>
      </w:r>
    </w:p>
    <w:p>
      <w:pPr>
        <w:spacing w:before="61"/>
        <w:ind w:left="256" w:right="0" w:firstLine="0"/>
        <w:jc w:val="center"/>
        <w:rPr>
          <w:rFonts w:ascii="Calibri"/>
          <w:sz w:val="32"/>
        </w:rPr>
      </w:pPr>
      <w:r>
        <w:rPr>
          <w:rFonts w:ascii="Calibri"/>
          <w:sz w:val="32"/>
        </w:rPr>
        <w:t>September 2019</w:t>
      </w:r>
    </w:p>
    <w:p>
      <w:pPr>
        <w:pStyle w:val="BodyText"/>
        <w:spacing w:before="9"/>
        <w:rPr>
          <w:rFonts w:ascii="Calibri"/>
          <w:sz w:val="11"/>
        </w:rPr>
      </w:pPr>
    </w:p>
    <w:p>
      <w:pPr>
        <w:pStyle w:val="Heading1"/>
        <w:spacing w:before="31"/>
      </w:pPr>
      <w:r>
        <w:rPr/>
        <w:t>Published SONIA statistics</w:t>
      </w:r>
    </w:p>
    <w:p>
      <w:pPr>
        <w:pStyle w:val="BodyText"/>
        <w:spacing w:before="8"/>
        <w:rPr>
          <w:rFonts w:ascii="Calibri"/>
        </w:rPr>
      </w:pPr>
    </w:p>
    <w:p>
      <w:pPr>
        <w:pStyle w:val="Heading2"/>
      </w:pPr>
      <w:r>
        <w:rPr/>
        <w:pict>
          <v:group style="position:absolute;margin-left:0pt;margin-top:17.441444pt;width:525.1pt;height:196.8pt;mso-position-horizontal-relative:page;mso-position-vertical-relative:paragraph;z-index:251669504" coordorigin="0,349" coordsize="10502,3936">
            <v:rect style="position:absolute;left:0;top:348;width:10502;height:3936" filled="true" fillcolor="#ffffff" stroked="false">
              <v:fill type="solid"/>
            </v:rect>
            <v:rect style="position:absolute;left:388;top:785;width:9784;height:3220" filled="false" stroked="true" strokeweight=".490834pt" strokecolor="#000000">
              <v:stroke dashstyle="solid"/>
            </v:rect>
            <v:shape style="position:absolute;left:383;top:1369;width:9774;height:2640" coordorigin="383,1370" coordsize="9774,2640" path="m551,1510l521,1530,452,1570,423,1610,403,1770,383,1970,383,4010,10157,4010,10157,2250,3795,2250,3793,2230,3294,2230,3274,2210,3245,2090,3235,2070,3127,2070,3121,2030,1790,2030,1775,1830,1455,1830,1448,1790,590,1790,570,1590,551,1510xm3963,2010l3943,2010,3864,2170,3795,2250,4031,2250,3963,2010xm4110,1710l4081,1850,4031,2250,10157,2250,10157,2170,6136,2170,6129,2090,4779,2090,4755,2010,4562,2010,4543,1950,4464,1930,4454,1890,4277,1890,4258,1810,4228,1810,4221,1750,4130,1750,4110,1710xm3412,1830l3392,1890,3363,1910,3294,2230,3793,2230,3776,2050,3746,1890,3741,1850,3441,1850,3412,1830xm6263,1710l6214,1770,6136,2170,10157,2170,10157,2070,6617,2070,6602,1830,6283,1830,6263,1710xm4877,1750l4798,1910,4779,2090,6129,2090,6121,1990,5447,1990,5444,1970,4946,1970,4922,1890,4897,1890,4877,1750xm3196,2010l3127,2070,3235,2070,3225,2050,3196,2010xm6735,1730l6617,2070,10157,2070,10157,2050,8122,2050,8116,2010,6903,2010,6890,1910,6785,1910,6765,1810,6735,1730xm8220,1710l8151,1910,8122,2050,8318,2050,8289,2030,8275,1890,8240,1890,8220,1710xm8387,1610l8318,2050,9990,2050,9965,1950,9823,1950,9793,1910,9788,1870,9105,1870,9098,1830,8820,1830,8790,1790,8788,1770,8623,1770,8604,1690,8596,1650,8407,1650,8387,1610xm10059,1810l9990,2050,10157,2050,10157,2030,10134,1870,10088,1870,10059,1810xm1888,1710l1858,1770,1790,2030,2576,2030,2556,1890,2458,1890,2438,1830,2435,1810,1957,1810,1937,1750,1908,1730,1888,1710xm2694,1810l2625,1890,2606,1910,2576,2030,3121,2030,3107,1930,3103,1910,2861,1910,2827,1890,2773,1890,2758,1870,2724,1870,2694,1810xm4582,1930l4562,2010,4755,2010,4749,1990,4612,1990,4582,1930xm6932,1650l6903,2010,8116,2010,8111,1970,7601,1970,7589,1850,7315,1850,7293,1730,6981,1730,6952,1690,6932,1650xm4729,1790l4710,1790,4631,1970,4612,1990,4749,1990,4729,1790xm5546,1690l5467,1890,5447,1990,6121,1990,6116,1930,6101,1870,5595,1870,5565,1810,5546,1690xm5083,1790l5064,1850,5044,1890,4965,1930,4946,1970,5113,1970,5083,1790xm5133,1810l5113,1970,5444,1970,5434,1910,5300,1910,5297,1890,5211,1890,5133,1810xm7620,1890l7601,1970,7650,1970,7620,1890xm7768,1750l7738,1770,7719,1790,7650,1970,8111,1970,8102,1910,8097,1870,7787,1870,7768,1750xm9892,1790l9823,1950,9965,1950,9960,1930,9945,1850,9921,1850,9892,1790xm2940,1750l2910,1810,2891,1810,2861,1910,3103,1910,3094,1870,2960,1870,2940,1750xm5398,1790l5378,1810,5300,1910,5434,1910,5428,1870,5398,1790xm6883,1850l6814,1850,6785,1910,6890,1910,6883,1850xm2527,1750l2458,1890,2556,1890,2527,1750xm2792,1870l2773,1890,2827,1890,2792,1870xm4376,1650l4297,1850,4277,1890,4454,1890,4444,1850,4415,1830,4395,1710,4376,1650xm4916,1870l4897,1890,4922,1890,4916,1870xm5231,1750l5211,1890,5297,1890,5295,1870,5251,1870,5231,1750xm8269,1830l8240,1890,8275,1890,8269,1830xm2743,1850l2724,1870,2758,1870,2743,1850xm3058,1750l3028,1770,2960,1870,3094,1870,3078,1790,3058,1750xm5280,1750l5251,1870,5295,1870,5280,1750xm5614,1610l5595,1870,6101,1870,6096,1850,6087,1770,5949,1770,5944,1750,5801,1750,5782,1690,5774,1650,5634,1650,5614,1610xm7886,1530l7817,1770,7787,1870,8097,1870,8094,1850,7955,1850,7935,1690,7905,1610,7886,1530xm9154,1590l9125,1610,9105,1870,9788,1870,9781,1810,9439,1810,9424,1650,9321,1650,9311,1630,9223,1630,9154,1590xm10108,1770l10088,1870,10134,1870,10128,1830,10108,1770xm3530,1650l3461,1770,3441,1850,3609,1850,3589,1690,3559,1690,3530,1650xm3628,1830l3609,1850,3697,1850,3628,1830xm3727,1750l3697,1850,3741,1850,3727,1750xm7384,1650l7315,1850,7589,1850,7587,1830,7483,1830,7453,1790,7440,1670,7404,1670,7384,1650xm8073,1690l8053,1730,7984,1850,8094,1850,8073,1690xm9941,1830l9921,1850,9945,1850,9941,1830xm1573,1610l1554,1630,1524,1670,1455,1830,1775,1830,1773,1790,1622,1790,1593,1710,1573,1610xm6598,1770l6568,1810,6303,1810,6283,1830,6602,1830,6598,1770xm7571,1670l7483,1830,7587,1830,7571,1670xm8889,1590l8820,1830,9098,1830,9092,1790,8987,1790,8958,1690,8908,1690,8889,1590xm2055,1510l2026,1750,1957,1810,2435,1810,2419,1710,2124,1710,2104,1670,2075,1590,2055,1510xm4248,1770l4228,1810,4258,1810,4248,1770xm6431,1570l6401,1650,6381,1810,6568,1810,6553,1690,6470,1690,6450,1670,6431,1570xm9459,1510l9439,1810,9781,1810,9776,1770,9656,1770,9626,1670,9488,1670,9459,1510xm718,1490l688,1550,619,1770,590,1790,1121,1790,1101,1750,954,1750,942,1710,787,1710,757,1610,737,1530,718,1490xm1219,1430l1190,1570,1121,1790,1448,1790,1429,1690,1259,1690,1239,1530,1219,1430xm1691,1670l1622,1790,1773,1790,1770,1750,1721,1750,1691,1670xm9056,1670l8987,1790,9092,1790,9076,1690,9056,1670xm6067,1590l6047,1690,5968,1710,5949,1770,6087,1770,6067,1590xm8741,1550l8722,1630,8653,1750,8623,1770,8788,1770,8771,1630,8741,1550xm9774,1750l9754,1770,9776,1770,9774,1750xm1052,1530l954,1750,1101,1750,1091,1730,1072,1610,1052,1530xm1740,1730l1721,1750,1770,1750,1740,1730xm4208,1650l4130,1750,4221,1750,4208,1650xm5900,1670l5880,1690,5801,1750,5944,1750,5929,1690,5900,1670xm7070,1530l6981,1730,7217,1730,7148,1690,7134,1650,7099,1650,7070,1530xm7237,1650l7217,1730,7293,1730,7286,1690,7266,1670,7237,1650xm905,1630l885,1690,855,1690,787,1710,942,1710,924,1650,905,1630xm2222,1370l2193,1490,2124,1710,2419,1710,2412,1670,2291,1670,2271,1630,2242,1490,2222,1370xm1357,1470l1288,1610,1259,1690,1429,1690,1426,1670,1413,1590,1386,1590,1357,1470xm3579,1610l3559,1690,3589,1690,3579,1610xm6549,1650l6470,1690,6553,1690,6549,1650xm8938,1590l8908,1690,8958,1690,8938,1590xm2360,1570l2291,1670,2412,1670,2409,1650,2389,1610,2360,1570xm7433,1610l7404,1670,7440,1670,7433,1610xm9606,1450l9587,1530,9557,1590,9488,1670,9626,1670,9606,1450xm5762,1590l5732,1590,5713,1630,5634,1650,5774,1650,5762,1590xm7119,1610l7099,1650,7134,1650,7119,1610xm8436,1570l8407,1650,8596,1650,8589,1610,8456,1610,8436,1570xm9390,1570l9321,1650,9424,1650,9420,1610,9390,1570xm9272,1450l9252,1550,9223,1630,9311,1630,9292,1590,9272,1450xm8486,1570l8456,1610,8554,1610,8486,1570xm8574,1530l8554,1610,8589,1610,8574,1530xm1406,1550l1386,1590,1413,1590,1406,1550xe" filled="true" fillcolor="#4f81bc" stroked="false">
              <v:path arrowok="t"/>
              <v:fill type="solid"/>
            </v:shape>
            <v:shape style="position:absolute;left:474;top:7659;width:11988;height:3996" coordorigin="474,7659" coordsize="11988,3996" path="m388,4005l10172,4005m388,4005l388,4054m1136,4005l1136,4054m1853,4005l1853,4054m2591,4005l2591,4054m3309,4005l3309,4054m4046,4005l4046,4054m4793,4005l4793,4054m5462,4005l5462,4054m6199,4005l6199,4054m6917,4005l6917,4054m7655,4005l7655,4054m8372,4005l8372,4054m9120,4005l9120,4054m9857,4005l9857,4054m10172,4005l10172,786m10172,4005l10211,4005m10172,3465l10211,3465m10172,2935l10211,2935m10172,2395l10211,2395m10172,1855l10211,1855m10172,1325l10211,1325m10172,786l10211,786e" filled="false" stroked="true" strokeweight=".491189pt" strokecolor="#000000">
              <v:path arrowok="t"/>
              <v:stroke dashstyle="solid"/>
            </v:shape>
            <v:shape style="position:absolute;left:0;top:348;width:10502;height:3936" type="#_x0000_t202" filled="false" stroked="false">
              <v:textbox inset="0,0,0,0">
                <w:txbxContent>
                  <w:p>
                    <w:pPr>
                      <w:spacing w:before="104"/>
                      <w:ind w:left="0" w:right="121" w:firstLine="0"/>
                      <w:jc w:val="right"/>
                      <w:rPr>
                        <w:sz w:val="14"/>
                      </w:rPr>
                    </w:pPr>
                    <w:r>
                      <w:rPr>
                        <w:w w:val="105"/>
                        <w:sz w:val="14"/>
                      </w:rPr>
                      <w:t>£Bns</w:t>
                    </w:r>
                  </w:p>
                  <w:p>
                    <w:pPr>
                      <w:spacing w:before="92"/>
                      <w:ind w:left="0" w:right="36" w:firstLine="0"/>
                      <w:jc w:val="right"/>
                      <w:rPr>
                        <w:sz w:val="14"/>
                      </w:rPr>
                    </w:pPr>
                    <w:r>
                      <w:rPr>
                        <w:spacing w:val="-5"/>
                        <w:w w:val="105"/>
                        <w:sz w:val="14"/>
                      </w:rPr>
                      <w:t>60</w:t>
                    </w:r>
                  </w:p>
                  <w:p>
                    <w:pPr>
                      <w:spacing w:line="240" w:lineRule="auto" w:before="0"/>
                      <w:rPr>
                        <w:sz w:val="16"/>
                      </w:rPr>
                    </w:pPr>
                  </w:p>
                  <w:p>
                    <w:pPr>
                      <w:spacing w:line="240" w:lineRule="auto" w:before="9"/>
                      <w:rPr>
                        <w:sz w:val="16"/>
                      </w:rPr>
                    </w:pPr>
                  </w:p>
                  <w:p>
                    <w:pPr>
                      <w:spacing w:before="0"/>
                      <w:ind w:left="0" w:right="36" w:firstLine="0"/>
                      <w:jc w:val="right"/>
                      <w:rPr>
                        <w:sz w:val="14"/>
                      </w:rPr>
                    </w:pPr>
                    <w:r>
                      <w:rPr>
                        <w:spacing w:val="-5"/>
                        <w:w w:val="105"/>
                        <w:sz w:val="14"/>
                      </w:rPr>
                      <w:t>50</w:t>
                    </w:r>
                  </w:p>
                  <w:p>
                    <w:pPr>
                      <w:spacing w:line="240" w:lineRule="auto" w:before="0"/>
                      <w:rPr>
                        <w:sz w:val="16"/>
                      </w:rPr>
                    </w:pPr>
                  </w:p>
                  <w:p>
                    <w:pPr>
                      <w:spacing w:line="240" w:lineRule="auto" w:before="9"/>
                      <w:rPr>
                        <w:sz w:val="16"/>
                      </w:rPr>
                    </w:pPr>
                  </w:p>
                  <w:p>
                    <w:pPr>
                      <w:spacing w:before="0"/>
                      <w:ind w:left="0" w:right="36" w:firstLine="0"/>
                      <w:jc w:val="right"/>
                      <w:rPr>
                        <w:sz w:val="14"/>
                      </w:rPr>
                    </w:pPr>
                    <w:r>
                      <w:rPr>
                        <w:spacing w:val="-5"/>
                        <w:w w:val="105"/>
                        <w:sz w:val="14"/>
                      </w:rPr>
                      <w:t>40</w:t>
                    </w:r>
                  </w:p>
                  <w:p>
                    <w:pPr>
                      <w:spacing w:line="240" w:lineRule="auto" w:before="0"/>
                      <w:rPr>
                        <w:sz w:val="16"/>
                      </w:rPr>
                    </w:pPr>
                  </w:p>
                  <w:p>
                    <w:pPr>
                      <w:spacing w:line="240" w:lineRule="auto" w:before="10"/>
                      <w:rPr>
                        <w:sz w:val="16"/>
                      </w:rPr>
                    </w:pPr>
                  </w:p>
                  <w:p>
                    <w:pPr>
                      <w:spacing w:before="0"/>
                      <w:ind w:left="0" w:right="36" w:firstLine="0"/>
                      <w:jc w:val="right"/>
                      <w:rPr>
                        <w:sz w:val="14"/>
                      </w:rPr>
                    </w:pPr>
                    <w:r>
                      <w:rPr>
                        <w:spacing w:val="-5"/>
                        <w:w w:val="105"/>
                        <w:sz w:val="14"/>
                      </w:rPr>
                      <w:t>30</w:t>
                    </w:r>
                  </w:p>
                  <w:p>
                    <w:pPr>
                      <w:spacing w:line="240" w:lineRule="auto" w:before="0"/>
                      <w:rPr>
                        <w:sz w:val="16"/>
                      </w:rPr>
                    </w:pPr>
                  </w:p>
                  <w:p>
                    <w:pPr>
                      <w:spacing w:line="240" w:lineRule="auto" w:before="9"/>
                      <w:rPr>
                        <w:sz w:val="16"/>
                      </w:rPr>
                    </w:pPr>
                  </w:p>
                  <w:p>
                    <w:pPr>
                      <w:spacing w:before="0"/>
                      <w:ind w:left="0" w:right="36" w:firstLine="0"/>
                      <w:jc w:val="right"/>
                      <w:rPr>
                        <w:sz w:val="14"/>
                      </w:rPr>
                    </w:pPr>
                    <w:r>
                      <w:rPr>
                        <w:spacing w:val="-5"/>
                        <w:w w:val="105"/>
                        <w:sz w:val="14"/>
                      </w:rPr>
                      <w:t>20</w:t>
                    </w:r>
                  </w:p>
                  <w:p>
                    <w:pPr>
                      <w:spacing w:line="240" w:lineRule="auto" w:before="0"/>
                      <w:rPr>
                        <w:sz w:val="16"/>
                      </w:rPr>
                    </w:pPr>
                  </w:p>
                  <w:p>
                    <w:pPr>
                      <w:spacing w:line="240" w:lineRule="auto" w:before="9"/>
                      <w:rPr>
                        <w:sz w:val="16"/>
                      </w:rPr>
                    </w:pPr>
                  </w:p>
                  <w:p>
                    <w:pPr>
                      <w:spacing w:before="0"/>
                      <w:ind w:left="0" w:right="36" w:firstLine="0"/>
                      <w:jc w:val="right"/>
                      <w:rPr>
                        <w:sz w:val="14"/>
                      </w:rPr>
                    </w:pPr>
                    <w:r>
                      <w:rPr>
                        <w:spacing w:val="-5"/>
                        <w:w w:val="105"/>
                        <w:sz w:val="14"/>
                      </w:rPr>
                      <w:t>10</w:t>
                    </w:r>
                  </w:p>
                  <w:p>
                    <w:pPr>
                      <w:spacing w:line="240" w:lineRule="auto" w:before="0"/>
                      <w:rPr>
                        <w:sz w:val="16"/>
                      </w:rPr>
                    </w:pPr>
                  </w:p>
                  <w:p>
                    <w:pPr>
                      <w:spacing w:line="240" w:lineRule="auto" w:before="10"/>
                      <w:rPr>
                        <w:sz w:val="16"/>
                      </w:rPr>
                    </w:pPr>
                  </w:p>
                  <w:p>
                    <w:pPr>
                      <w:spacing w:before="0"/>
                      <w:ind w:left="10304" w:right="0" w:firstLine="0"/>
                      <w:jc w:val="left"/>
                      <w:rPr>
                        <w:sz w:val="14"/>
                      </w:rPr>
                    </w:pPr>
                    <w:r>
                      <w:rPr>
                        <w:w w:val="105"/>
                        <w:sz w:val="14"/>
                      </w:rPr>
                      <w:t>0</w:t>
                    </w:r>
                  </w:p>
                  <w:p>
                    <w:pPr>
                      <w:tabs>
                        <w:tab w:pos="906" w:val="left" w:leader="none"/>
                        <w:tab w:pos="1640" w:val="left" w:leader="none"/>
                        <w:tab w:pos="2366" w:val="left" w:leader="none"/>
                        <w:tab w:pos="3084" w:val="left" w:leader="none"/>
                        <w:tab w:pos="3838" w:val="left" w:leader="none"/>
                        <w:tab w:pos="4571" w:val="left" w:leader="none"/>
                        <w:tab w:pos="5242" w:val="left" w:leader="none"/>
                        <w:tab w:pos="5995" w:val="left" w:leader="none"/>
                        <w:tab w:pos="6689" w:val="left" w:leader="none"/>
                        <w:tab w:pos="7451" w:val="left" w:leader="none"/>
                        <w:tab w:pos="8193" w:val="left" w:leader="none"/>
                        <w:tab w:pos="8898" w:val="left" w:leader="none"/>
                        <w:tab w:pos="9640" w:val="left" w:leader="none"/>
                      </w:tabs>
                      <w:spacing w:before="14"/>
                      <w:ind w:left="164" w:right="0" w:firstLine="0"/>
                      <w:jc w:val="left"/>
                      <w:rPr>
                        <w:sz w:val="14"/>
                      </w:rPr>
                    </w:pPr>
                    <w:r>
                      <w:rPr>
                        <w:w w:val="105"/>
                        <w:sz w:val="14"/>
                      </w:rPr>
                      <w:t>Aug-18</w:t>
                      <w:tab/>
                      <w:t>Sep-18</w:t>
                      <w:tab/>
                      <w:t>Oct-18</w:t>
                      <w:tab/>
                      <w:t>Nov-18</w:t>
                      <w:tab/>
                      <w:t>Dec-18</w:t>
                      <w:tab/>
                      <w:t>Jan-19</w:t>
                      <w:tab/>
                      <w:t>Feb-19</w:t>
                      <w:tab/>
                      <w:t>Mar-19</w:t>
                      <w:tab/>
                      <w:t>Apr-19</w:t>
                      <w:tab/>
                      <w:t>May-19</w:t>
                      <w:tab/>
                      <w:t>Jun-19</w:t>
                      <w:tab/>
                      <w:t>Jul-19</w:t>
                      <w:tab/>
                      <w:t>Aug-19</w:t>
                      <w:tab/>
                      <w:t>Sep-19</w:t>
                    </w:r>
                  </w:p>
                </w:txbxContent>
              </v:textbox>
              <w10:wrap type="none"/>
            </v:shape>
            <w10:wrap type="none"/>
          </v:group>
        </w:pict>
      </w:r>
      <w:r>
        <w:rPr/>
        <w:t>Chart 1: SONIA volumes</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11"/>
        <w:rPr>
          <w:rFonts w:ascii="Calibri"/>
          <w:sz w:val="24"/>
        </w:rPr>
      </w:pPr>
    </w:p>
    <w:p>
      <w:pPr>
        <w:spacing w:before="60"/>
        <w:ind w:left="511" w:right="0" w:firstLine="0"/>
        <w:jc w:val="left"/>
        <w:rPr>
          <w:rFonts w:ascii="Calibri"/>
          <w:i/>
          <w:sz w:val="20"/>
        </w:rPr>
      </w:pPr>
      <w:r>
        <w:rPr>
          <w:rFonts w:ascii="Calibri"/>
          <w:i/>
          <w:sz w:val="20"/>
        </w:rPr>
        <w:t>Source: Bank of England</w:t>
      </w:r>
    </w:p>
    <w:p>
      <w:pPr>
        <w:pStyle w:val="BodyText"/>
        <w:rPr>
          <w:rFonts w:ascii="Calibri"/>
          <w:i/>
        </w:rPr>
      </w:pPr>
    </w:p>
    <w:p>
      <w:pPr>
        <w:pStyle w:val="BodyText"/>
        <w:rPr>
          <w:rFonts w:ascii="Calibri"/>
          <w:i/>
        </w:rPr>
      </w:pPr>
    </w:p>
    <w:p>
      <w:pPr>
        <w:pStyle w:val="BodyText"/>
        <w:spacing w:before="7"/>
        <w:rPr>
          <w:rFonts w:ascii="Calibri"/>
          <w:i/>
          <w:sz w:val="19"/>
        </w:rPr>
      </w:pPr>
    </w:p>
    <w:p>
      <w:pPr>
        <w:pStyle w:val="Heading2"/>
        <w:ind w:left="778"/>
      </w:pPr>
      <w:r>
        <w:rPr/>
        <w:t>Chart 2: SONIA rates and percentiles</w:t>
      </w:r>
    </w:p>
    <w:p>
      <w:pPr>
        <w:pStyle w:val="BodyText"/>
        <w:spacing w:before="6"/>
        <w:rPr>
          <w:rFonts w:ascii="Calibri"/>
          <w:sz w:val="27"/>
        </w:rPr>
      </w:pPr>
    </w:p>
    <w:p>
      <w:pPr>
        <w:spacing w:after="0"/>
        <w:rPr>
          <w:rFonts w:ascii="Calibri"/>
          <w:sz w:val="27"/>
        </w:rPr>
        <w:sectPr>
          <w:footerReference w:type="default" r:id="rId22"/>
          <w:pgSz w:w="10800" w:h="14400"/>
          <w:pgMar w:footer="880" w:header="0" w:top="680" w:bottom="1060" w:left="0" w:right="0"/>
        </w:sectPr>
      </w:pPr>
    </w:p>
    <w:p>
      <w:pPr>
        <w:tabs>
          <w:tab w:pos="5284" w:val="left" w:leader="none"/>
          <w:tab w:pos="8166" w:val="left" w:leader="none"/>
        </w:tabs>
        <w:spacing w:before="102"/>
        <w:ind w:left="2402" w:right="0" w:firstLine="0"/>
        <w:jc w:val="left"/>
        <w:rPr>
          <w:sz w:val="14"/>
        </w:rPr>
      </w:pPr>
      <w:r>
        <w:rPr/>
        <w:pict>
          <v:group style="position:absolute;margin-left:19.493147pt;margin-top:18.326197pt;width:488.7pt;height:173.3pt;mso-position-horizontal-relative:page;mso-position-vertical-relative:paragraph;z-index:251664384" coordorigin="390,367" coordsize="9774,3466">
            <v:rect style="position:absolute;left:404;top:371;width:9755;height:3422" filled="false" stroked="true" strokeweight=".488925pt" strokecolor="#000000">
              <v:stroke dashstyle="solid"/>
            </v:rect>
            <v:shape style="position:absolute;left:399;top:2077;width:9745;height:1721" coordorigin="400,2078" coordsize="9745,1721" path="m419,2420l400,2762,400,3798,404,3798,419,2938,8538,2938,8558,2762,1761,2762,1732,2596,488,2596,419,2420xm3720,2938l3602,2938,3671,3280,3700,3104,3720,2938xm9233,2762l8558,2762,8587,2938,9204,2938,9233,2762xm9547,2762l9233,2762,9253,2938,9468,2938,9547,2762xm9596,2762l9547,2762,9566,2938,9596,2762xm10076,2762l9615,2762,9635,2938,10046,2938,10076,2762xm2378,2420l1830,2420,1761,2762,10076,2762,10095,2938,10144,2938,10144,2596,2407,2596,2378,2420xm1418,2420l537,2420,507,2596,1497,2596,1418,2420xm1516,2420l1497,2596,1545,2596,1516,2420xm2525,2420l2427,2420,2407,2596,2544,2596,2525,2420xm2574,2420l2544,2596,2593,2596,2574,2420xm2760,2420l2672,2420,2593,2596,2838,2596,2760,2420xm3240,2420l2858,2420,2838,2596,3269,2596,3240,2420xm3338,2420l3269,2596,3367,2596,3338,2420xm3553,2420l3387,2420,3367,2596,3583,2596,3553,2420xm3602,2420l3583,2596,3671,2596,3602,2420xm3935,2420l3720,2420,3700,2596,4013,2596,3935,2420xm6090,2420l4062,2420,4013,2596,6119,2596,6090,2420xm8372,2078l8293,2420,6188,2420,6119,2596,10144,2596,10144,2253,8391,2253,8372,2078xm5571,2253l5541,2420,5590,2420,5571,2253xm6570,2078l6550,2078,6521,2253,6286,2253,6266,2420,6599,2420,6570,2078xm6736,2078l6717,2078,6599,2420,7392,2420,7363,2253,6765,2253,6736,2078xm7431,2078l7412,2253,7392,2420,7461,2420,7431,2078xm7911,2078l7892,2253,7745,2253,7725,2420,7960,2420,7941,2253,7911,2078xm8274,2253l8039,2253,7960,2420,8293,2420,8274,2253xm6863,2078l6785,2253,6883,2253,6863,2078xm7049,2078l6912,2078,6883,2253,7079,2253,7049,2078xm7098,2078l7079,2253,7128,2253,7098,2078xm7196,2078l7128,2253,7216,2253,7196,2078xm7265,2078l7245,2253,7294,2253,7265,2078xm7862,2078l7794,2253,7892,2253,7862,2078xm8205,2078l8127,2078,8107,2253,8225,2253,8205,2078xm8440,2078l8421,2078,8391,2253,8470,2253,8440,2078xm8803,2078l8538,2078,8470,2253,8871,2253,8803,2078xm9067,2078l8900,2078,8871,2253,9087,2253,9067,2078xm10144,2078l9116,2078,9087,2253,10144,2253,10144,2078xe" filled="true" fillcolor="#9999ff" stroked="false">
              <v:path arrowok="t"/>
              <v:fill type="solid"/>
            </v:shape>
            <v:shape style="position:absolute;left:399;top:1569;width:9745;height:1196" coordorigin="400,1569" coordsize="9745,1196" path="m10144,1735l400,1735,400,2765,419,2420,5541,2420,5571,2253,6521,2253,6550,2078,10144,2078,10144,1735xm1830,2420l1516,2420,1545,2596,1732,2596,1761,2762,1830,2420xm537,2420l419,2420,488,2596,507,2596,537,2420xm1516,2420l1418,2420,1497,2596,1516,2420xm2427,2420l2378,2420,2407,2596,2427,2420xm2574,2420l2525,2420,2544,2596,2574,2420xm2672,2420l2574,2420,2593,2596,2672,2420xm2858,2420l2760,2420,2838,2596,2858,2420xm3338,2420l3240,2420,3269,2596,3338,2420xm3387,2420l3338,2420,3367,2596,3387,2420xm3602,2420l3553,2420,3583,2596,3602,2420xm3720,2420l3602,2420,3671,2596,3700,2596,3720,2420xm4062,2420l3935,2420,4013,2596,4062,2420xm6188,2420l6090,2420,6119,2596,6188,2420xm6286,2253l5571,2253,5590,2420,6266,2420,6286,2253xm6717,2078l6570,2078,6599,2420,6717,2078xm7431,2078l7265,2078,7294,2253,7363,2253,7392,2420,7412,2253,7431,2078xm7862,2078l7431,2078,7461,2420,7725,2420,7745,2253,7794,2253,7862,2078xm8127,2078l7911,2078,7941,2253,7960,2420,8039,2253,8107,2253,8127,2078xm8372,2078l8205,2078,8225,2253,8274,2253,8293,2420,8372,2078xm6863,2078l6736,2078,6765,2253,6785,2253,6863,2078xm6912,2078l6863,2078,6883,2253,6912,2078xm7098,2078l7049,2078,7079,2253,7098,2078xm7196,2078l7098,2078,7128,2253,7196,2078xm7265,2078l7196,2078,7216,2253,7245,2253,7265,2078xm7911,2078l7862,2078,7892,2253,7911,2078xm8421,2078l8372,2078,8391,2253,8421,2078xm8538,2078l8440,2078,8470,2253,8538,2078xm8900,2078l8803,2078,8871,2253,8900,2078xm9116,2078l9067,2078,9087,2253,9116,2078xm9468,1569l9449,1735,9547,1735,9468,1569xm9596,1569l9566,1735,9615,1735,9596,1569xe" filled="true" fillcolor="#4f4fc5" stroked="false">
              <v:path arrowok="t"/>
              <v:fill type="solid"/>
            </v:shape>
            <v:shape style="position:absolute;left:399;top:1226;width:9745;height:509" coordorigin="400,1227" coordsize="9745,509" path="m9468,1569l400,1569,400,1735,9449,1735,9468,1569xm9596,1569l9468,1569,9547,1735,9566,1735,9596,1569xm10076,1227l9468,1227,9449,1393,9420,1569,9596,1569,9615,1735,10144,1735,10144,1569,10115,1393,10095,1393,10076,1227xm6765,1393l6736,1393,6717,1569,6785,1569,6765,1393xm6863,1393l6785,1569,6883,1569,6863,1393xm8969,1227l8949,1569,9038,1569,8969,1227xm9116,1227l9087,1227,9067,1569,9136,1569,9116,1227xm9400,1227l9282,1227,9253,1393,9204,1393,9136,1569,9420,1569,9409,1393,9253,1393,9233,1227,9400,1227xe" filled="true" fillcolor="#9999ff" stroked="false">
              <v:path arrowok="t"/>
              <v:fill type="solid"/>
            </v:shape>
            <v:shape style="position:absolute;left:306;top:1012;width:11952;height:4248" coordorigin="306,1013" coordsize="11952,4248" path="m10159,3793l10159,371m10110,3793l10159,3793m10110,2933l10159,2933m10110,2082l10159,2082m10110,1222l10159,1222m10110,371l10159,371m405,3793l10159,3793m405,3793l405,3832m1149,3793l1149,3832m1864,3793l1864,3832m2608,3793l2608,3832m3323,3793l3323,3832m4067,3793l4067,3832m4812,3793l4812,3832m5487,3793l5487,3832m6222,3793l6222,3832m6947,3793l6947,3832m7691,3793l7691,3832m8406,3793l8406,3832m9150,3793l9150,3832m9895,3793l9895,3832e" filled="false" stroked="true" strokeweight=".489256pt" strokecolor="#000000">
              <v:path arrowok="t"/>
              <v:stroke dashstyle="solid"/>
            </v:shape>
            <v:shape style="position:absolute;left:399;top:1862;width:9745;height:317" coordorigin="400,1862" coordsize="9745,317" path="m400,2179l419,2029,488,2068,507,2058,537,2029,556,2048,586,2019,654,2019,684,2048,703,2048,723,2038,752,2029,821,2009,850,2019,870,2029,899,2019,919,2019,1017,2029,1036,1999,1066,1980,1085,2009,1164,2048,1183,1999,1203,2038,1232,2029,1252,2029,1330,2048,1350,2078,1379,2038,1399,2038,1418,2048,1497,2058,1516,2058,1545,2068,1565,2078,1594,2078,1663,2068,1683,2087,1712,2097,1732,2058,1761,2146,1830,2048,1849,2038,1878,2058,1898,2038,1927,2068,1996,2048,2025,2048,2045,2087,2065,2078,2094,2058,2162,2068,2192,2058,2211,2048,2241,2048,2260,2078,2329,2097,2358,2078,2378,2038,2407,2097,2427,2048,2505,2058,2525,2058,2544,2078,2574,2068,2593,2068,2672,2068,2691,2048,2721,2029,2740,2038,2760,2029,2838,2038,2858,2038,2887,2058,2907,2048,2936,2068,3005,2068,3024,2058,3054,2029,3073,2029,3103,2029,3171,2068,3191,2048,3220,2068,3240,2048,3269,2078,3338,2048,3367,2058,3387,2068,3406,2048,3436,2048,3504,2029,3534,2038,3553,2048,3583,2068,3602,2029,3671,2078,3700,2048,3720,2009,3749,2029,3769,1990,3837,1990,3916,1980,3935,1999,4013,2087,4062,2009,4082,1999,4102,1999,4180,1990,4200,1990,4229,1970,4249,1970,4278,1960,4346,1970,4366,1980,4395,1980,4415,1990,4444,1980,4513,1990,4533,1999,4562,1990,4582,1980,4611,1999,4679,1990,4709,2019,4728,2019,4748,2019,4777,2038,4846,1990,4875,1999,4895,1970,4924,1970,4944,1980,5012,1980,5042,1999,5061,1960,5091,1970,5110,1980,5179,1990,5208,1980,5228,1950,5257,1960,5277,1941,5355,1941,5375,1950,5404,1970,5424,1999,5443,1980,5522,1960,5541,1970,5571,1970,5590,1990,5620,1999,5688,1999,5708,1980,5737,1990,5757,2009,5786,1999,5855,1980,5874,1999,5904,1990,5923,1999,5953,1990,6021,1999,6051,1980,6070,1999,6090,1990,6119,2019,6188,1990,6217,1990,6237,1970,6266,1960,6286,1950,6354,1941,6384,1960,6403,1941,6432,1950,6452,1950,6521,1941,6550,1941,6570,1941,6599,1931,6717,1921,6736,1931,6765,1911,6785,1902,6863,1911,6883,1892,6912,1902,6932,1902,6961,1911,7049,1921,7079,1921,7098,1902,7128,1911,7196,1911,7216,1921,7245,1911,7265,1911,7294,1921,7363,1911,7392,1921,7412,1902,7431,1911,7461,1931,7559,1941,7578,1960,7608,1931,7627,1950,7696,1941,7725,1941,7745,1921,7774,1921,7794,1931,7862,1941,7892,1941,7911,1931,7941,1941,7960,1950,8039,1941,8058,1941,8078,1931,8107,1921,8127,1921,8205,1931,8225,1911,8254,1941,8274,1931,8293,1980,8372,1921,8391,1941,8421,1931,8440,1921,8470,1950,8538,1931,8558,1931,8587,1931,8607,1931,8636,1911,8705,1921,8734,1931,8754,1921,8773,1911,8803,1921,8871,1950,8900,1921,8920,1921,8949,1921,8969,1911,9038,1931,9067,1921,9087,1941,9116,1931,9136,1941,9204,1921,9233,1911,9253,1911,9282,1921,9302,1911,9380,1931,9400,1921,9420,1911,9449,1911,9468,1892,9547,1911,9566,1902,9596,1862,9615,1892,9635,1882,9733,1902,9762,1892,9782,1911,9811,1902,9880,1921,9899,1911,9929,1921,9948,1911,9978,1911,10046,1911,10076,1931,10095,1921,10115,1911,10144,1941e" filled="false" stroked="true" strokeweight=".977666pt" strokecolor="#8ea4ca">
              <v:path arrowok="t"/>
              <v:stroke dashstyle="solid"/>
            </v:shape>
            <w10:wrap type="none"/>
          </v:group>
        </w:pict>
      </w:r>
      <w:r>
        <w:rPr/>
        <w:pict>
          <v:line style="position:absolute;mso-position-horizontal-relative:page;mso-position-vertical-relative:paragraph;z-index:251665408" from="102.737762pt,9.042503pt" to="118.407497pt,9.042503pt" stroked="true" strokeweight="3.910657pt" strokecolor="#4f4fc5">
            <v:stroke dashstyle="solid"/>
            <w10:wrap type="none"/>
          </v:line>
        </w:pict>
      </w:r>
      <w:r>
        <w:rPr/>
        <w:pict>
          <v:line style="position:absolute;mso-position-horizontal-relative:page;mso-position-vertical-relative:paragraph;z-index:-252329984" from="246.703445pt,9.042503pt" to="262.37318pt,9.042503pt" stroked="true" strokeweight="3.910657pt" strokecolor="#9999ff">
            <v:stroke dashstyle="solid"/>
            <w10:wrap type="none"/>
          </v:line>
        </w:pict>
      </w:r>
      <w:r>
        <w:rPr/>
        <w:pict>
          <v:line style="position:absolute;mso-position-horizontal-relative:page;mso-position-vertical-relative:paragraph;z-index:-252328960" from="390.669128pt,9.042508pt" to="406.338863pt,9.042508pt" stroked="true" strokeweight=".977664pt" strokecolor="#8ea4ca">
            <v:stroke dashstyle="solid"/>
            <w10:wrap type="none"/>
          </v:line>
        </w:pict>
      </w:r>
      <w:r>
        <w:rPr>
          <w:w w:val="105"/>
          <w:sz w:val="14"/>
        </w:rPr>
        <w:t>25th - </w:t>
      </w:r>
      <w:r>
        <w:rPr>
          <w:spacing w:val="-3"/>
          <w:w w:val="105"/>
          <w:sz w:val="14"/>
        </w:rPr>
        <w:t>75th</w:t>
      </w:r>
      <w:r>
        <w:rPr>
          <w:spacing w:val="4"/>
          <w:w w:val="105"/>
          <w:sz w:val="14"/>
        </w:rPr>
        <w:t> </w:t>
      </w:r>
      <w:r>
        <w:rPr>
          <w:w w:val="105"/>
          <w:sz w:val="14"/>
        </w:rPr>
        <w:t>percentiles</w:t>
        <w:tab/>
        <w:t>10th -</w:t>
      </w:r>
      <w:r>
        <w:rPr>
          <w:spacing w:val="2"/>
          <w:w w:val="105"/>
          <w:sz w:val="14"/>
        </w:rPr>
        <w:t> </w:t>
      </w:r>
      <w:r>
        <w:rPr>
          <w:spacing w:val="-3"/>
          <w:w w:val="105"/>
          <w:sz w:val="14"/>
        </w:rPr>
        <w:t>90th</w:t>
      </w:r>
      <w:r>
        <w:rPr>
          <w:spacing w:val="4"/>
          <w:w w:val="105"/>
          <w:sz w:val="14"/>
        </w:rPr>
        <w:t> </w:t>
      </w:r>
      <w:r>
        <w:rPr>
          <w:w w:val="105"/>
          <w:sz w:val="14"/>
        </w:rPr>
        <w:t>percentiles</w:t>
        <w:tab/>
      </w:r>
      <w:r>
        <w:rPr>
          <w:spacing w:val="-4"/>
          <w:w w:val="105"/>
          <w:sz w:val="14"/>
        </w:rPr>
        <w:t>SONIA</w:t>
      </w:r>
    </w:p>
    <w:p>
      <w:pPr>
        <w:spacing w:line="264" w:lineRule="auto" w:before="112"/>
        <w:ind w:left="1623" w:right="0" w:hanging="151"/>
        <w:jc w:val="left"/>
        <w:rPr>
          <w:sz w:val="14"/>
        </w:rPr>
      </w:pPr>
      <w:r>
        <w:rPr/>
        <w:br w:type="column"/>
      </w:r>
      <w:r>
        <w:rPr>
          <w:w w:val="105"/>
          <w:sz w:val="14"/>
        </w:rPr>
        <w:t>Percent 0.80</w:t>
      </w:r>
    </w:p>
    <w:p>
      <w:pPr>
        <w:spacing w:after="0" w:line="264" w:lineRule="auto"/>
        <w:jc w:val="left"/>
        <w:rPr>
          <w:sz w:val="14"/>
        </w:rPr>
        <w:sectPr>
          <w:type w:val="continuous"/>
          <w:pgSz w:w="10800" w:h="14400"/>
          <w:pgMar w:top="720" w:bottom="620" w:left="0" w:right="0"/>
          <w:cols w:num="2" w:equalWidth="0">
            <w:col w:w="8627" w:space="40"/>
            <w:col w:w="2133"/>
          </w:cols>
        </w:sectPr>
      </w:pPr>
    </w:p>
    <w:p>
      <w:pPr>
        <w:pStyle w:val="BodyText"/>
      </w:pPr>
    </w:p>
    <w:p>
      <w:pPr>
        <w:pStyle w:val="BodyText"/>
      </w:pPr>
    </w:p>
    <w:p>
      <w:pPr>
        <w:pStyle w:val="BodyText"/>
        <w:spacing w:before="2"/>
        <w:rPr>
          <w:sz w:val="19"/>
        </w:rPr>
      </w:pPr>
    </w:p>
    <w:p>
      <w:pPr>
        <w:spacing w:before="1"/>
        <w:ind w:left="0" w:right="218" w:firstLine="0"/>
        <w:jc w:val="right"/>
        <w:rPr>
          <w:sz w:val="14"/>
        </w:rPr>
      </w:pPr>
      <w:r>
        <w:rPr>
          <w:spacing w:val="-1"/>
          <w:w w:val="105"/>
          <w:sz w:val="14"/>
        </w:rPr>
        <w:t>0.75</w:t>
      </w:r>
    </w:p>
    <w:p>
      <w:pPr>
        <w:pStyle w:val="BodyText"/>
      </w:pPr>
    </w:p>
    <w:p>
      <w:pPr>
        <w:pStyle w:val="BodyText"/>
      </w:pPr>
    </w:p>
    <w:p>
      <w:pPr>
        <w:pStyle w:val="BodyText"/>
        <w:spacing w:before="6"/>
      </w:pPr>
    </w:p>
    <w:p>
      <w:pPr>
        <w:spacing w:before="1"/>
        <w:ind w:left="0" w:right="218" w:firstLine="0"/>
        <w:jc w:val="right"/>
        <w:rPr>
          <w:sz w:val="14"/>
        </w:rPr>
      </w:pPr>
      <w:r>
        <w:rPr>
          <w:spacing w:val="-1"/>
          <w:w w:val="105"/>
          <w:sz w:val="14"/>
        </w:rPr>
        <w:t>0.70</w:t>
      </w:r>
    </w:p>
    <w:p>
      <w:pPr>
        <w:pStyle w:val="BodyText"/>
      </w:pPr>
    </w:p>
    <w:p>
      <w:pPr>
        <w:pStyle w:val="BodyText"/>
      </w:pPr>
    </w:p>
    <w:p>
      <w:pPr>
        <w:pStyle w:val="BodyText"/>
        <w:spacing w:before="7"/>
      </w:pPr>
    </w:p>
    <w:p>
      <w:pPr>
        <w:spacing w:before="0"/>
        <w:ind w:left="0" w:right="218" w:firstLine="0"/>
        <w:jc w:val="right"/>
        <w:rPr>
          <w:sz w:val="14"/>
        </w:rPr>
      </w:pPr>
      <w:r>
        <w:rPr>
          <w:spacing w:val="-1"/>
          <w:w w:val="105"/>
          <w:sz w:val="14"/>
        </w:rPr>
        <w:t>0.65</w:t>
      </w:r>
    </w:p>
    <w:p>
      <w:pPr>
        <w:pStyle w:val="BodyText"/>
      </w:pPr>
    </w:p>
    <w:p>
      <w:pPr>
        <w:pStyle w:val="BodyText"/>
      </w:pPr>
    </w:p>
    <w:p>
      <w:pPr>
        <w:pStyle w:val="BodyText"/>
        <w:spacing w:before="7"/>
      </w:pPr>
    </w:p>
    <w:p>
      <w:pPr>
        <w:spacing w:before="0"/>
        <w:ind w:left="10290" w:right="0" w:firstLine="0"/>
        <w:jc w:val="left"/>
        <w:rPr>
          <w:sz w:val="14"/>
        </w:rPr>
      </w:pPr>
      <w:r>
        <w:rPr>
          <w:w w:val="105"/>
          <w:sz w:val="14"/>
        </w:rPr>
        <w:t>0.60</w:t>
      </w:r>
    </w:p>
    <w:p>
      <w:pPr>
        <w:tabs>
          <w:tab w:pos="922" w:val="left" w:leader="none"/>
          <w:tab w:pos="1658" w:val="left" w:leader="none"/>
          <w:tab w:pos="2385" w:val="left" w:leader="none"/>
          <w:tab w:pos="3105" w:val="left" w:leader="none"/>
          <w:tab w:pos="3860" w:val="left" w:leader="none"/>
          <w:tab w:pos="4595" w:val="left" w:leader="none"/>
          <w:tab w:pos="5267" w:val="left" w:leader="none"/>
          <w:tab w:pos="6022" w:val="left" w:leader="none"/>
          <w:tab w:pos="6717" w:val="left" w:leader="none"/>
          <w:tab w:pos="7481" w:val="left" w:leader="none"/>
          <w:tab w:pos="8225" w:val="left" w:leader="none"/>
          <w:tab w:pos="8931" w:val="left" w:leader="none"/>
          <w:tab w:pos="9675" w:val="left" w:leader="none"/>
        </w:tabs>
        <w:spacing w:before="14"/>
        <w:ind w:left="179" w:right="0" w:firstLine="0"/>
        <w:jc w:val="left"/>
        <w:rPr>
          <w:sz w:val="14"/>
        </w:rPr>
      </w:pPr>
      <w:r>
        <w:rPr>
          <w:w w:val="105"/>
          <w:sz w:val="14"/>
        </w:rPr>
        <w:t>Aug-18</w:t>
        <w:tab/>
        <w:t>Sep-18</w:t>
        <w:tab/>
        <w:t>Oct-18</w:t>
        <w:tab/>
        <w:t>Nov-18</w:t>
        <w:tab/>
        <w:t>Dec-18</w:t>
        <w:tab/>
        <w:t>Jan-19</w:t>
        <w:tab/>
        <w:t>Feb-19</w:t>
        <w:tab/>
        <w:t>Mar-19</w:t>
        <w:tab/>
        <w:t>Apr-19</w:t>
        <w:tab/>
        <w:t>May-19</w:t>
        <w:tab/>
        <w:t>Jun-19</w:t>
        <w:tab/>
        <w:t>Jul-19</w:t>
        <w:tab/>
        <w:t>Aug-19</w:t>
        <w:tab/>
        <w:t>Sep-19</w:t>
      </w:r>
    </w:p>
    <w:p>
      <w:pPr>
        <w:spacing w:after="0"/>
        <w:jc w:val="left"/>
        <w:rPr>
          <w:sz w:val="14"/>
        </w:rPr>
        <w:sectPr>
          <w:type w:val="continuous"/>
          <w:pgSz w:w="10800" w:h="14400"/>
          <w:pgMar w:top="720" w:bottom="620" w:left="0" w:right="0"/>
        </w:sectPr>
      </w:pPr>
    </w:p>
    <w:p>
      <w:pPr>
        <w:pStyle w:val="Heading1"/>
        <w:ind w:left="684"/>
      </w:pPr>
      <w:r>
        <w:rPr/>
        <w:t>Usage of SONIA</w:t>
      </w:r>
    </w:p>
    <w:p>
      <w:pPr>
        <w:pStyle w:val="BodyText"/>
        <w:spacing w:before="125"/>
        <w:ind w:left="1565"/>
        <w:rPr>
          <w:rFonts w:ascii="Calibri"/>
        </w:rPr>
      </w:pPr>
      <w:r>
        <w:rPr>
          <w:rFonts w:ascii="Calibri"/>
          <w:w w:val="105"/>
        </w:rPr>
        <w:t>Chart</w:t>
      </w:r>
      <w:r>
        <w:rPr>
          <w:rFonts w:ascii="Calibri"/>
          <w:spacing w:val="-26"/>
          <w:w w:val="105"/>
        </w:rPr>
        <w:t> </w:t>
      </w:r>
      <w:r>
        <w:rPr>
          <w:rFonts w:ascii="Calibri"/>
          <w:w w:val="105"/>
        </w:rPr>
        <w:t>3:</w:t>
      </w:r>
      <w:r>
        <w:rPr>
          <w:rFonts w:ascii="Calibri"/>
          <w:spacing w:val="-24"/>
          <w:w w:val="105"/>
        </w:rPr>
        <w:t> </w:t>
      </w:r>
      <w:r>
        <w:rPr>
          <w:rFonts w:ascii="Calibri"/>
          <w:w w:val="105"/>
        </w:rPr>
        <w:t>SONIA</w:t>
      </w:r>
      <w:r>
        <w:rPr>
          <w:rFonts w:ascii="Calibri"/>
          <w:spacing w:val="-28"/>
          <w:w w:val="105"/>
        </w:rPr>
        <w:t> </w:t>
      </w:r>
      <w:r>
        <w:rPr>
          <w:rFonts w:ascii="Calibri"/>
          <w:spacing w:val="-3"/>
          <w:w w:val="105"/>
        </w:rPr>
        <w:t>Futures</w:t>
      </w:r>
      <w:r>
        <w:rPr>
          <w:rFonts w:ascii="Calibri"/>
          <w:spacing w:val="-18"/>
          <w:w w:val="105"/>
        </w:rPr>
        <w:t> </w:t>
      </w:r>
      <w:r>
        <w:rPr>
          <w:rFonts w:ascii="Calibri"/>
          <w:w w:val="105"/>
        </w:rPr>
        <w:t>-</w:t>
      </w:r>
      <w:r>
        <w:rPr>
          <w:rFonts w:ascii="Calibri"/>
          <w:spacing w:val="-22"/>
          <w:w w:val="105"/>
        </w:rPr>
        <w:t> </w:t>
      </w:r>
      <w:r>
        <w:rPr>
          <w:rFonts w:ascii="Calibri"/>
          <w:w w:val="105"/>
        </w:rPr>
        <w:t>monthly</w:t>
      </w:r>
      <w:r>
        <w:rPr>
          <w:rFonts w:ascii="Calibri"/>
          <w:spacing w:val="-26"/>
          <w:w w:val="105"/>
        </w:rPr>
        <w:t> </w:t>
      </w:r>
      <w:r>
        <w:rPr>
          <w:rFonts w:ascii="Calibri"/>
          <w:w w:val="105"/>
        </w:rPr>
        <w:t>nominal</w:t>
      </w:r>
      <w:r>
        <w:rPr>
          <w:rFonts w:ascii="Calibri"/>
          <w:spacing w:val="-26"/>
          <w:w w:val="105"/>
        </w:rPr>
        <w:t> </w:t>
      </w:r>
      <w:r>
        <w:rPr>
          <w:rFonts w:ascii="Calibri"/>
          <w:w w:val="105"/>
        </w:rPr>
        <w:t>volumes</w:t>
      </w:r>
      <w:r>
        <w:rPr>
          <w:rFonts w:ascii="Calibri"/>
          <w:spacing w:val="-25"/>
          <w:w w:val="105"/>
        </w:rPr>
        <w:t> </w:t>
      </w:r>
      <w:r>
        <w:rPr>
          <w:rFonts w:ascii="Calibri"/>
          <w:w w:val="105"/>
        </w:rPr>
        <w:t>and</w:t>
      </w:r>
      <w:r>
        <w:rPr>
          <w:rFonts w:ascii="Calibri"/>
          <w:spacing w:val="-21"/>
          <w:w w:val="105"/>
        </w:rPr>
        <w:t> </w:t>
      </w:r>
      <w:r>
        <w:rPr>
          <w:rFonts w:ascii="Calibri"/>
          <w:w w:val="105"/>
        </w:rPr>
        <w:t>open</w:t>
      </w:r>
      <w:r>
        <w:rPr>
          <w:rFonts w:ascii="Calibri"/>
          <w:spacing w:val="-28"/>
          <w:w w:val="105"/>
        </w:rPr>
        <w:t> </w:t>
      </w:r>
      <w:r>
        <w:rPr>
          <w:rFonts w:ascii="Calibri"/>
          <w:w w:val="105"/>
        </w:rPr>
        <w:t>interest</w:t>
      </w:r>
      <w:r>
        <w:rPr>
          <w:rFonts w:ascii="Calibri"/>
          <w:spacing w:val="-25"/>
          <w:w w:val="105"/>
        </w:rPr>
        <w:t> </w:t>
      </w:r>
      <w:r>
        <w:rPr>
          <w:rFonts w:ascii="Calibri"/>
          <w:w w:val="105"/>
        </w:rPr>
        <w:t>at</w:t>
      </w:r>
      <w:r>
        <w:rPr>
          <w:rFonts w:ascii="Calibri"/>
          <w:spacing w:val="-18"/>
          <w:w w:val="105"/>
        </w:rPr>
        <w:t> </w:t>
      </w:r>
      <w:r>
        <w:rPr>
          <w:rFonts w:ascii="Calibri"/>
          <w:w w:val="105"/>
        </w:rPr>
        <w:t>month</w:t>
      </w:r>
      <w:r>
        <w:rPr>
          <w:rFonts w:ascii="Calibri"/>
          <w:spacing w:val="-28"/>
          <w:w w:val="105"/>
        </w:rPr>
        <w:t> </w:t>
      </w:r>
      <w:r>
        <w:rPr>
          <w:rFonts w:ascii="Calibri"/>
          <w:spacing w:val="-3"/>
          <w:w w:val="105"/>
        </w:rPr>
        <w:t>end*</w:t>
      </w:r>
    </w:p>
    <w:p>
      <w:pPr>
        <w:pStyle w:val="BodyText"/>
        <w:rPr>
          <w:rFonts w:ascii="Calibri"/>
          <w:sz w:val="18"/>
        </w:rPr>
      </w:pPr>
      <w:r>
        <w:rPr/>
        <w:br w:type="column"/>
      </w:r>
      <w:r>
        <w:rPr>
          <w:rFonts w:ascii="Calibri"/>
          <w:sz w:val="18"/>
        </w:rPr>
      </w:r>
    </w:p>
    <w:p>
      <w:pPr>
        <w:pStyle w:val="BodyText"/>
        <w:rPr>
          <w:rFonts w:ascii="Calibri"/>
          <w:sz w:val="18"/>
        </w:rPr>
      </w:pPr>
    </w:p>
    <w:p>
      <w:pPr>
        <w:pStyle w:val="BodyText"/>
        <w:rPr>
          <w:rFonts w:ascii="Calibri"/>
          <w:sz w:val="18"/>
        </w:rPr>
      </w:pPr>
    </w:p>
    <w:p>
      <w:pPr>
        <w:pStyle w:val="BodyText"/>
        <w:spacing w:before="11"/>
        <w:rPr>
          <w:rFonts w:ascii="Calibri"/>
          <w:sz w:val="19"/>
        </w:rPr>
      </w:pPr>
    </w:p>
    <w:p>
      <w:pPr>
        <w:spacing w:line="226" w:lineRule="exact" w:before="0"/>
        <w:ind w:left="572" w:right="0" w:firstLine="0"/>
        <w:jc w:val="left"/>
        <w:rPr>
          <w:rFonts w:ascii="Calibri" w:hAnsi="Calibri"/>
          <w:sz w:val="19"/>
        </w:rPr>
      </w:pPr>
      <w:r>
        <w:rPr/>
        <w:pict>
          <v:group style="position:absolute;margin-left:46.948215pt;margin-top:5.640331pt;width:401pt;height:112.75pt;mso-position-horizontal-relative:page;mso-position-vertical-relative:paragraph;z-index:251674624" coordorigin="939,113" coordsize="8020,2255">
            <v:rect style="position:absolute;left:1590;top:2292;width:206;height:23" filled="true" fillcolor="#ec7c30" stroked="false">
              <v:fill type="solid"/>
            </v:rect>
            <v:rect style="position:absolute;left:1590;top:2247;width:206;height:46" filled="true" fillcolor="#a4a4a4" stroked="false">
              <v:fill type="solid"/>
            </v:rect>
            <v:rect style="position:absolute;left:1590;top:2201;width:206;height:46" filled="true" fillcolor="#4471c4" stroked="false">
              <v:fill type="solid"/>
            </v:rect>
            <v:rect style="position:absolute;left:2093;top:2270;width:195;height:46" filled="true" fillcolor="#ec7c30" stroked="false">
              <v:fill type="solid"/>
            </v:rect>
            <v:rect style="position:absolute;left:2093;top:2110;width:195;height:160" filled="true" fillcolor="#a4a4a4" stroked="false">
              <v:fill type="solid"/>
            </v:rect>
            <v:rect style="position:absolute;left:2093;top:2030;width:195;height:80" filled="true" fillcolor="#4471c4" stroked="false">
              <v:fill type="solid"/>
            </v:rect>
            <v:rect style="position:absolute;left:2585;top:2213;width:195;height:103" filled="true" fillcolor="#ec7c30" stroked="false">
              <v:fill type="solid"/>
            </v:rect>
            <v:rect style="position:absolute;left:2585;top:2110;width:195;height:103" filled="true" fillcolor="#a4a4a4" stroked="false">
              <v:fill type="solid"/>
            </v:rect>
            <v:rect style="position:absolute;left:2585;top:2007;width:195;height:103" filled="true" fillcolor="#4471c4" stroked="false">
              <v:fill type="solid"/>
            </v:rect>
            <v:rect style="position:absolute;left:3088;top:2144;width:195;height:172" filled="true" fillcolor="#ec7c30" stroked="false">
              <v:fill type="solid"/>
            </v:rect>
            <v:rect style="position:absolute;left:3088;top:1961;width:195;height:183" filled="true" fillcolor="#a4a4a4" stroked="false">
              <v:fill type="solid"/>
            </v:rect>
            <v:rect style="position:absolute;left:3088;top:1859;width:195;height:103" filled="true" fillcolor="#4471c4" stroked="false">
              <v:fill type="solid"/>
            </v:rect>
            <v:rect style="position:absolute;left:3579;top:2087;width:195;height:229" filled="true" fillcolor="#ec7c30" stroked="false">
              <v:fill type="solid"/>
            </v:rect>
            <v:rect style="position:absolute;left:3579;top:1950;width:195;height:137" filled="true" fillcolor="#ffc000" stroked="false">
              <v:fill type="solid"/>
            </v:rect>
            <v:rect style="position:absolute;left:3579;top:1767;width:195;height:183" filled="true" fillcolor="#a4a4a4" stroked="false">
              <v:fill type="solid"/>
            </v:rect>
            <v:rect style="position:absolute;left:3579;top:1676;width:195;height:92" filled="true" fillcolor="#4471c4" stroked="false">
              <v:fill type="solid"/>
            </v:rect>
            <v:line style="position:absolute" from="3580,1671" to="3774,1671" stroked="true" strokeweight=".570689pt" strokecolor="#6fac46">
              <v:stroke dashstyle="solid"/>
            </v:line>
            <v:rect style="position:absolute;left:4071;top:1927;width:206;height:389" filled="true" fillcolor="#ec7c30" stroked="false">
              <v:fill type="solid"/>
            </v:rect>
            <v:rect style="position:absolute;left:4071;top:1653;width:206;height:274" filled="true" fillcolor="#ffc000" stroked="false">
              <v:fill type="solid"/>
            </v:rect>
            <v:rect style="position:absolute;left:4071;top:1413;width:206;height:240" filled="true" fillcolor="#a4a4a4" stroked="false">
              <v:fill type="solid"/>
            </v:rect>
            <v:rect style="position:absolute;left:4071;top:1277;width:206;height:137" filled="true" fillcolor="#4471c4" stroked="false">
              <v:fill type="solid"/>
            </v:rect>
            <v:line style="position:absolute" from="4071,1271" to="4277,1271" stroked="true" strokeweight=".570689pt" strokecolor="#6fac46">
              <v:stroke dashstyle="solid"/>
            </v:line>
            <v:rect style="position:absolute;left:4574;top:2064;width:195;height:252" filled="true" fillcolor="#ec7c30" stroked="false">
              <v:fill type="solid"/>
            </v:rect>
            <v:rect style="position:absolute;left:4574;top:1813;width:195;height:252" filled="true" fillcolor="#ffc000" stroked="false">
              <v:fill type="solid"/>
            </v:rect>
            <v:rect style="position:absolute;left:4574;top:1608;width:195;height:206" filled="true" fillcolor="#a4a4a4" stroked="false">
              <v:fill type="solid"/>
            </v:rect>
            <v:rect style="position:absolute;left:4574;top:1562;width:195;height:46" filled="true" fillcolor="#4471c4" stroked="false">
              <v:fill type="solid"/>
            </v:rect>
            <v:line style="position:absolute" from="4574,1557" to="4768,1557" stroked="true" strokeweight=".570689pt" strokecolor="#6fac46">
              <v:stroke dashstyle="solid"/>
            </v:line>
            <v:rect style="position:absolute;left:5065;top:1927;width:206;height:389" filled="true" fillcolor="#ec7c30" stroked="false">
              <v:fill type="solid"/>
            </v:rect>
            <v:rect style="position:absolute;left:5065;top:1653;width:206;height:274" filled="true" fillcolor="#ffc000" stroked="false">
              <v:fill type="solid"/>
            </v:rect>
            <v:rect style="position:absolute;left:5065;top:1505;width:206;height:149" filled="true" fillcolor="#a4a4a4" stroked="false">
              <v:fill type="solid"/>
            </v:rect>
            <v:rect style="position:absolute;left:5065;top:1413;width:206;height:92" filled="true" fillcolor="#4471c4" stroked="false">
              <v:fill type="solid"/>
            </v:rect>
            <v:line style="position:absolute" from="5066,1408" to="5271,1408" stroked="true" strokeweight=".570689pt" strokecolor="#6fac46">
              <v:stroke dashstyle="solid"/>
            </v:line>
            <v:rect style="position:absolute;left:5568;top:1687;width:195;height:628" filled="true" fillcolor="#ec7c30" stroked="false">
              <v:fill type="solid"/>
            </v:rect>
            <v:rect style="position:absolute;left:5568;top:1334;width:195;height:354" filled="true" fillcolor="#ffc000" stroked="false">
              <v:fill type="solid"/>
            </v:rect>
            <v:rect style="position:absolute;left:5568;top:1128;width:195;height:206" filled="true" fillcolor="#a4a4a4" stroked="false">
              <v:fill type="solid"/>
            </v:rect>
            <v:rect style="position:absolute;left:5568;top:1037;width:195;height:92" filled="true" fillcolor="#4471c4" stroked="false">
              <v:fill type="solid"/>
            </v:rect>
            <v:line style="position:absolute" from="5569,1032" to="5763,1032" stroked="true" strokeweight=".570689pt" strokecolor="#6fac46">
              <v:stroke dashstyle="solid"/>
            </v:line>
            <v:rect style="position:absolute;left:6060;top:1573;width:206;height:742" filled="true" fillcolor="#ec7c30" stroked="false">
              <v:fill type="solid"/>
            </v:rect>
            <v:rect style="position:absolute;left:6060;top:1254;width:206;height:320" filled="true" fillcolor="#ffc000" stroked="false">
              <v:fill type="solid"/>
            </v:rect>
            <v:rect style="position:absolute;left:6060;top:831;width:206;height:423" filled="true" fillcolor="#a4a4a4" stroked="false">
              <v:fill type="solid"/>
            </v:rect>
            <v:rect style="position:absolute;left:6060;top:740;width:206;height:92" filled="true" fillcolor="#4471c4" stroked="false">
              <v:fill type="solid"/>
            </v:rect>
            <v:line style="position:absolute" from="6060,735" to="6266,735" stroked="true" strokeweight=".570689pt" strokecolor="#6fac46">
              <v:stroke dashstyle="solid"/>
            </v:line>
            <v:rect style="position:absolute;left:6563;top:1722;width:195;height:594" filled="true" fillcolor="#ec7c30" stroked="false">
              <v:fill type="solid"/>
            </v:rect>
            <v:rect style="position:absolute;left:6563;top:1311;width:195;height:411" filled="true" fillcolor="#ffc000" stroked="false">
              <v:fill type="solid"/>
            </v:rect>
            <v:rect style="position:absolute;left:6563;top:1174;width:195;height:137" filled="true" fillcolor="#a4a4a4" stroked="false">
              <v:fill type="solid"/>
            </v:rect>
            <v:rect style="position:absolute;left:6563;top:1094;width:195;height:80" filled="true" fillcolor="#4471c4" stroked="false">
              <v:fill type="solid"/>
            </v:rect>
            <v:line style="position:absolute" from="6563,1089" to="6758,1089" stroked="true" strokeweight=".570689pt" strokecolor="#6fac46">
              <v:stroke dashstyle="solid"/>
            </v:line>
            <v:rect style="position:absolute;left:7054;top:1596;width:195;height:720" filled="true" fillcolor="#ec7c30" stroked="false">
              <v:fill type="solid"/>
            </v:rect>
            <v:rect style="position:absolute;left:7054;top:1197;width:195;height:400" filled="true" fillcolor="#ffc000" stroked="false">
              <v:fill type="solid"/>
            </v:rect>
            <v:rect style="position:absolute;left:7054;top:1025;width:195;height:172" filled="true" fillcolor="#a4a4a4" stroked="false">
              <v:fill type="solid"/>
            </v:rect>
            <v:rect style="position:absolute;left:7054;top:923;width:195;height:103" filled="true" fillcolor="#4471c4" stroked="false">
              <v:fill type="solid"/>
            </v:rect>
            <v:line style="position:absolute" from="7055,917" to="7249,917" stroked="true" strokeweight=".570689pt" strokecolor="#6fac46">
              <v:stroke dashstyle="solid"/>
            </v:line>
            <v:rect style="position:absolute;left:7557;top:2064;width:195;height:252" filled="true" fillcolor="#ec7c30" stroked="false">
              <v:fill type="solid"/>
            </v:rect>
            <v:rect style="position:absolute;left:7557;top:1767;width:195;height:297" filled="true" fillcolor="#ffc000" stroked="false">
              <v:fill type="solid"/>
            </v:rect>
            <v:rect style="position:absolute;left:7557;top:1585;width:195;height:183" filled="true" fillcolor="#a4a4a4" stroked="false">
              <v:fill type="solid"/>
            </v:rect>
            <v:rect style="position:absolute;left:7557;top:1482;width:195;height:103" filled="true" fillcolor="#4471c4" stroked="false">
              <v:fill type="solid"/>
            </v:rect>
            <v:line style="position:absolute" from="7558,1477" to="7752,1477" stroked="true" strokeweight=".570689pt" strokecolor="#6fac46">
              <v:stroke dashstyle="solid"/>
            </v:line>
            <v:rect style="position:absolute;left:8049;top:1471;width:195;height:845" filled="true" fillcolor="#ec7c30" stroked="false">
              <v:fill type="solid"/>
            </v:rect>
            <v:rect style="position:absolute;left:8049;top:831;width:195;height:640" filled="true" fillcolor="#ffc000" stroked="false">
              <v:fill type="solid"/>
            </v:rect>
            <v:rect style="position:absolute;left:8049;top:500;width:195;height:331" filled="true" fillcolor="#a4a4a4" stroked="false">
              <v:fill type="solid"/>
            </v:rect>
            <v:rect style="position:absolute;left:8049;top:352;width:195;height:149" filled="true" fillcolor="#4471c4" stroked="false">
              <v:fill type="solid"/>
            </v:rect>
            <v:line style="position:absolute" from="8049,347" to="8244,347" stroked="true" strokeweight=".570689pt" strokecolor="#6fac46">
              <v:stroke dashstyle="solid"/>
            </v:line>
            <v:rect style="position:absolute;left:8540;top:1824;width:206;height:491" filled="true" fillcolor="#ec7c30" stroked="false">
              <v:fill type="solid"/>
            </v:rect>
            <v:rect style="position:absolute;left:8540;top:1425;width:206;height:400" filled="true" fillcolor="#ffc000" stroked="false">
              <v:fill type="solid"/>
            </v:rect>
            <v:rect style="position:absolute;left:8540;top:1288;width:206;height:137" filled="true" fillcolor="#a4a4a4" stroked="false">
              <v:fill type="solid"/>
            </v:rect>
            <v:rect style="position:absolute;left:8540;top:1162;width:206;height:126" filled="true" fillcolor="#4471c4" stroked="false">
              <v:fill type="solid"/>
            </v:rect>
            <v:line style="position:absolute" from="8541,1157" to="8747,1157" stroked="true" strokeweight=".570689pt" strokecolor="#6fac46">
              <v:stroke dashstyle="solid"/>
            </v:line>
            <v:line style="position:absolute" from="1099,2310" to="1293,2310" stroked="true" strokeweight=".570689pt" strokecolor="#a4a4a4">
              <v:stroke dashstyle="solid"/>
            </v:line>
            <v:line style="position:absolute" from="1099,2299" to="1293,2299" stroked="true" strokeweight=".570689pt" strokecolor="#4471c4">
              <v:stroke dashstyle="solid"/>
            </v:line>
            <v:shape style="position:absolute;left:222;top:9431;width:8412;height:2365" coordorigin="222,9431" coordsize="8412,2365" path="m8889,2310l8889,119m8889,2310l8958,2310m8889,2093l8958,2093m8889,1876l8958,1876m8889,1659l8958,1659m8889,1431l8958,1431m8889,1214l8958,1214m8889,997l8958,997m8889,781l8958,781m8889,564l8958,564m8889,347l8958,347m8889,119l8958,119m945,2310l8889,2310m945,2310l945,2367m1448,2310l1448,2367m1939,2310l1939,2367m2442,2310l2442,2367m2934,2310l2934,2367m3425,2310l3425,2367m3928,2310l3928,2367m4420,2310l4420,2367m4923,2310l4923,2367m5414,2310l5414,2367m5917,2310l5917,2367m6409,2310l6409,2367m6912,2310l6912,2367m7403,2310l7403,2367m7895,2310l7895,2367m8398,2310l8398,2367m8889,2310l8889,2367e" filled="false" stroked="true" strokeweight=".571128pt" strokecolor="#888888">
              <v:path arrowok="t"/>
              <v:stroke dashstyle="solid"/>
            </v:shape>
            <v:shape style="position:absolute;left:1196;top:1979;width:7454;height:320" coordorigin="1196,1979" coordsize="7454,320" path="m1196,2299l1688,2276,2191,2230,2682,2207,3185,2184,3677,2173,4180,2150,4671,2116,5163,2105,5666,2082,6157,2070,6660,2059,7152,2013,7655,2025,8146,1979,8649,1979e" filled="false" stroked="true" strokeweight="1.71207pt" strokecolor="#6f2f9f">
              <v:path arrowok="t"/>
              <v:stroke dashstyle="solid"/>
            </v:shape>
            <w10:wrap type="none"/>
          </v:group>
        </w:pict>
      </w:r>
      <w:r>
        <w:rPr/>
        <w:pict>
          <v:shape style="position:absolute;margin-left:474.606049pt;margin-top:7.834198pt;width:11.75pt;height:33.15pt;mso-position-horizontal-relative:page;mso-position-vertical-relative:paragraph;z-index:251714560"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Trillions</w:t>
                  </w:r>
                </w:p>
              </w:txbxContent>
            </v:textbox>
            <w10:wrap type="none"/>
          </v:shape>
        </w:pict>
      </w:r>
      <w:r>
        <w:rPr>
          <w:rFonts w:ascii="Calibri" w:hAnsi="Calibri"/>
          <w:w w:val="105"/>
          <w:sz w:val="19"/>
        </w:rPr>
        <w:t>£1.0</w:t>
      </w:r>
    </w:p>
    <w:p>
      <w:pPr>
        <w:spacing w:line="219" w:lineRule="exact" w:before="0"/>
        <w:ind w:left="572" w:right="0" w:firstLine="0"/>
        <w:jc w:val="left"/>
        <w:rPr>
          <w:rFonts w:ascii="Calibri" w:hAnsi="Calibri"/>
          <w:sz w:val="19"/>
        </w:rPr>
      </w:pPr>
      <w:r>
        <w:rPr>
          <w:rFonts w:ascii="Calibri" w:hAnsi="Calibri"/>
          <w:w w:val="105"/>
          <w:sz w:val="19"/>
        </w:rPr>
        <w:t>£0.9</w:t>
      </w:r>
    </w:p>
    <w:p>
      <w:pPr>
        <w:spacing w:line="220" w:lineRule="exact" w:before="0"/>
        <w:ind w:left="572" w:right="0" w:firstLine="0"/>
        <w:jc w:val="left"/>
        <w:rPr>
          <w:rFonts w:ascii="Calibri" w:hAnsi="Calibri"/>
          <w:sz w:val="19"/>
        </w:rPr>
      </w:pPr>
      <w:r>
        <w:rPr>
          <w:rFonts w:ascii="Calibri" w:hAnsi="Calibri"/>
          <w:w w:val="105"/>
          <w:sz w:val="19"/>
        </w:rPr>
        <w:t>£0.8</w:t>
      </w:r>
    </w:p>
    <w:p>
      <w:pPr>
        <w:spacing w:line="219" w:lineRule="exact" w:before="0"/>
        <w:ind w:left="572" w:right="0" w:firstLine="0"/>
        <w:jc w:val="left"/>
        <w:rPr>
          <w:rFonts w:ascii="Calibri" w:hAnsi="Calibri"/>
          <w:sz w:val="19"/>
        </w:rPr>
      </w:pPr>
      <w:r>
        <w:rPr>
          <w:rFonts w:ascii="Calibri" w:hAnsi="Calibri"/>
          <w:w w:val="105"/>
          <w:sz w:val="19"/>
        </w:rPr>
        <w:t>£0.7</w:t>
      </w:r>
    </w:p>
    <w:p>
      <w:pPr>
        <w:spacing w:line="219" w:lineRule="exact" w:before="0"/>
        <w:ind w:left="572" w:right="0" w:firstLine="0"/>
        <w:jc w:val="left"/>
        <w:rPr>
          <w:rFonts w:ascii="Calibri" w:hAnsi="Calibri"/>
          <w:sz w:val="19"/>
        </w:rPr>
      </w:pPr>
      <w:r>
        <w:rPr>
          <w:rFonts w:ascii="Calibri" w:hAnsi="Calibri"/>
          <w:w w:val="105"/>
          <w:sz w:val="19"/>
        </w:rPr>
        <w:t>£0.6</w:t>
      </w:r>
    </w:p>
    <w:p>
      <w:pPr>
        <w:spacing w:line="219" w:lineRule="exact" w:before="0"/>
        <w:ind w:left="572" w:right="0" w:firstLine="0"/>
        <w:jc w:val="left"/>
        <w:rPr>
          <w:rFonts w:ascii="Calibri" w:hAnsi="Calibri"/>
          <w:sz w:val="19"/>
        </w:rPr>
      </w:pPr>
      <w:r>
        <w:rPr>
          <w:rFonts w:ascii="Calibri" w:hAnsi="Calibri"/>
          <w:w w:val="105"/>
          <w:sz w:val="19"/>
        </w:rPr>
        <w:t>£0.5</w:t>
      </w:r>
    </w:p>
    <w:p>
      <w:pPr>
        <w:spacing w:line="219" w:lineRule="exact" w:before="0"/>
        <w:ind w:left="572" w:right="0" w:firstLine="0"/>
        <w:jc w:val="left"/>
        <w:rPr>
          <w:rFonts w:ascii="Calibri" w:hAnsi="Calibri"/>
          <w:sz w:val="19"/>
        </w:rPr>
      </w:pPr>
      <w:r>
        <w:rPr>
          <w:rFonts w:ascii="Calibri" w:hAnsi="Calibri"/>
          <w:w w:val="105"/>
          <w:sz w:val="19"/>
        </w:rPr>
        <w:t>£0.4</w:t>
      </w:r>
    </w:p>
    <w:p>
      <w:pPr>
        <w:spacing w:line="220" w:lineRule="exact" w:before="0"/>
        <w:ind w:left="572" w:right="0" w:firstLine="0"/>
        <w:jc w:val="left"/>
        <w:rPr>
          <w:rFonts w:ascii="Calibri" w:hAnsi="Calibri"/>
          <w:sz w:val="19"/>
        </w:rPr>
      </w:pPr>
      <w:r>
        <w:rPr>
          <w:rFonts w:ascii="Calibri" w:hAnsi="Calibri"/>
          <w:w w:val="105"/>
          <w:sz w:val="19"/>
        </w:rPr>
        <w:t>£0.3</w:t>
      </w:r>
    </w:p>
    <w:p>
      <w:pPr>
        <w:spacing w:line="219" w:lineRule="exact" w:before="0"/>
        <w:ind w:left="572" w:right="0" w:firstLine="0"/>
        <w:jc w:val="left"/>
        <w:rPr>
          <w:rFonts w:ascii="Calibri" w:hAnsi="Calibri"/>
          <w:sz w:val="19"/>
        </w:rPr>
      </w:pPr>
      <w:r>
        <w:rPr>
          <w:rFonts w:ascii="Calibri" w:hAnsi="Calibri"/>
          <w:w w:val="105"/>
          <w:sz w:val="19"/>
        </w:rPr>
        <w:t>£0.2</w:t>
      </w:r>
    </w:p>
    <w:p>
      <w:pPr>
        <w:spacing w:line="219" w:lineRule="exact" w:before="0"/>
        <w:ind w:left="572" w:right="0" w:firstLine="0"/>
        <w:jc w:val="left"/>
        <w:rPr>
          <w:rFonts w:ascii="Calibri" w:hAnsi="Calibri"/>
          <w:sz w:val="19"/>
        </w:rPr>
      </w:pPr>
      <w:r>
        <w:rPr>
          <w:rFonts w:ascii="Calibri" w:hAnsi="Calibri"/>
          <w:w w:val="105"/>
          <w:sz w:val="19"/>
        </w:rPr>
        <w:t>£0.1</w:t>
      </w:r>
    </w:p>
    <w:p>
      <w:pPr>
        <w:spacing w:line="226" w:lineRule="exact" w:before="0"/>
        <w:ind w:left="572" w:right="0" w:firstLine="0"/>
        <w:jc w:val="left"/>
        <w:rPr>
          <w:rFonts w:ascii="Calibri" w:hAnsi="Calibri"/>
          <w:sz w:val="19"/>
        </w:rPr>
      </w:pPr>
      <w:r>
        <w:rPr/>
        <w:pict>
          <v:shape style="position:absolute;margin-left:104.58152pt;margin-top:11.180766pt;width:11.75pt;height:24.65pt;mso-position-horizontal-relative:page;mso-position-vertical-relative:paragraph;z-index:251687936"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Jul-18</w:t>
                  </w:r>
                </w:p>
              </w:txbxContent>
            </v:textbox>
            <w10:wrap type="none"/>
          </v:shape>
        </w:pict>
      </w:r>
      <w:r>
        <w:rPr/>
        <w:pict>
          <v:shape style="position:absolute;margin-left:402.874298pt;margin-top:11.164196pt;width:11.75pt;height:24.65pt;mso-position-horizontal-relative:page;mso-position-vertical-relative:paragraph;z-index:251710464"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Jul-19</w:t>
                  </w:r>
                </w:p>
              </w:txbxContent>
            </v:textbox>
            <w10:wrap type="none"/>
          </v:shape>
        </w:pict>
      </w:r>
      <w:r>
        <w:rPr/>
        <w:pict>
          <v:shape style="position:absolute;margin-left:427.737488pt;margin-top:10.726484pt;width:11.75pt;height:29.9pt;mso-position-horizontal-relative:page;mso-position-vertical-relative:paragraph;z-index:251711488"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Aug-19</w:t>
                  </w:r>
                </w:p>
              </w:txbxContent>
            </v:textbox>
            <w10:wrap type="none"/>
          </v:shape>
        </w:pict>
      </w:r>
      <w:r>
        <w:rPr>
          <w:rFonts w:ascii="Calibri" w:hAnsi="Calibri"/>
          <w:w w:val="105"/>
          <w:sz w:val="19"/>
        </w:rPr>
        <w:t>£0.0</w:t>
      </w:r>
    </w:p>
    <w:p>
      <w:pPr>
        <w:spacing w:after="0" w:line="226" w:lineRule="exact"/>
        <w:jc w:val="left"/>
        <w:rPr>
          <w:rFonts w:ascii="Calibri" w:hAnsi="Calibri"/>
          <w:sz w:val="19"/>
        </w:rPr>
        <w:sectPr>
          <w:footerReference w:type="default" r:id="rId23"/>
          <w:pgSz w:w="10800" w:h="14400"/>
          <w:pgMar w:footer="244" w:header="0" w:top="400" w:bottom="440" w:left="0" w:right="0"/>
          <w:cols w:num="2" w:equalWidth="0">
            <w:col w:w="8467" w:space="40"/>
            <w:col w:w="2293"/>
          </w:cols>
        </w:sectPr>
      </w:pPr>
    </w:p>
    <w:p>
      <w:pPr>
        <w:pStyle w:val="BodyText"/>
        <w:rPr>
          <w:rFonts w:ascii="Calibri"/>
        </w:rPr>
      </w:pPr>
    </w:p>
    <w:p>
      <w:pPr>
        <w:pStyle w:val="BodyText"/>
        <w:rPr>
          <w:rFonts w:ascii="Calibri"/>
        </w:rPr>
      </w:pPr>
    </w:p>
    <w:p>
      <w:pPr>
        <w:pStyle w:val="BodyText"/>
        <w:spacing w:before="5"/>
        <w:rPr>
          <w:rFonts w:ascii="Calibri"/>
          <w:sz w:val="18"/>
        </w:rPr>
      </w:pPr>
    </w:p>
    <w:p>
      <w:pPr>
        <w:tabs>
          <w:tab w:pos="1398" w:val="left" w:leader="none"/>
          <w:tab w:pos="2975" w:val="left" w:leader="none"/>
          <w:tab w:pos="4018" w:val="left" w:leader="none"/>
          <w:tab w:pos="5769" w:val="left" w:leader="none"/>
          <w:tab w:pos="7032" w:val="left" w:leader="none"/>
        </w:tabs>
        <w:spacing w:before="66"/>
        <w:ind w:left="354" w:right="0" w:firstLine="0"/>
        <w:jc w:val="center"/>
        <w:rPr>
          <w:rFonts w:ascii="Calibri"/>
          <w:sz w:val="19"/>
        </w:rPr>
      </w:pPr>
      <w:r>
        <w:rPr/>
        <w:pict>
          <v:line style="position:absolute;mso-position-horizontal-relative:page;mso-position-vertical-relative:paragraph;z-index:251675648" from="64.666809pt,8.849932pt" to="82.956971pt,8.849932pt" stroked="true" strokeweight="5.136197pt" strokecolor="#ec7c30">
            <v:stroke dashstyle="solid"/>
            <w10:wrap type="none"/>
          </v:line>
        </w:pict>
      </w:r>
      <w:r>
        <w:rPr/>
        <w:pict>
          <v:line style="position:absolute;mso-position-horizontal-relative:page;mso-position-vertical-relative:paragraph;z-index:-252319744" from="117.25103pt,8.849932pt" to="135.541192pt,8.849932pt" stroked="true" strokeweight="5.136197pt" strokecolor="#ffc000">
            <v:stroke dashstyle="solid"/>
            <w10:wrap type="none"/>
          </v:line>
        </w:pict>
      </w:r>
      <w:r>
        <w:rPr/>
        <w:pict>
          <v:line style="position:absolute;mso-position-horizontal-relative:page;mso-position-vertical-relative:paragraph;z-index:-252318720" from="195.555786pt,8.849932pt" to="213.845948pt,8.849932pt" stroked="true" strokeweight="5.136197pt" strokecolor="#a4a4a4">
            <v:stroke dashstyle="solid"/>
            <w10:wrap type="none"/>
          </v:line>
        </w:pict>
      </w:r>
      <w:r>
        <w:rPr/>
        <w:pict>
          <v:line style="position:absolute;mso-position-horizontal-relative:page;mso-position-vertical-relative:paragraph;z-index:-252317696" from="248.139999pt,8.849932pt" to="266.430162pt,8.849932pt" stroked="true" strokeweight="5.136197pt" strokecolor="#4471c4">
            <v:stroke dashstyle="solid"/>
            <w10:wrap type="none"/>
          </v:line>
        </w:pict>
      </w:r>
      <w:r>
        <w:rPr/>
        <w:pict>
          <v:line style="position:absolute;mso-position-horizontal-relative:page;mso-position-vertical-relative:paragraph;z-index:-252316672" from="335.589844pt,8.849932pt" to="353.880006pt,8.849932pt" stroked="true" strokeweight="5.136197pt" strokecolor="#6fac46">
            <v:stroke dashstyle="solid"/>
            <w10:wrap type="none"/>
          </v:line>
        </w:pict>
      </w:r>
      <w:r>
        <w:rPr/>
        <w:pict>
          <v:line style="position:absolute;mso-position-horizontal-relative:page;mso-position-vertical-relative:paragraph;z-index:-252315648" from="398.176483pt,8.849932pt" to="416.466646pt,8.849932pt" stroked="true" strokeweight="1.712066pt" strokecolor="#6f2f9f">
            <v:stroke dashstyle="solid"/>
            <w10:wrap type="none"/>
          </v:line>
        </w:pict>
      </w:r>
      <w:r>
        <w:rPr/>
        <w:pict>
          <v:shape style="position:absolute;margin-left:54.83728pt;margin-top:-35.857937pt;width:11.75pt;height:31.6pt;mso-position-horizontal-relative:page;mso-position-vertical-relative:paragraph;z-index:251682816"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May-18</w:t>
                  </w:r>
                </w:p>
              </w:txbxContent>
            </v:textbox>
            <w10:wrap type="none"/>
          </v:shape>
        </w:pict>
      </w:r>
      <w:r>
        <w:rPr/>
        <w:pict>
          <v:shape style="position:absolute;margin-left:79.70047pt;margin-top:-35.831806pt;width:11.75pt;height:27.6pt;mso-position-horizontal-relative:page;mso-position-vertical-relative:paragraph;z-index:251684864"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Jun-18</w:t>
                  </w:r>
                </w:p>
              </w:txbxContent>
            </v:textbox>
            <w10:wrap type="none"/>
          </v:shape>
        </w:pict>
      </w:r>
      <w:r>
        <w:rPr/>
        <w:pict>
          <v:shape style="position:absolute;margin-left:129.444717pt;margin-top:-36.152161pt;width:11.75pt;height:29.9pt;mso-position-horizontal-relative:page;mso-position-vertical-relative:paragraph;z-index:251689984"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Aug-18</w:t>
                  </w:r>
                </w:p>
              </w:txbxContent>
            </v:textbox>
            <w10:wrap type="none"/>
          </v:shape>
        </w:pict>
      </w:r>
      <w:r>
        <w:rPr/>
        <w:pict>
          <v:shape style="position:absolute;margin-left:154.307907pt;margin-top:-35.882813pt;width:11.75pt;height:28.75pt;mso-position-horizontal-relative:page;mso-position-vertical-relative:paragraph;z-index:251691008"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Sep-18</w:t>
                  </w:r>
                </w:p>
              </w:txbxContent>
            </v:textbox>
            <w10:wrap type="none"/>
          </v:shape>
        </w:pict>
      </w:r>
      <w:r>
        <w:rPr/>
        <w:pict>
          <v:shape style="position:absolute;margin-left:179.171097pt;margin-top:-35.914581pt;width:11.75pt;height:28.15pt;mso-position-horizontal-relative:page;mso-position-vertical-relative:paragraph;z-index:251693056"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Oct-18</w:t>
                  </w:r>
                </w:p>
              </w:txbxContent>
            </v:textbox>
            <w10:wrap type="none"/>
          </v:shape>
        </w:pict>
      </w:r>
      <w:r>
        <w:rPr/>
        <w:pict>
          <v:shape style="position:absolute;margin-left:203.99736pt;margin-top:-36.254349pt;width:11.75pt;height:30.45pt;mso-position-horizontal-relative:page;mso-position-vertical-relative:paragraph;z-index:251695104"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Nov-18</w:t>
                  </w:r>
                </w:p>
              </w:txbxContent>
            </v:textbox>
            <w10:wrap type="none"/>
          </v:shape>
        </w:pict>
      </w:r>
      <w:r>
        <w:rPr/>
        <w:pict>
          <v:shape style="position:absolute;margin-left:228.851028pt;margin-top:-35.867115pt;width:11.75pt;height:29.2pt;mso-position-horizontal-relative:page;mso-position-vertical-relative:paragraph;z-index:251697152"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Dec-18</w:t>
                  </w:r>
                </w:p>
              </w:txbxContent>
            </v:textbox>
            <w10:wrap type="none"/>
          </v:shape>
        </w:pict>
      </w:r>
      <w:r>
        <w:rPr/>
        <w:pict>
          <v:shape style="position:absolute;margin-left:253.72374pt;margin-top:-36.196072pt;width:11.75pt;height:27.5pt;mso-position-horizontal-relative:page;mso-position-vertical-relative:paragraph;z-index:251699200"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Jan-19</w:t>
                  </w:r>
                </w:p>
              </w:txbxContent>
            </v:textbox>
            <w10:wrap type="none"/>
          </v:shape>
        </w:pict>
      </w:r>
      <w:r>
        <w:rPr/>
        <w:pict>
          <v:shape style="position:absolute;margin-left:278.595276pt;margin-top:-35.882813pt;width:11.75pt;height:28.75pt;mso-position-horizontal-relative:page;mso-position-vertical-relative:paragraph;z-index:251700224"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Feb-19</w:t>
                  </w:r>
                </w:p>
              </w:txbxContent>
            </v:textbox>
            <w10:wrap type="none"/>
          </v:shape>
        </w:pict>
      </w:r>
      <w:r>
        <w:rPr/>
        <w:pict>
          <v:shape style="position:absolute;margin-left:303.467987pt;margin-top:-36.192509pt;width:11.75pt;height:30.95pt;mso-position-horizontal-relative:page;mso-position-vertical-relative:paragraph;z-index:251702272"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Mar-19</w:t>
                  </w:r>
                </w:p>
              </w:txbxContent>
            </v:textbox>
            <w10:wrap type="none"/>
          </v:shape>
        </w:pict>
      </w:r>
      <w:r>
        <w:rPr/>
        <w:pict>
          <v:shape style="position:absolute;margin-left:328.331177pt;margin-top:-36.158455pt;width:11.75pt;height:28.7pt;mso-position-horizontal-relative:page;mso-position-vertical-relative:paragraph;z-index:251704320"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Apr-19</w:t>
                  </w:r>
                </w:p>
              </w:txbxContent>
            </v:textbox>
            <w10:wrap type="none"/>
          </v:shape>
        </w:pict>
      </w:r>
      <w:r>
        <w:rPr/>
        <w:pict>
          <v:shape style="position:absolute;margin-left:353.194366pt;margin-top:-35.843819pt;width:11.75pt;height:31.6pt;mso-position-horizontal-relative:page;mso-position-vertical-relative:paragraph;z-index:251706368"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May-19</w:t>
                  </w:r>
                </w:p>
              </w:txbxContent>
            </v:textbox>
            <w10:wrap type="none"/>
          </v:shape>
        </w:pict>
      </w:r>
      <w:r>
        <w:rPr/>
        <w:pict>
          <v:shape style="position:absolute;margin-left:378.011108pt;margin-top:-35.831806pt;width:11.75pt;height:27.6pt;mso-position-horizontal-relative:page;mso-position-vertical-relative:paragraph;z-index:251708416" type="#_x0000_t202" filled="false" stroked="false">
            <v:textbox inset="0,0,0,0" style="layout-flow:vertical;mso-layout-flow-alt:bottom-to-top">
              <w:txbxContent>
                <w:p>
                  <w:pPr>
                    <w:spacing w:line="217" w:lineRule="exact" w:before="0"/>
                    <w:ind w:left="20" w:right="0" w:firstLine="0"/>
                    <w:jc w:val="left"/>
                    <w:rPr>
                      <w:rFonts w:ascii="Calibri"/>
                      <w:sz w:val="19"/>
                    </w:rPr>
                  </w:pPr>
                  <w:r>
                    <w:rPr>
                      <w:rFonts w:ascii="Calibri"/>
                      <w:sz w:val="19"/>
                    </w:rPr>
                    <w:t>Jun-19</w:t>
                  </w:r>
                </w:p>
              </w:txbxContent>
            </v:textbox>
            <w10:wrap type="none"/>
          </v:shape>
        </w:pict>
      </w:r>
      <w:r>
        <w:rPr>
          <w:rFonts w:ascii="Calibri"/>
          <w:w w:val="105"/>
          <w:sz w:val="19"/>
        </w:rPr>
        <w:t>ICE</w:t>
      </w:r>
      <w:r>
        <w:rPr>
          <w:rFonts w:ascii="Calibri"/>
          <w:spacing w:val="-9"/>
          <w:w w:val="105"/>
          <w:sz w:val="19"/>
        </w:rPr>
        <w:t> </w:t>
      </w:r>
      <w:r>
        <w:rPr>
          <w:rFonts w:ascii="Calibri"/>
          <w:spacing w:val="-4"/>
          <w:w w:val="105"/>
          <w:sz w:val="19"/>
        </w:rPr>
        <w:t>3M</w:t>
        <w:tab/>
      </w:r>
      <w:r>
        <w:rPr>
          <w:rFonts w:ascii="Calibri"/>
          <w:spacing w:val="-3"/>
          <w:w w:val="105"/>
          <w:sz w:val="19"/>
        </w:rPr>
        <w:t>CME</w:t>
      </w:r>
      <w:r>
        <w:rPr>
          <w:rFonts w:ascii="Calibri"/>
          <w:spacing w:val="-9"/>
          <w:w w:val="105"/>
          <w:sz w:val="19"/>
        </w:rPr>
        <w:t> </w:t>
      </w:r>
      <w:r>
        <w:rPr>
          <w:rFonts w:ascii="Calibri"/>
          <w:spacing w:val="-4"/>
          <w:w w:val="105"/>
          <w:sz w:val="19"/>
        </w:rPr>
        <w:t>3M</w:t>
      </w:r>
      <w:r>
        <w:rPr>
          <w:rFonts w:ascii="Calibri"/>
          <w:spacing w:val="-1"/>
          <w:w w:val="105"/>
          <w:sz w:val="19"/>
        </w:rPr>
        <w:t> </w:t>
      </w:r>
      <w:r>
        <w:rPr>
          <w:rFonts w:ascii="Calibri"/>
          <w:spacing w:val="-4"/>
          <w:w w:val="105"/>
          <w:sz w:val="19"/>
        </w:rPr>
        <w:t>IMM</w:t>
        <w:tab/>
      </w:r>
      <w:r>
        <w:rPr>
          <w:rFonts w:ascii="Calibri"/>
          <w:spacing w:val="-2"/>
          <w:w w:val="105"/>
          <w:sz w:val="19"/>
        </w:rPr>
        <w:t>ICE</w:t>
      </w:r>
      <w:r>
        <w:rPr>
          <w:rFonts w:ascii="Calibri"/>
          <w:spacing w:val="-7"/>
          <w:w w:val="105"/>
          <w:sz w:val="19"/>
        </w:rPr>
        <w:t> </w:t>
      </w:r>
      <w:r>
        <w:rPr>
          <w:rFonts w:ascii="Calibri"/>
          <w:spacing w:val="-4"/>
          <w:w w:val="105"/>
          <w:sz w:val="19"/>
        </w:rPr>
        <w:t>1M</w:t>
        <w:tab/>
      </w:r>
      <w:r>
        <w:rPr>
          <w:rFonts w:ascii="Calibri"/>
          <w:spacing w:val="-3"/>
          <w:w w:val="105"/>
          <w:sz w:val="19"/>
        </w:rPr>
        <w:t>CurveGlobal</w:t>
      </w:r>
      <w:r>
        <w:rPr>
          <w:rFonts w:ascii="Calibri"/>
          <w:spacing w:val="-6"/>
          <w:w w:val="105"/>
          <w:sz w:val="19"/>
        </w:rPr>
        <w:t> </w:t>
      </w:r>
      <w:r>
        <w:rPr>
          <w:rFonts w:ascii="Calibri"/>
          <w:spacing w:val="-4"/>
          <w:w w:val="105"/>
          <w:sz w:val="19"/>
        </w:rPr>
        <w:t>3M</w:t>
        <w:tab/>
      </w:r>
      <w:r>
        <w:rPr>
          <w:rFonts w:ascii="Calibri"/>
          <w:spacing w:val="-3"/>
          <w:w w:val="105"/>
          <w:sz w:val="19"/>
        </w:rPr>
        <w:t>CME</w:t>
      </w:r>
      <w:r>
        <w:rPr>
          <w:rFonts w:ascii="Calibri"/>
          <w:spacing w:val="-10"/>
          <w:w w:val="105"/>
          <w:sz w:val="19"/>
        </w:rPr>
        <w:t> </w:t>
      </w:r>
      <w:r>
        <w:rPr>
          <w:rFonts w:ascii="Calibri"/>
          <w:w w:val="105"/>
          <w:sz w:val="19"/>
        </w:rPr>
        <w:t>MPC</w:t>
        <w:tab/>
      </w:r>
      <w:r>
        <w:rPr>
          <w:rFonts w:ascii="Calibri"/>
          <w:spacing w:val="-3"/>
          <w:w w:val="105"/>
          <w:sz w:val="19"/>
        </w:rPr>
        <w:t>Open</w:t>
      </w:r>
      <w:r>
        <w:rPr>
          <w:rFonts w:ascii="Calibri"/>
          <w:spacing w:val="-1"/>
          <w:w w:val="105"/>
          <w:sz w:val="19"/>
        </w:rPr>
        <w:t> </w:t>
      </w:r>
      <w:r>
        <w:rPr>
          <w:rFonts w:ascii="Calibri"/>
          <w:spacing w:val="-3"/>
          <w:w w:val="105"/>
          <w:sz w:val="19"/>
        </w:rPr>
        <w:t>Interest</w:t>
      </w:r>
    </w:p>
    <w:p>
      <w:pPr>
        <w:pStyle w:val="BodyText"/>
        <w:spacing w:before="6"/>
        <w:rPr>
          <w:rFonts w:ascii="Calibri"/>
          <w:sz w:val="12"/>
        </w:rPr>
      </w:pPr>
    </w:p>
    <w:p>
      <w:pPr>
        <w:spacing w:line="242" w:lineRule="exact" w:before="60"/>
        <w:ind w:left="476" w:right="0" w:firstLine="0"/>
        <w:jc w:val="left"/>
        <w:rPr>
          <w:rFonts w:ascii="Calibri"/>
          <w:i/>
          <w:sz w:val="20"/>
        </w:rPr>
      </w:pPr>
      <w:r>
        <w:rPr>
          <w:rFonts w:ascii="Calibri"/>
          <w:i/>
          <w:sz w:val="20"/>
        </w:rPr>
        <w:t>Source: ICE Futures, Curve Global and CME Group</w:t>
      </w:r>
    </w:p>
    <w:p>
      <w:pPr>
        <w:spacing w:line="242" w:lineRule="exact" w:before="0"/>
        <w:ind w:left="476" w:right="0" w:firstLine="0"/>
        <w:jc w:val="left"/>
        <w:rPr>
          <w:rFonts w:ascii="Calibri"/>
          <w:i/>
          <w:sz w:val="20"/>
        </w:rPr>
      </w:pPr>
      <w:r>
        <w:rPr>
          <w:rFonts w:ascii="Calibri"/>
          <w:i/>
          <w:sz w:val="20"/>
        </w:rPr>
        <w:t>* Lots traded multiplied by nominal lot size</w:t>
      </w:r>
    </w:p>
    <w:p>
      <w:pPr>
        <w:pStyle w:val="BodyText"/>
        <w:spacing w:before="5"/>
        <w:rPr>
          <w:rFonts w:ascii="Calibri"/>
          <w:i/>
          <w:sz w:val="9"/>
        </w:rPr>
      </w:pPr>
    </w:p>
    <w:p>
      <w:pPr>
        <w:spacing w:after="0"/>
        <w:rPr>
          <w:rFonts w:ascii="Calibri"/>
          <w:sz w:val="9"/>
        </w:rPr>
        <w:sectPr>
          <w:type w:val="continuous"/>
          <w:pgSz w:w="10800" w:h="14400"/>
          <w:pgMar w:top="720" w:bottom="620" w:left="0" w:right="0"/>
        </w:sectPr>
      </w:pPr>
    </w:p>
    <w:p>
      <w:pPr>
        <w:spacing w:before="65"/>
        <w:ind w:left="1649" w:right="0" w:firstLine="0"/>
        <w:jc w:val="left"/>
        <w:rPr>
          <w:rFonts w:ascii="Calibri"/>
          <w:sz w:val="19"/>
        </w:rPr>
      </w:pPr>
      <w:r>
        <w:rPr>
          <w:rFonts w:ascii="Calibri"/>
          <w:w w:val="105"/>
          <w:sz w:val="19"/>
        </w:rPr>
        <w:t>Chart</w:t>
      </w:r>
      <w:r>
        <w:rPr>
          <w:rFonts w:ascii="Calibri"/>
          <w:spacing w:val="-18"/>
          <w:w w:val="105"/>
          <w:sz w:val="19"/>
        </w:rPr>
        <w:t> </w:t>
      </w:r>
      <w:r>
        <w:rPr>
          <w:rFonts w:ascii="Calibri"/>
          <w:w w:val="105"/>
          <w:sz w:val="19"/>
        </w:rPr>
        <w:t>4:</w:t>
      </w:r>
      <w:r>
        <w:rPr>
          <w:rFonts w:ascii="Calibri"/>
          <w:spacing w:val="-7"/>
          <w:w w:val="105"/>
          <w:sz w:val="19"/>
        </w:rPr>
        <w:t> </w:t>
      </w:r>
      <w:r>
        <w:rPr>
          <w:rFonts w:ascii="Calibri"/>
          <w:w w:val="105"/>
          <w:sz w:val="19"/>
        </w:rPr>
        <w:t>Volume</w:t>
      </w:r>
      <w:r>
        <w:rPr>
          <w:rFonts w:ascii="Calibri"/>
          <w:spacing w:val="-12"/>
          <w:w w:val="105"/>
          <w:sz w:val="19"/>
        </w:rPr>
        <w:t> </w:t>
      </w:r>
      <w:r>
        <w:rPr>
          <w:rFonts w:ascii="Calibri"/>
          <w:w w:val="105"/>
          <w:sz w:val="19"/>
        </w:rPr>
        <w:t>distribution</w:t>
      </w:r>
      <w:r>
        <w:rPr>
          <w:rFonts w:ascii="Calibri"/>
          <w:spacing w:val="-16"/>
          <w:w w:val="105"/>
          <w:sz w:val="19"/>
        </w:rPr>
        <w:t> </w:t>
      </w:r>
      <w:r>
        <w:rPr>
          <w:rFonts w:ascii="Calibri"/>
          <w:w w:val="105"/>
          <w:sz w:val="19"/>
        </w:rPr>
        <w:t>of</w:t>
      </w:r>
      <w:r>
        <w:rPr>
          <w:rFonts w:ascii="Calibri"/>
          <w:spacing w:val="-21"/>
          <w:w w:val="105"/>
          <w:sz w:val="19"/>
        </w:rPr>
        <w:t> </w:t>
      </w:r>
      <w:r>
        <w:rPr>
          <w:rFonts w:ascii="Calibri"/>
          <w:w w:val="105"/>
          <w:sz w:val="19"/>
        </w:rPr>
        <w:t>FRN</w:t>
      </w:r>
      <w:r>
        <w:rPr>
          <w:rFonts w:ascii="Calibri"/>
          <w:spacing w:val="-11"/>
          <w:w w:val="105"/>
          <w:sz w:val="19"/>
        </w:rPr>
        <w:t> </w:t>
      </w:r>
      <w:r>
        <w:rPr>
          <w:rFonts w:ascii="Calibri"/>
          <w:w w:val="105"/>
          <w:sz w:val="19"/>
        </w:rPr>
        <w:t>issuances</w:t>
      </w:r>
    </w:p>
    <w:p>
      <w:pPr>
        <w:pStyle w:val="BodyText"/>
        <w:rPr>
          <w:rFonts w:ascii="Calibri"/>
          <w:sz w:val="16"/>
        </w:rPr>
      </w:pPr>
      <w:r>
        <w:rPr/>
        <w:br w:type="column"/>
      </w:r>
      <w:r>
        <w:rPr>
          <w:rFonts w:ascii="Calibri"/>
          <w:sz w:val="16"/>
        </w:rPr>
      </w:r>
    </w:p>
    <w:p>
      <w:pPr>
        <w:pStyle w:val="BodyText"/>
        <w:spacing w:before="9"/>
        <w:rPr>
          <w:rFonts w:ascii="Calibri"/>
          <w:sz w:val="16"/>
        </w:rPr>
      </w:pPr>
    </w:p>
    <w:p>
      <w:pPr>
        <w:spacing w:before="0"/>
        <w:ind w:left="1649" w:right="0" w:firstLine="0"/>
        <w:jc w:val="left"/>
        <w:rPr>
          <w:rFonts w:ascii="Calibri"/>
          <w:sz w:val="16"/>
        </w:rPr>
      </w:pPr>
      <w:r>
        <w:rPr/>
        <w:pict>
          <v:group style="position:absolute;margin-left:26.783443pt;margin-top:5.01887pt;width:458.95pt;height:129.35pt;mso-position-horizontal-relative:page;mso-position-vertical-relative:paragraph;z-index:251671552" coordorigin="536,100" coordsize="9179,2587">
            <v:rect style="position:absolute;left:721;top:2146;width:244;height:488" filled="true" fillcolor="#ec7c30" stroked="false">
              <v:fill type="solid"/>
            </v:rect>
            <v:rect style="position:absolute;left:721;top:100;width:244;height:2047" filled="true" fillcolor="#8faadc" stroked="false">
              <v:fill type="solid"/>
            </v:rect>
            <v:rect style="position:absolute;left:2546;top:1298;width:244;height:1335" filled="true" fillcolor="#ec7c30" stroked="false">
              <v:fill type="solid"/>
            </v:rect>
            <v:rect style="position:absolute;left:2546;top:100;width:244;height:1199" filled="true" fillcolor="#8faadc" stroked="false">
              <v:fill type="solid"/>
            </v:rect>
            <v:rect style="position:absolute;left:3151;top:1639;width:244;height:994" filled="true" fillcolor="#ec7c30" stroked="false">
              <v:fill type="solid"/>
            </v:rect>
            <v:rect style="position:absolute;left:3151;top:100;width:244;height:1540" filled="true" fillcolor="#8faadc" stroked="false">
              <v:fill type="solid"/>
            </v:rect>
            <v:rect style="position:absolute;left:3756;top:2156;width:244;height:478" filled="true" fillcolor="#ec7c30" stroked="false">
              <v:fill type="solid"/>
            </v:rect>
            <v:rect style="position:absolute;left:3756;top:100;width:244;height:2056" filled="true" fillcolor="#8faadc" stroked="false">
              <v:fill type="solid"/>
            </v:rect>
            <v:rect style="position:absolute;left:4371;top:2497;width:244;height:137" filled="true" fillcolor="#ec7c30" stroked="false">
              <v:fill type="solid"/>
            </v:rect>
            <v:rect style="position:absolute;left:4371;top:100;width:244;height:2397" filled="true" fillcolor="#8faadc" stroked="false">
              <v:fill type="solid"/>
            </v:rect>
            <v:rect style="position:absolute;left:4976;top:753;width:244;height:1881" filled="true" fillcolor="#ec7c30" stroked="false">
              <v:fill type="solid"/>
            </v:rect>
            <v:rect style="position:absolute;left:4976;top:100;width:244;height:653" filled="true" fillcolor="#8faadc" stroked="false">
              <v:fill type="solid"/>
            </v:rect>
            <v:rect style="position:absolute;left:5581;top:607;width:244;height:2027" filled="true" fillcolor="#ec7c30" stroked="false">
              <v:fill type="solid"/>
            </v:rect>
            <v:rect style="position:absolute;left:5581;top:100;width:244;height:507" filled="true" fillcolor="#8faadc" stroked="false">
              <v:fill type="solid"/>
            </v:rect>
            <v:rect style="position:absolute;left:6196;top:548;width:235;height:2086" filled="true" fillcolor="#ec7c30" stroked="false">
              <v:fill type="solid"/>
            </v:rect>
            <v:rect style="position:absolute;left:6196;top:100;width:235;height:449" filled="true" fillcolor="#8faadc" stroked="false">
              <v:fill type="solid"/>
            </v:rect>
            <v:rect style="position:absolute;left:6801;top:1883;width:244;height:751" filled="true" fillcolor="#ec7c30" stroked="false">
              <v:fill type="solid"/>
            </v:rect>
            <v:rect style="position:absolute;left:6801;top:100;width:244;height:1784" filled="true" fillcolor="#8faadc" stroked="false">
              <v:fill type="solid"/>
            </v:rect>
            <v:rect style="position:absolute;left:7406;top:977;width:244;height:1657" filled="true" fillcolor="#ec7c30" stroked="false">
              <v:fill type="solid"/>
            </v:rect>
            <v:rect style="position:absolute;left:7406;top:100;width:244;height:877" filled="true" fillcolor="#8faadc" stroked="false">
              <v:fill type="solid"/>
            </v:rect>
            <v:rect style="position:absolute;left:8021;top:733;width:235;height:1900" filled="true" fillcolor="#ec7c30" stroked="false">
              <v:fill type="solid"/>
            </v:rect>
            <v:rect style="position:absolute;left:8021;top:100;width:235;height:634" filled="true" fillcolor="#8faadc" stroked="false">
              <v:fill type="solid"/>
            </v:rect>
            <v:rect style="position:absolute;left:8626;top:2360;width:244;height:273" filled="true" fillcolor="#ec7c30" stroked="false">
              <v:fill type="solid"/>
            </v:rect>
            <v:rect style="position:absolute;left:8626;top:100;width:244;height:2261" filled="true" fillcolor="#8faadc" stroked="false">
              <v:fill type="solid"/>
            </v:rect>
            <v:rect style="position:absolute;left:9231;top:412;width:244;height:2222" filled="true" fillcolor="#ec7c30" stroked="false">
              <v:fill type="solid"/>
            </v:rect>
            <v:shape style="position:absolute;left:1326;top:100;width:8150;height:2534" coordorigin="1326,100" coordsize="8150,2534" path="m1570,100l1326,100,1326,2634,1570,2634,1570,100m9475,100l9231,100,9231,412,9475,412,9475,100e" filled="true" fillcolor="#8faadc" stroked="false">
              <v:path arrowok="t"/>
              <v:fill type="solid"/>
            </v:shape>
            <v:shape style="position:absolute;left:222;top:3967;width:11280;height:3180" coordorigin="222,3968" coordsize="11280,3180" path="m9656,2639l9656,105m9656,2639l9714,2639m9656,2132l9714,2132m9656,1625l9714,1625m9656,1119l9714,1119m9656,612l9714,612m9656,105l9714,105m541,2639l9656,2639m541,2639l541,2687m1146,2639l1146,2687m1751,2639l1751,2687m2356,2639l2356,2687m2971,2639l2971,2687m3576,2639l3576,2687m4181,2639l4181,2687m4796,2639l4796,2687m5401,2639l5401,2687m6006,2639l6006,2687m6621,2639l6621,2687m7226,2639l7226,2687m7831,2639l7831,2687m8446,2639l8446,2687m9051,2639l9051,2687m9656,2639l9656,2687e" filled="false" stroked="true" strokeweight=".487577pt" strokecolor="#888888">
              <v:path arrowok="t"/>
              <v:stroke dashstyle="solid"/>
            </v:shape>
            <w10:wrap type="none"/>
          </v:group>
        </w:pict>
      </w:r>
      <w:r>
        <w:rPr>
          <w:rFonts w:ascii="Calibri"/>
          <w:w w:val="105"/>
          <w:sz w:val="16"/>
        </w:rPr>
        <w:t>100%</w:t>
      </w:r>
    </w:p>
    <w:p>
      <w:pPr>
        <w:spacing w:after="0"/>
        <w:jc w:val="left"/>
        <w:rPr>
          <w:rFonts w:ascii="Calibri"/>
          <w:sz w:val="16"/>
        </w:rPr>
        <w:sectPr>
          <w:type w:val="continuous"/>
          <w:pgSz w:w="10800" w:h="14400"/>
          <w:pgMar w:top="720" w:bottom="620" w:left="0" w:right="0"/>
          <w:cols w:num="2" w:equalWidth="0">
            <w:col w:w="5320" w:space="2849"/>
            <w:col w:w="2631"/>
          </w:cols>
        </w:sectPr>
      </w:pPr>
    </w:p>
    <w:p>
      <w:pPr>
        <w:pStyle w:val="BodyText"/>
        <w:spacing w:before="9"/>
        <w:rPr>
          <w:rFonts w:ascii="Calibri"/>
          <w:sz w:val="19"/>
        </w:rPr>
      </w:pPr>
    </w:p>
    <w:p>
      <w:pPr>
        <w:spacing w:before="72"/>
        <w:ind w:left="0" w:right="696" w:firstLine="0"/>
        <w:jc w:val="right"/>
        <w:rPr>
          <w:rFonts w:ascii="Calibri"/>
          <w:sz w:val="16"/>
        </w:rPr>
      </w:pPr>
      <w:r>
        <w:rPr>
          <w:rFonts w:ascii="Calibri"/>
          <w:spacing w:val="-2"/>
          <w:sz w:val="16"/>
        </w:rPr>
        <w:t>80%</w:t>
      </w:r>
    </w:p>
    <w:p>
      <w:pPr>
        <w:pStyle w:val="BodyText"/>
        <w:spacing w:before="8"/>
        <w:rPr>
          <w:rFonts w:ascii="Calibri"/>
          <w:sz w:val="19"/>
        </w:rPr>
      </w:pPr>
    </w:p>
    <w:p>
      <w:pPr>
        <w:spacing w:before="73"/>
        <w:ind w:left="0" w:right="696" w:firstLine="0"/>
        <w:jc w:val="right"/>
        <w:rPr>
          <w:rFonts w:ascii="Calibri"/>
          <w:sz w:val="16"/>
        </w:rPr>
      </w:pPr>
      <w:r>
        <w:rPr>
          <w:rFonts w:ascii="Calibri"/>
          <w:spacing w:val="-2"/>
          <w:sz w:val="16"/>
        </w:rPr>
        <w:t>60%</w:t>
      </w:r>
    </w:p>
    <w:p>
      <w:pPr>
        <w:pStyle w:val="BodyText"/>
        <w:spacing w:before="8"/>
        <w:rPr>
          <w:rFonts w:ascii="Calibri"/>
          <w:sz w:val="19"/>
        </w:rPr>
      </w:pPr>
    </w:p>
    <w:p>
      <w:pPr>
        <w:spacing w:before="72"/>
        <w:ind w:left="0" w:right="696" w:firstLine="0"/>
        <w:jc w:val="right"/>
        <w:rPr>
          <w:rFonts w:ascii="Calibri"/>
          <w:sz w:val="16"/>
        </w:rPr>
      </w:pPr>
      <w:r>
        <w:rPr/>
        <w:pict>
          <v:shape style="position:absolute;margin-left:96.864273pt;margin-top:8.815372pt;width:10.8pt;height:43.55pt;mso-position-horizontal-relative:page;mso-position-vertical-relative:paragraph;z-index:251685888" type="#_x0000_t202" filled="false" stroked="false">
            <v:textbox inset="0,0,0,0" style="layout-flow:vertical;mso-layout-flow-alt:bottom-to-top">
              <w:txbxContent>
                <w:p>
                  <w:pPr>
                    <w:spacing w:line="197" w:lineRule="exact" w:before="0"/>
                    <w:ind w:left="20" w:right="0" w:firstLine="0"/>
                    <w:jc w:val="left"/>
                    <w:rPr>
                      <w:rFonts w:ascii="Calibri"/>
                      <w:sz w:val="17"/>
                    </w:rPr>
                  </w:pPr>
                  <w:r>
                    <w:rPr>
                      <w:rFonts w:ascii="Calibri"/>
                      <w:w w:val="105"/>
                      <w:sz w:val="17"/>
                    </w:rPr>
                    <w:t>no issuance</w:t>
                  </w:r>
                </w:p>
              </w:txbxContent>
            </v:textbox>
            <w10:wrap type="none"/>
          </v:shape>
        </w:pict>
      </w:r>
      <w:r>
        <w:rPr>
          <w:rFonts w:ascii="Calibri"/>
          <w:spacing w:val="-2"/>
          <w:sz w:val="16"/>
        </w:rPr>
        <w:t>40%</w:t>
      </w:r>
    </w:p>
    <w:p>
      <w:pPr>
        <w:pStyle w:val="BodyText"/>
        <w:spacing w:before="9"/>
        <w:rPr>
          <w:rFonts w:ascii="Calibri"/>
          <w:sz w:val="19"/>
        </w:rPr>
      </w:pPr>
    </w:p>
    <w:p>
      <w:pPr>
        <w:spacing w:before="72"/>
        <w:ind w:left="0" w:right="696" w:firstLine="0"/>
        <w:jc w:val="right"/>
        <w:rPr>
          <w:rFonts w:ascii="Calibri"/>
          <w:sz w:val="16"/>
        </w:rPr>
      </w:pPr>
      <w:r>
        <w:rPr>
          <w:rFonts w:ascii="Calibri"/>
          <w:spacing w:val="-2"/>
          <w:sz w:val="16"/>
        </w:rPr>
        <w:t>20%</w:t>
      </w:r>
    </w:p>
    <w:p>
      <w:pPr>
        <w:pStyle w:val="BodyText"/>
        <w:spacing w:before="9"/>
        <w:rPr>
          <w:rFonts w:ascii="Calibri"/>
          <w:sz w:val="19"/>
        </w:rPr>
      </w:pPr>
    </w:p>
    <w:p>
      <w:pPr>
        <w:spacing w:before="72"/>
        <w:ind w:left="0" w:right="788" w:firstLine="0"/>
        <w:jc w:val="right"/>
        <w:rPr>
          <w:rFonts w:ascii="Calibri"/>
          <w:sz w:val="16"/>
        </w:rPr>
      </w:pPr>
      <w:r>
        <w:rPr/>
        <w:pict>
          <v:shape style="position:absolute;margin-left:37.637028pt;margin-top:13.146208pt;width:10.3pt;height:23.75pt;mso-position-horizontal-relative:page;mso-position-vertical-relative:paragraph;z-index:251681792"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w w:val="105"/>
                      <w:sz w:val="16"/>
                    </w:rPr>
                    <w:t>Jun-18</w:t>
                  </w:r>
                </w:p>
              </w:txbxContent>
            </v:textbox>
            <w10:wrap type="none"/>
          </v:shape>
        </w:pict>
      </w:r>
      <w:r>
        <w:rPr/>
        <w:pict>
          <v:shape style="position:absolute;margin-left:68.074097pt;margin-top:13.144422pt;width:10.3pt;height:21.35pt;mso-position-horizontal-relative:page;mso-position-vertical-relative:paragraph;z-index:251683840"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w w:val="105"/>
                      <w:sz w:val="16"/>
                    </w:rPr>
                    <w:t>Jul-18</w:t>
                  </w:r>
                </w:p>
              </w:txbxContent>
            </v:textbox>
            <w10:wrap type="none"/>
          </v:shape>
        </w:pict>
      </w:r>
      <w:r>
        <w:rPr/>
        <w:pict>
          <v:shape style="position:absolute;margin-left:98.491859pt;margin-top:12.844242pt;width:10.35pt;height:25.7pt;mso-position-horizontal-relative:page;mso-position-vertical-relative:paragraph;z-index:251686912" type="#_x0000_t202" filled="false" stroked="false">
            <v:textbox inset="0,0,0,0" style="layout-flow:vertical;mso-layout-flow-alt:bottom-to-top">
              <w:txbxContent>
                <w:p>
                  <w:pPr>
                    <w:spacing w:line="188" w:lineRule="exact" w:before="0"/>
                    <w:ind w:left="20" w:right="0" w:firstLine="0"/>
                    <w:jc w:val="left"/>
                    <w:rPr>
                      <w:rFonts w:ascii="Calibri"/>
                      <w:sz w:val="16"/>
                    </w:rPr>
                  </w:pPr>
                  <w:r>
                    <w:rPr>
                      <w:rFonts w:ascii="Calibri"/>
                      <w:w w:val="105"/>
                      <w:sz w:val="16"/>
                    </w:rPr>
                    <w:t>Aug-18</w:t>
                  </w:r>
                </w:p>
              </w:txbxContent>
            </v:textbox>
            <w10:wrap type="none"/>
          </v:shape>
        </w:pict>
      </w:r>
      <w:r>
        <w:rPr/>
        <w:pict>
          <v:shape style="position:absolute;margin-left:128.932999pt;margin-top:12.980649pt;width:10.35pt;height:24.85pt;mso-position-horizontal-relative:page;mso-position-vertical-relative:paragraph;z-index:251688960" type="#_x0000_t202" filled="false" stroked="false">
            <v:textbox inset="0,0,0,0" style="layout-flow:vertical;mso-layout-flow-alt:bottom-to-top">
              <w:txbxContent>
                <w:p>
                  <w:pPr>
                    <w:spacing w:line="188" w:lineRule="exact" w:before="0"/>
                    <w:ind w:left="20" w:right="0" w:firstLine="0"/>
                    <w:jc w:val="left"/>
                    <w:rPr>
                      <w:rFonts w:ascii="Calibri"/>
                      <w:sz w:val="16"/>
                    </w:rPr>
                  </w:pPr>
                  <w:r>
                    <w:rPr>
                      <w:rFonts w:ascii="Calibri"/>
                      <w:w w:val="105"/>
                      <w:sz w:val="16"/>
                    </w:rPr>
                    <w:t>Sep-18</w:t>
                  </w:r>
                </w:p>
              </w:txbxContent>
            </v:textbox>
            <w10:wrap type="none"/>
          </v:shape>
        </w:pict>
      </w:r>
      <w:r>
        <w:rPr/>
        <w:pict>
          <v:shape style="position:absolute;margin-left:159.37413pt;margin-top:13.050641pt;width:10.35pt;height:24.25pt;mso-position-horizontal-relative:page;mso-position-vertical-relative:paragraph;z-index:251692032" type="#_x0000_t202" filled="false" stroked="false">
            <v:textbox inset="0,0,0,0" style="layout-flow:vertical;mso-layout-flow-alt:bottom-to-top">
              <w:txbxContent>
                <w:p>
                  <w:pPr>
                    <w:spacing w:line="188" w:lineRule="exact" w:before="0"/>
                    <w:ind w:left="20" w:right="0" w:firstLine="0"/>
                    <w:jc w:val="left"/>
                    <w:rPr>
                      <w:rFonts w:ascii="Calibri"/>
                      <w:sz w:val="16"/>
                    </w:rPr>
                  </w:pPr>
                  <w:r>
                    <w:rPr>
                      <w:rFonts w:ascii="Calibri"/>
                      <w:w w:val="105"/>
                      <w:sz w:val="16"/>
                    </w:rPr>
                    <w:t>Oct-18</w:t>
                  </w:r>
                </w:p>
              </w:txbxContent>
            </v:textbox>
            <w10:wrap type="none"/>
          </v:shape>
        </w:pict>
      </w:r>
      <w:r>
        <w:rPr/>
        <w:pict>
          <v:shape style="position:absolute;margin-left:189.807144pt;margin-top:12.75591pt;width:10.35pt;height:26.2pt;mso-position-horizontal-relative:page;mso-position-vertical-relative:paragraph;z-index:251694080" type="#_x0000_t202" filled="false" stroked="false">
            <v:textbox inset="0,0,0,0" style="layout-flow:vertical;mso-layout-flow-alt:bottom-to-top">
              <w:txbxContent>
                <w:p>
                  <w:pPr>
                    <w:spacing w:line="188" w:lineRule="exact" w:before="0"/>
                    <w:ind w:left="20" w:right="0" w:firstLine="0"/>
                    <w:jc w:val="left"/>
                    <w:rPr>
                      <w:rFonts w:ascii="Calibri"/>
                      <w:sz w:val="16"/>
                    </w:rPr>
                  </w:pPr>
                  <w:r>
                    <w:rPr>
                      <w:rFonts w:ascii="Calibri"/>
                      <w:w w:val="105"/>
                      <w:sz w:val="16"/>
                    </w:rPr>
                    <w:t>Nov-18</w:t>
                  </w:r>
                </w:p>
              </w:txbxContent>
            </v:textbox>
            <w10:wrap type="none"/>
          </v:shape>
        </w:pict>
      </w:r>
      <w:r>
        <w:rPr/>
        <w:pict>
          <v:shape style="position:absolute;margin-left:220.240143pt;margin-top:12.941998pt;width:10.35pt;height:25.3pt;mso-position-horizontal-relative:page;mso-position-vertical-relative:paragraph;z-index:251696128" type="#_x0000_t202" filled="false" stroked="false">
            <v:textbox inset="0,0,0,0" style="layout-flow:vertical;mso-layout-flow-alt:bottom-to-top">
              <w:txbxContent>
                <w:p>
                  <w:pPr>
                    <w:spacing w:line="188" w:lineRule="exact" w:before="0"/>
                    <w:ind w:left="20" w:right="0" w:firstLine="0"/>
                    <w:jc w:val="left"/>
                    <w:rPr>
                      <w:rFonts w:ascii="Calibri"/>
                      <w:sz w:val="16"/>
                    </w:rPr>
                  </w:pPr>
                  <w:r>
                    <w:rPr>
                      <w:rFonts w:ascii="Calibri"/>
                      <w:sz w:val="16"/>
                    </w:rPr>
                    <w:t>Dec-18</w:t>
                  </w:r>
                </w:p>
              </w:txbxContent>
            </v:textbox>
            <w10:wrap type="none"/>
          </v:shape>
        </w:pict>
      </w:r>
      <w:r>
        <w:rPr/>
        <w:pict>
          <v:shape style="position:absolute;margin-left:250.712799pt;margin-top:12.714561pt;width:10.3pt;height:23.8pt;mso-position-horizontal-relative:page;mso-position-vertical-relative:paragraph;z-index:251698176"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w w:val="105"/>
                      <w:sz w:val="16"/>
                    </w:rPr>
                    <w:t>Jan-19</w:t>
                  </w:r>
                </w:p>
              </w:txbxContent>
            </v:textbox>
            <w10:wrap type="none"/>
          </v:shape>
        </w:pict>
      </w:r>
      <w:r>
        <w:rPr/>
        <w:pict>
          <v:shape style="position:absolute;margin-left:281.153931pt;margin-top:12.995017pt;width:10.3pt;height:24.8pt;mso-position-horizontal-relative:page;mso-position-vertical-relative:paragraph;z-index:251701248"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sz w:val="16"/>
                    </w:rPr>
                    <w:t>Feb-19</w:t>
                  </w:r>
                </w:p>
              </w:txbxContent>
            </v:textbox>
            <w10:wrap type="none"/>
          </v:shape>
        </w:pict>
      </w:r>
      <w:r>
        <w:rPr/>
        <w:pict>
          <v:shape style="position:absolute;margin-left:311.595093pt;margin-top:12.672663pt;width:10.3pt;height:26.75pt;mso-position-horizontal-relative:page;mso-position-vertical-relative:paragraph;z-index:251703296"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w w:val="105"/>
                      <w:sz w:val="16"/>
                    </w:rPr>
                    <w:t>Mar-19</w:t>
                  </w:r>
                </w:p>
              </w:txbxContent>
            </v:textbox>
            <w10:wrap type="none"/>
          </v:shape>
        </w:pict>
      </w:r>
      <w:r>
        <w:rPr/>
        <w:pict>
          <v:shape style="position:absolute;margin-left:342.028076pt;margin-top:12.847075pt;width:10.3pt;height:24.7pt;mso-position-horizontal-relative:page;mso-position-vertical-relative:paragraph;z-index:251705344"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w w:val="105"/>
                      <w:sz w:val="16"/>
                    </w:rPr>
                    <w:t>Apr-19</w:t>
                  </w:r>
                </w:p>
              </w:txbxContent>
            </v:textbox>
            <w10:wrap type="none"/>
          </v:shape>
        </w:pict>
      </w:r>
      <w:r>
        <w:rPr/>
        <w:pict>
          <v:shape style="position:absolute;margin-left:372.46109pt;margin-top:13.099113pt;width:10.3pt;height:27.2pt;mso-position-horizontal-relative:page;mso-position-vertical-relative:paragraph;z-index:251707392"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w w:val="105"/>
                      <w:sz w:val="16"/>
                    </w:rPr>
                    <w:t>May-19</w:t>
                  </w:r>
                </w:p>
              </w:txbxContent>
            </v:textbox>
            <w10:wrap type="none"/>
          </v:shape>
        </w:pict>
      </w:r>
      <w:r>
        <w:rPr/>
        <w:pict>
          <v:shape style="position:absolute;margin-left:402.902222pt;margin-top:13.146208pt;width:10.3pt;height:23.75pt;mso-position-horizontal-relative:page;mso-position-vertical-relative:paragraph;z-index:251709440"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w w:val="105"/>
                      <w:sz w:val="16"/>
                    </w:rPr>
                    <w:t>Jun-19</w:t>
                  </w:r>
                </w:p>
              </w:txbxContent>
            </v:textbox>
            <w10:wrap type="none"/>
          </v:shape>
        </w:pict>
      </w:r>
      <w:r>
        <w:rPr/>
        <w:pict>
          <v:shape style="position:absolute;margin-left:433.343384pt;margin-top:13.144422pt;width:10.3pt;height:21.35pt;mso-position-horizontal-relative:page;mso-position-vertical-relative:paragraph;z-index:251712512"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w w:val="105"/>
                      <w:sz w:val="16"/>
                    </w:rPr>
                    <w:t>Jul-19</w:t>
                  </w:r>
                </w:p>
              </w:txbxContent>
            </v:textbox>
            <w10:wrap type="none"/>
          </v:shape>
        </w:pict>
      </w:r>
      <w:r>
        <w:rPr/>
        <w:pict>
          <v:shape style="position:absolute;margin-left:463.776367pt;margin-top:12.852449pt;width:10.3pt;height:25.7pt;mso-position-horizontal-relative:page;mso-position-vertical-relative:paragraph;z-index:251713536" type="#_x0000_t202" filled="false" stroked="false">
            <v:textbox inset="0,0,0,0" style="layout-flow:vertical;mso-layout-flow-alt:bottom-to-top">
              <w:txbxContent>
                <w:p>
                  <w:pPr>
                    <w:spacing w:line="187" w:lineRule="exact" w:before="0"/>
                    <w:ind w:left="20" w:right="0" w:firstLine="0"/>
                    <w:jc w:val="left"/>
                    <w:rPr>
                      <w:rFonts w:ascii="Calibri"/>
                      <w:sz w:val="16"/>
                    </w:rPr>
                  </w:pPr>
                  <w:r>
                    <w:rPr>
                      <w:rFonts w:ascii="Calibri"/>
                      <w:w w:val="105"/>
                      <w:sz w:val="16"/>
                    </w:rPr>
                    <w:t>Aug-19</w:t>
                  </w:r>
                </w:p>
              </w:txbxContent>
            </v:textbox>
            <w10:wrap type="none"/>
          </v:shape>
        </w:pict>
      </w:r>
      <w:r>
        <w:rPr>
          <w:rFonts w:ascii="Calibri"/>
          <w:sz w:val="16"/>
        </w:rPr>
        <w:t>0%</w:t>
      </w:r>
    </w:p>
    <w:p>
      <w:pPr>
        <w:pStyle w:val="BodyText"/>
        <w:rPr>
          <w:rFonts w:ascii="Calibri"/>
        </w:rPr>
      </w:pPr>
    </w:p>
    <w:p>
      <w:pPr>
        <w:pStyle w:val="BodyText"/>
        <w:spacing w:before="9"/>
        <w:rPr>
          <w:rFonts w:ascii="Calibri"/>
          <w:sz w:val="28"/>
        </w:rPr>
      </w:pPr>
    </w:p>
    <w:p>
      <w:pPr>
        <w:tabs>
          <w:tab w:pos="714" w:val="left" w:leader="none"/>
        </w:tabs>
        <w:spacing w:before="72"/>
        <w:ind w:left="34" w:right="0" w:firstLine="0"/>
        <w:jc w:val="center"/>
        <w:rPr>
          <w:rFonts w:ascii="Calibri"/>
          <w:sz w:val="16"/>
        </w:rPr>
      </w:pPr>
      <w:r>
        <w:rPr/>
        <w:pict>
          <v:rect style="position:absolute;margin-left:237.58609pt;margin-top:6.122047pt;width:4.391722pt;height:4.384669pt;mso-position-horizontal-relative:page;mso-position-vertical-relative:paragraph;z-index:251672576" filled="true" fillcolor="#ec7c30" stroked="false">
            <v:fill type="solid"/>
            <w10:wrap type="none"/>
          </v:rect>
        </w:pict>
      </w:r>
      <w:r>
        <w:rPr/>
        <w:pict>
          <v:rect style="position:absolute;margin-left:271.255951pt;margin-top:6.122047pt;width:4.391722pt;height:4.384669pt;mso-position-horizontal-relative:page;mso-position-vertical-relative:paragraph;z-index:-252322816" filled="true" fillcolor="#8faadc" stroked="false">
            <v:fill type="solid"/>
            <w10:wrap type="none"/>
          </v:rect>
        </w:pict>
      </w:r>
      <w:r>
        <w:rPr>
          <w:rFonts w:ascii="Calibri"/>
          <w:w w:val="105"/>
          <w:sz w:val="16"/>
        </w:rPr>
        <w:t>SONIA</w:t>
        <w:tab/>
      </w:r>
      <w:r>
        <w:rPr>
          <w:rFonts w:ascii="Calibri"/>
          <w:spacing w:val="-3"/>
          <w:w w:val="105"/>
          <w:sz w:val="16"/>
        </w:rPr>
        <w:t>LIBOR</w:t>
      </w:r>
    </w:p>
    <w:p>
      <w:pPr>
        <w:spacing w:before="58"/>
        <w:ind w:left="504" w:right="0" w:firstLine="0"/>
        <w:jc w:val="left"/>
        <w:rPr>
          <w:rFonts w:ascii="Calibri"/>
          <w:i/>
          <w:sz w:val="20"/>
        </w:rPr>
      </w:pPr>
      <w:r>
        <w:rPr>
          <w:rFonts w:ascii="Calibri"/>
          <w:i/>
          <w:sz w:val="20"/>
        </w:rPr>
        <w:t>Source: Bloomberg L.P. and Bank of England Calculations</w:t>
      </w:r>
    </w:p>
    <w:p>
      <w:pPr>
        <w:pStyle w:val="BodyText"/>
        <w:spacing w:before="2"/>
        <w:rPr>
          <w:rFonts w:ascii="Calibri"/>
          <w:i/>
          <w:sz w:val="23"/>
        </w:rPr>
      </w:pPr>
    </w:p>
    <w:p>
      <w:pPr>
        <w:spacing w:before="52"/>
        <w:ind w:left="1915" w:right="0" w:firstLine="0"/>
        <w:jc w:val="left"/>
        <w:rPr>
          <w:rFonts w:ascii="Calibri"/>
          <w:sz w:val="24"/>
        </w:rPr>
      </w:pPr>
      <w:r>
        <w:rPr/>
        <w:drawing>
          <wp:anchor distT="0" distB="0" distL="0" distR="0" allowOverlap="1" layoutInCell="1" locked="0" behindDoc="0" simplePos="0" relativeHeight="12">
            <wp:simplePos x="0" y="0"/>
            <wp:positionH relativeFrom="page">
              <wp:posOffset>621030</wp:posOffset>
            </wp:positionH>
            <wp:positionV relativeFrom="paragraph">
              <wp:posOffset>265503</wp:posOffset>
            </wp:positionV>
            <wp:extent cx="4784126" cy="2000250"/>
            <wp:effectExtent l="0" t="0" r="0" b="0"/>
            <wp:wrapTopAndBottom/>
            <wp:docPr id="7" name="image15.jpeg"/>
            <wp:cNvGraphicFramePr>
              <a:graphicFrameLocks noChangeAspect="1"/>
            </wp:cNvGraphicFramePr>
            <a:graphic>
              <a:graphicData uri="http://schemas.openxmlformats.org/drawingml/2006/picture">
                <pic:pic>
                  <pic:nvPicPr>
                    <pic:cNvPr id="8" name="image15.jpeg"/>
                    <pic:cNvPicPr/>
                  </pic:nvPicPr>
                  <pic:blipFill>
                    <a:blip r:embed="rId24" cstate="print"/>
                    <a:stretch>
                      <a:fillRect/>
                    </a:stretch>
                  </pic:blipFill>
                  <pic:spPr>
                    <a:xfrm>
                      <a:off x="0" y="0"/>
                      <a:ext cx="4784126" cy="2000250"/>
                    </a:xfrm>
                    <a:prstGeom prst="rect">
                      <a:avLst/>
                    </a:prstGeom>
                  </pic:spPr>
                </pic:pic>
              </a:graphicData>
            </a:graphic>
          </wp:anchor>
        </w:drawing>
      </w:r>
      <w:r>
        <w:rPr>
          <w:rFonts w:ascii="Calibri"/>
          <w:sz w:val="24"/>
        </w:rPr>
        <w:t>Table 1: LCH Swap Statistics</w:t>
      </w:r>
    </w:p>
    <w:p>
      <w:pPr>
        <w:spacing w:after="0"/>
        <w:jc w:val="left"/>
        <w:rPr>
          <w:rFonts w:ascii="Calibri"/>
          <w:sz w:val="24"/>
        </w:rPr>
        <w:sectPr>
          <w:type w:val="continuous"/>
          <w:pgSz w:w="10800" w:h="14400"/>
          <w:pgMar w:top="720" w:bottom="620" w:left="0" w:right="0"/>
        </w:sectPr>
      </w:pPr>
    </w:p>
    <w:p>
      <w:pPr>
        <w:pStyle w:val="Heading1"/>
        <w:spacing w:before="12"/>
        <w:ind w:left="894"/>
      </w:pPr>
      <w:r>
        <w:rPr/>
        <w:t>Concentration of borrowers in the underlying market</w:t>
      </w:r>
    </w:p>
    <w:p>
      <w:pPr>
        <w:pStyle w:val="BodyText"/>
        <w:rPr>
          <w:rFonts w:ascii="Calibri"/>
        </w:rPr>
      </w:pPr>
    </w:p>
    <w:p>
      <w:pPr>
        <w:pStyle w:val="BodyText"/>
        <w:rPr>
          <w:rFonts w:ascii="Calibri"/>
        </w:rPr>
      </w:pPr>
    </w:p>
    <w:p>
      <w:pPr>
        <w:pStyle w:val="BodyText"/>
        <w:rPr>
          <w:rFonts w:ascii="Calibri"/>
        </w:rPr>
      </w:pPr>
    </w:p>
    <w:p>
      <w:pPr>
        <w:pStyle w:val="BodyText"/>
        <w:spacing w:before="6"/>
        <w:rPr>
          <w:rFonts w:ascii="Calibri"/>
        </w:rPr>
      </w:pPr>
    </w:p>
    <w:p>
      <w:pPr>
        <w:tabs>
          <w:tab w:pos="1429" w:val="left" w:leader="none"/>
          <w:tab w:pos="2096" w:val="left" w:leader="none"/>
          <w:tab w:pos="2764" w:val="left" w:leader="none"/>
        </w:tabs>
        <w:spacing w:before="96"/>
        <w:ind w:left="840" w:right="0" w:firstLine="0"/>
        <w:jc w:val="center"/>
        <w:rPr>
          <w:sz w:val="14"/>
        </w:rPr>
      </w:pPr>
      <w:r>
        <w:rPr/>
        <w:pict>
          <v:rect style="position:absolute;margin-left:226.76033pt;margin-top:7.376608pt;width:3.738677pt;height:3.266089pt;mso-position-horizontal-relative:page;mso-position-vertical-relative:paragraph;z-index:251716608" filled="true" fillcolor="#205868" stroked="false">
            <v:fill type="solid"/>
            <w10:wrap type="none"/>
          </v:rect>
        </w:pict>
      </w:r>
      <w:r>
        <w:rPr/>
        <w:pict>
          <v:rect style="position:absolute;margin-left:256.202393pt;margin-top:7.376608pt;width:3.738677pt;height:3.266089pt;mso-position-horizontal-relative:page;mso-position-vertical-relative:paragraph;z-index:-252278784" filled="true" fillcolor="#46a0b8" stroked="false">
            <v:fill type="solid"/>
            <w10:wrap type="none"/>
          </v:rect>
        </w:pict>
      </w:r>
      <w:r>
        <w:rPr/>
        <w:pict>
          <v:rect style="position:absolute;margin-left:289.850494pt;margin-top:7.376608pt;width:3.271342pt;height:3.266089pt;mso-position-horizontal-relative:page;mso-position-vertical-relative:paragraph;z-index:-252277760" filled="true" fillcolor="#92cddd" stroked="false">
            <v:fill type="solid"/>
            <w10:wrap type="none"/>
          </v:rect>
        </w:pict>
      </w:r>
      <w:r>
        <w:rPr/>
        <w:pict>
          <v:rect style="position:absolute;margin-left:323.03125pt;margin-top:7.376608pt;width:3.271342pt;height:3.266089pt;mso-position-horizontal-relative:page;mso-position-vertical-relative:paragraph;z-index:-252276736" filled="true" fillcolor="#b5d3df" stroked="false">
            <v:fill type="solid"/>
            <w10:wrap type="none"/>
          </v:rect>
        </w:pict>
      </w:r>
      <w:r>
        <w:rPr>
          <w:sz w:val="14"/>
        </w:rPr>
        <w:t>Top</w:t>
      </w:r>
      <w:r>
        <w:rPr>
          <w:spacing w:val="-4"/>
          <w:sz w:val="14"/>
        </w:rPr>
        <w:t> </w:t>
      </w:r>
      <w:r>
        <w:rPr>
          <w:sz w:val="14"/>
        </w:rPr>
        <w:t>5</w:t>
        <w:tab/>
        <w:t>Top</w:t>
      </w:r>
      <w:r>
        <w:rPr>
          <w:spacing w:val="-5"/>
          <w:sz w:val="14"/>
        </w:rPr>
        <w:t> </w:t>
      </w:r>
      <w:r>
        <w:rPr>
          <w:sz w:val="14"/>
        </w:rPr>
        <w:t>10</w:t>
        <w:tab/>
        <w:t>Top</w:t>
      </w:r>
      <w:r>
        <w:rPr>
          <w:spacing w:val="-5"/>
          <w:sz w:val="14"/>
        </w:rPr>
        <w:t> </w:t>
      </w:r>
      <w:r>
        <w:rPr>
          <w:sz w:val="14"/>
        </w:rPr>
        <w:t>15</w:t>
        <w:tab/>
        <w:t>Top</w:t>
      </w:r>
      <w:r>
        <w:rPr>
          <w:spacing w:val="-5"/>
          <w:sz w:val="14"/>
        </w:rPr>
        <w:t> </w:t>
      </w:r>
      <w:r>
        <w:rPr>
          <w:sz w:val="14"/>
        </w:rPr>
        <w:t>20</w:t>
      </w:r>
    </w:p>
    <w:p>
      <w:pPr>
        <w:spacing w:before="92"/>
        <w:ind w:left="0" w:right="17" w:firstLine="0"/>
        <w:jc w:val="right"/>
        <w:rPr>
          <w:sz w:val="14"/>
        </w:rPr>
      </w:pPr>
      <w:r>
        <w:rPr/>
        <w:pict>
          <v:group style="position:absolute;margin-left:16.930195pt;margin-top:8.498598pt;width:499.85pt;height:179.45pt;mso-position-horizontal-relative:page;mso-position-vertical-relative:paragraph;z-index:251715584" coordorigin="339,170" coordsize="9997,3589">
            <v:rect style="position:absolute;left:343;top:174;width:9955;height:3547" filled="false" stroked="true" strokeweight=".466669pt" strokecolor="#000000">
              <v:stroke dashstyle="solid"/>
            </v:rect>
            <v:shape style="position:absolute;left:338;top:1943;width:9955;height:1783" coordorigin="339,1943" coordsize="9955,1783" path="m339,2018l339,3725,10293,3725,10293,2111,9667,2111,9255,2092,1582,2092,965,2027,339,2018xm10293,2102l9667,2111,10293,2111,10293,2102xm2825,1943l2208,2092,7807,2092,7180,2074,6769,2055,5320,2055,4694,2008,4068,1999,2825,1943xm8423,2046l7807,2092,9255,2092,9050,2083,8423,2046xm6563,2046l5937,2055,6769,2055,6563,2046xe" filled="true" fillcolor="#205868" stroked="false">
              <v:path arrowok="t"/>
              <v:fill type="solid"/>
            </v:shape>
            <v:shape style="position:absolute;left:338;top:1177;width:9955;height:934" coordorigin="339,1178" coordsize="9955,934" path="m10293,2046l8423,2046,9050,2083,9667,2111,10293,2102,10293,2046xm965,1178l339,1206,339,2018,965,2027,1582,2092,2208,2092,2825,1943,10293,1943,10293,1430,9667,1374,9050,1364,8737,1346,5320,1346,5279,1336,1582,1336,965,1178xm8423,2046l6563,2046,7180,2074,7807,2092,8423,2046xm10293,1943l2825,1943,4068,1999,4694,2008,5320,2055,5937,2055,6563,2046,10293,2046,10293,1943xm5937,1271l5320,1346,7807,1346,7180,1336,6563,1308,5937,1271xm8423,1327l7807,1346,8737,1346,8423,1327xm4068,1187l3451,1196,2825,1224,2208,1327,1582,1336,5279,1336,4694,1206,4068,1187xe" filled="true" fillcolor="#46a0b8" stroked="false">
              <v:path arrowok="t"/>
              <v:fill type="solid"/>
            </v:shape>
            <v:shape style="position:absolute;left:338;top:636;width:9955;height:794" coordorigin="339,637" coordsize="9955,794" path="m10293,1327l8423,1327,9050,1364,9667,1374,10293,1430,10293,1327xm10293,1187l4068,1187,4694,1206,5320,1346,5937,1271,10293,1271,10293,1187xm10293,1271l5937,1271,6563,1308,7180,1336,7807,1346,8423,1327,10293,1327,10293,1271xm10293,1178l965,1178,1582,1336,2208,1327,2825,1224,3451,1196,4068,1187,10293,1187,10293,1178xm339,637l339,1206,965,1178,10293,1178,10293,907,9667,851,8423,814,5320,814,5112,777,1582,777,965,665,339,637xm5937,702l5320,814,8423,814,7807,795,7180,758,5937,702xm3451,665l2825,730,2208,777,5112,777,4694,702,4068,674,3451,665xe" filled="true" fillcolor="#92cddd" stroked="false">
              <v:path arrowok="t"/>
              <v:fill type="solid"/>
            </v:shape>
            <v:shape style="position:absolute;left:338;top:337;width:9955;height:570" coordorigin="339,338" coordsize="9955,570" path="m10293,702l5937,702,7180,758,7807,795,9667,851,10293,907,10293,702xm10293,665l3451,665,4068,674,4694,702,5320,814,5937,702,10293,702,10293,665xm339,338l339,637,965,665,1582,777,2208,777,2825,730,3451,665,10293,665,10293,543,9792,506,7807,506,7556,487,5320,487,4873,441,1582,441,965,366,339,338xm9050,459l8423,497,7807,506,9792,506,9667,497,9050,459xm5937,431l5320,487,7556,487,7180,459,6563,441,5937,431xm2208,431l1582,441,2825,441,2208,431xm3451,413l2825,441,4873,441,4694,422,4068,422,3451,413xe" filled="true" fillcolor="#b5d3df" stroked="false">
              <v:path arrowok="t"/>
              <v:fill type="solid"/>
            </v:shape>
            <v:shape style="position:absolute;left:332;top:6798;width:12828;height:4609" coordorigin="333,6799" coordsize="12828,4609" path="m10297,3721l10297,175m10297,3721l10335,3721m10297,3011l10335,3011m10297,2302l10335,2302m10297,1593l10335,1593m10297,884l10335,884m10297,175l10335,175m343,3721l10297,3721m343,3721l343,3758m960,3721l960,3758m1586,3721l1586,3758m2203,3721l2203,3758m2829,3721l2829,3758m3446,3721l3446,3758m4073,3721l4073,3758m4689,3721l4689,3758m5316,3721l5316,3758m5942,3721l5942,3758m6559,3721l6559,3758m7185,3721l7185,3758m7802,3721l7802,3758m8428,3721l8428,3758m9045,3721l9045,3758m9671,3721l9671,3758m10297,3721l10297,3758e" filled="false" stroked="true" strokeweight=".466959pt" strokecolor="#000000">
              <v:path arrowok="t"/>
              <v:stroke dashstyle="solid"/>
            </v:shape>
            <w10:wrap type="none"/>
          </v:group>
        </w:pict>
      </w:r>
      <w:r>
        <w:rPr>
          <w:sz w:val="14"/>
        </w:rPr>
        <w:t>100%</w:t>
      </w:r>
    </w:p>
    <w:p>
      <w:pPr>
        <w:pStyle w:val="BodyText"/>
      </w:pPr>
    </w:p>
    <w:p>
      <w:pPr>
        <w:pStyle w:val="BodyText"/>
        <w:spacing w:before="6"/>
        <w:rPr>
          <w:sz w:val="19"/>
        </w:rPr>
      </w:pPr>
    </w:p>
    <w:p>
      <w:pPr>
        <w:spacing w:before="96"/>
        <w:ind w:left="0" w:right="92" w:firstLine="0"/>
        <w:jc w:val="right"/>
        <w:rPr>
          <w:sz w:val="14"/>
        </w:rPr>
      </w:pPr>
      <w:r>
        <w:rPr>
          <w:sz w:val="14"/>
        </w:rPr>
        <w:t>80%</w:t>
      </w:r>
    </w:p>
    <w:p>
      <w:pPr>
        <w:pStyle w:val="BodyText"/>
      </w:pPr>
    </w:p>
    <w:p>
      <w:pPr>
        <w:pStyle w:val="BodyText"/>
        <w:spacing w:before="6"/>
        <w:rPr>
          <w:sz w:val="19"/>
        </w:rPr>
      </w:pPr>
    </w:p>
    <w:p>
      <w:pPr>
        <w:spacing w:before="96"/>
        <w:ind w:left="0" w:right="92" w:firstLine="0"/>
        <w:jc w:val="right"/>
        <w:rPr>
          <w:sz w:val="14"/>
        </w:rPr>
      </w:pPr>
      <w:r>
        <w:rPr>
          <w:sz w:val="14"/>
        </w:rPr>
        <w:t>60%</w:t>
      </w:r>
    </w:p>
    <w:p>
      <w:pPr>
        <w:pStyle w:val="BodyText"/>
      </w:pPr>
    </w:p>
    <w:p>
      <w:pPr>
        <w:pStyle w:val="BodyText"/>
        <w:spacing w:before="5"/>
        <w:rPr>
          <w:sz w:val="19"/>
        </w:rPr>
      </w:pPr>
    </w:p>
    <w:p>
      <w:pPr>
        <w:spacing w:before="96"/>
        <w:ind w:left="0" w:right="92" w:firstLine="0"/>
        <w:jc w:val="right"/>
        <w:rPr>
          <w:sz w:val="14"/>
        </w:rPr>
      </w:pPr>
      <w:r>
        <w:rPr>
          <w:sz w:val="14"/>
        </w:rPr>
        <w:t>40%</w:t>
      </w:r>
    </w:p>
    <w:p>
      <w:pPr>
        <w:pStyle w:val="BodyText"/>
      </w:pPr>
    </w:p>
    <w:p>
      <w:pPr>
        <w:pStyle w:val="BodyText"/>
        <w:spacing w:before="6"/>
        <w:rPr>
          <w:sz w:val="19"/>
        </w:rPr>
      </w:pPr>
    </w:p>
    <w:p>
      <w:pPr>
        <w:spacing w:before="96"/>
        <w:ind w:left="0" w:right="92" w:firstLine="0"/>
        <w:jc w:val="right"/>
        <w:rPr>
          <w:sz w:val="14"/>
        </w:rPr>
      </w:pPr>
      <w:r>
        <w:rPr>
          <w:sz w:val="14"/>
        </w:rPr>
        <w:t>20%</w:t>
      </w:r>
    </w:p>
    <w:p>
      <w:pPr>
        <w:pStyle w:val="BodyText"/>
      </w:pPr>
    </w:p>
    <w:p>
      <w:pPr>
        <w:pStyle w:val="BodyText"/>
        <w:spacing w:before="6"/>
        <w:rPr>
          <w:sz w:val="19"/>
        </w:rPr>
      </w:pPr>
    </w:p>
    <w:p>
      <w:pPr>
        <w:spacing w:line="159" w:lineRule="exact" w:before="96"/>
        <w:ind w:left="10422" w:right="0" w:firstLine="0"/>
        <w:jc w:val="left"/>
        <w:rPr>
          <w:sz w:val="14"/>
        </w:rPr>
      </w:pPr>
      <w:r>
        <w:rPr>
          <w:sz w:val="14"/>
        </w:rPr>
        <w:t>0%</w:t>
      </w:r>
    </w:p>
    <w:p>
      <w:pPr>
        <w:tabs>
          <w:tab w:pos="753" w:val="left" w:leader="none"/>
          <w:tab w:pos="1393" w:val="left" w:leader="none"/>
          <w:tab w:pos="2036" w:val="left" w:leader="none"/>
          <w:tab w:pos="2628" w:val="left" w:leader="none"/>
          <w:tab w:pos="3251" w:val="left" w:leader="none"/>
          <w:tab w:pos="3887" w:val="left" w:leader="none"/>
          <w:tab w:pos="4496" w:val="left" w:leader="none"/>
          <w:tab w:pos="5118" w:val="left" w:leader="none"/>
          <w:tab w:pos="5751" w:val="left" w:leader="none"/>
          <w:tab w:pos="6368" w:val="left" w:leader="none"/>
          <w:tab w:pos="6990" w:val="left" w:leader="none"/>
          <w:tab w:pos="7623" w:val="left" w:leader="none"/>
          <w:tab w:pos="8225" w:val="left" w:leader="none"/>
          <w:tab w:pos="8865" w:val="left" w:leader="none"/>
          <w:tab w:pos="9508" w:val="left" w:leader="none"/>
          <w:tab w:pos="10099" w:val="left" w:leader="none"/>
        </w:tabs>
        <w:spacing w:line="136" w:lineRule="exact" w:before="0"/>
        <w:ind w:left="151" w:right="0" w:firstLine="0"/>
        <w:jc w:val="left"/>
        <w:rPr>
          <w:sz w:val="12"/>
        </w:rPr>
      </w:pPr>
      <w:r>
        <w:rPr>
          <w:sz w:val="12"/>
        </w:rPr>
        <w:t>Apr-18</w:t>
        <w:tab/>
        <w:t>May-18</w:t>
        <w:tab/>
        <w:t>Jun-18</w:t>
        <w:tab/>
        <w:t>Jul-18</w:t>
        <w:tab/>
        <w:t>Aug-18</w:t>
        <w:tab/>
        <w:t>Sep-18</w:t>
        <w:tab/>
        <w:t>Oct-18</w:t>
        <w:tab/>
        <w:t>Nov-18</w:t>
        <w:tab/>
        <w:t>Dec-18</w:t>
        <w:tab/>
        <w:t>Jan-19</w:t>
        <w:tab/>
        <w:t>Feb-19</w:t>
        <w:tab/>
        <w:t>Mar-19</w:t>
        <w:tab/>
        <w:t>Apr-19</w:t>
        <w:tab/>
        <w:t>May-19</w:t>
        <w:tab/>
        <w:t>Jun-19</w:t>
        <w:tab/>
        <w:t>Jul-19</w:t>
        <w:tab/>
        <w:t>Aug-19</w:t>
      </w:r>
    </w:p>
    <w:p>
      <w:pPr>
        <w:pStyle w:val="BodyText"/>
        <w:spacing w:before="11"/>
        <w:rPr>
          <w:sz w:val="21"/>
        </w:rPr>
      </w:pPr>
    </w:p>
    <w:p>
      <w:pPr>
        <w:spacing w:before="60"/>
        <w:ind w:left="674" w:right="0" w:firstLine="0"/>
        <w:jc w:val="left"/>
        <w:rPr>
          <w:rFonts w:ascii="Calibri"/>
          <w:i/>
          <w:sz w:val="20"/>
        </w:rPr>
      </w:pPr>
      <w:r>
        <w:rPr>
          <w:rFonts w:ascii="Calibri"/>
          <w:i/>
          <w:sz w:val="20"/>
        </w:rPr>
        <w:t>Source: Bank of England SMMD collection</w:t>
      </w:r>
    </w:p>
    <w:sectPr>
      <w:footerReference w:type="default" r:id="rId25"/>
      <w:pgSz w:w="10800" w:h="14400"/>
      <w:pgMar w:footer="0" w:header="0" w:top="8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530.159973pt;margin-top:807.27948pt;width:11.55pt;height:14.85pt;mso-position-horizontal-relative:page;mso-position-vertical-relative:page;z-index:-252338176" type="#_x0000_t202" filled="false" stroked="false">
          <v:textbox inset="0,0,0,0">
            <w:txbxContent>
              <w:p>
                <w:pPr>
                  <w:pStyle w:val="BodyText"/>
                  <w:spacing w:before="46"/>
                  <w:ind w:left="60"/>
                </w:pPr>
                <w:r>
                  <w:rPr/>
                  <w:fldChar w:fldCharType="begin"/>
                </w:r>
                <w:r>
                  <w:rPr>
                    <w:w w:val="99"/>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2.060001pt;margin-top:665.005005pt;width:99.75pt;height:12.05pt;mso-position-horizontal-relative:page;mso-position-vertical-relative:page;z-index:-252337152" type="#_x0000_t202" filled="false" stroked="false">
          <v:textbox inset="0,0,0,0">
            <w:txbxContent>
              <w:p>
                <w:pPr>
                  <w:spacing w:line="224" w:lineRule="exact" w:before="0"/>
                  <w:ind w:left="20" w:right="0" w:firstLine="0"/>
                  <w:jc w:val="left"/>
                  <w:rPr>
                    <w:rFonts w:ascii="Calibri"/>
                    <w:i/>
                    <w:sz w:val="20"/>
                  </w:rPr>
                </w:pPr>
                <w:r>
                  <w:rPr>
                    <w:rFonts w:ascii="Calibri"/>
                    <w:i/>
                    <w:sz w:val="20"/>
                  </w:rPr>
                  <w:t>Source: Bank of England</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219999pt;margin-top:696.784973pt;width:49.55pt;height:12.05pt;mso-position-horizontal-relative:page;mso-position-vertical-relative:page;z-index:-252336128" type="#_x0000_t202" filled="false" stroked="false">
          <v:textbox inset="0,0,0,0">
            <w:txbxContent>
              <w:p>
                <w:pPr>
                  <w:spacing w:line="224" w:lineRule="exact" w:before="0"/>
                  <w:ind w:left="20" w:right="0" w:firstLine="0"/>
                  <w:jc w:val="left"/>
                  <w:rPr>
                    <w:rFonts w:ascii="Calibri"/>
                    <w:i/>
                    <w:sz w:val="20"/>
                  </w:rPr>
                </w:pPr>
                <w:r>
                  <w:rPr>
                    <w:rFonts w:ascii="Calibri"/>
                    <w:i/>
                    <w:sz w:val="20"/>
                  </w:rPr>
                  <w:t>Source: LCH</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
      <w:ind w:left="554"/>
      <w:outlineLvl w:val="1"/>
    </w:pPr>
    <w:rPr>
      <w:rFonts w:ascii="Calibri" w:hAnsi="Calibri" w:eastAsia="Calibri" w:cs="Calibri"/>
      <w:sz w:val="34"/>
      <w:szCs w:val="34"/>
      <w:lang w:val="en-gb" w:eastAsia="en-gb" w:bidi="en-gb"/>
    </w:rPr>
  </w:style>
  <w:style w:styleId="Heading2" w:type="paragraph">
    <w:name w:val="Heading 2"/>
    <w:basedOn w:val="Normal"/>
    <w:uiPriority w:val="1"/>
    <w:qFormat/>
    <w:pPr>
      <w:spacing w:before="43"/>
      <w:ind w:left="666"/>
      <w:outlineLvl w:val="2"/>
    </w:pPr>
    <w:rPr>
      <w:rFonts w:ascii="Calibri" w:hAnsi="Calibri" w:eastAsia="Calibri" w:cs="Calibri"/>
      <w:sz w:val="28"/>
      <w:szCs w:val="28"/>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ind w:left="287"/>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yperlink" Target="http://www.bankofengland.co.uk/-/media/boe/files/minutes/2019/sonia-stakeholder-advisory-group-21-february-2019.pdf" TargetMode="External"/><Relationship Id="rId21" Type="http://schemas.openxmlformats.org/officeDocument/2006/relationships/hyperlink" Target="http://www.bankofengland.co.uk/markets/sonia-benchmark/sonia-key-features-and-policies" TargetMode="Externa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image" Target="media/image15.jpeg"/><Relationship Id="rId2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SONIA Stakeholder Advisory Group Minutes</dc:title>
  <dcterms:created xsi:type="dcterms:W3CDTF">2020-06-01T02:20:49Z</dcterms:created>
  <dcterms:modified xsi:type="dcterms:W3CDTF">2020-06-01T02:20:49Z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2019-10-29T00:00:00Z</vt:filetime>
  </property>
  <property fmtid="{D5CDD505-2E9C-101B-9397-08002B2CF9AE}" pid="3" name="LastSaved">
    <vt:filetime>2020-06-01T00:00:00Z</vt:filetime>
  </property>
</Properties>
</file>