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3"/>
        </w:rPr>
      </w:pPr>
      <w:r>
        <w:rPr/>
        <w:pict>
          <v:rect style="position:absolute;margin-left:55.919998pt;margin-top:195.97998pt;width:482.76pt;height:.48pt;mso-position-horizontal-relative:page;mso-position-vertical-relative:page;z-index:15728640" filled="true" fillcolor="#000000" stroked="false">
            <v:fill type="solid"/>
            <w10:wrap type="none"/>
          </v:rect>
        </w:pic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6"/>
      </w:tblGrid>
      <w:tr>
        <w:trPr>
          <w:trHeight w:val="1034" w:hRule="atLeast"/>
        </w:trPr>
        <w:tc>
          <w:tcPr>
            <w:tcW w:w="8306" w:type="dxa"/>
          </w:tcPr>
          <w:p>
            <w:pPr>
              <w:pStyle w:val="TableParagraph"/>
              <w:spacing w:line="491" w:lineRule="exact"/>
              <w:ind w:left="14"/>
              <w:rPr>
                <w:sz w:val="44"/>
              </w:rPr>
            </w:pPr>
            <w:r>
              <w:rPr>
                <w:sz w:val="44"/>
              </w:rPr>
              <w:t>UK Money Markets Code Sub-Committee</w:t>
            </w:r>
          </w:p>
          <w:p>
            <w:pPr>
              <w:pStyle w:val="TableParagraph"/>
              <w:spacing w:before="77"/>
              <w:ind w:left="14"/>
              <w:rPr>
                <w:sz w:val="24"/>
              </w:rPr>
            </w:pPr>
            <w:r>
              <w:rPr>
                <w:sz w:val="24"/>
              </w:rPr>
              <w:t>Special Topic Meeting: Diversity and Inclusion</w:t>
            </w:r>
          </w:p>
        </w:tc>
      </w:tr>
      <w:tr>
        <w:trPr>
          <w:trHeight w:val="1062" w:hRule="atLeast"/>
        </w:trPr>
        <w:tc>
          <w:tcPr>
            <w:tcW w:w="8306" w:type="dxa"/>
          </w:tcPr>
          <w:p>
            <w:pPr>
              <w:pStyle w:val="TableParagraph"/>
              <w:spacing w:before="179"/>
              <w:ind w:left="38"/>
              <w:rPr>
                <w:b/>
                <w:sz w:val="32"/>
              </w:rPr>
            </w:pPr>
            <w:r>
              <w:rPr>
                <w:b/>
                <w:sz w:val="32"/>
              </w:rPr>
              <w:t>Minutes</w:t>
            </w:r>
          </w:p>
          <w:p>
            <w:pPr>
              <w:pStyle w:val="TableParagraph"/>
              <w:spacing w:before="2"/>
              <w:ind w:left="14"/>
              <w:rPr>
                <w:sz w:val="24"/>
              </w:rPr>
            </w:pPr>
            <w:r>
              <w:rPr>
                <w:sz w:val="24"/>
              </w:rPr>
              <w:t>27 January 2020</w:t>
            </w:r>
          </w:p>
        </w:tc>
      </w:tr>
    </w:tbl>
    <w:p>
      <w:pPr>
        <w:pStyle w:val="BodyText"/>
        <w:spacing w:before="9"/>
        <w:rPr>
          <w:rFonts w:ascii="Times New Roman"/>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8640"/>
      </w:tblGrid>
      <w:tr>
        <w:trPr>
          <w:trHeight w:val="374" w:hRule="atLeast"/>
        </w:trPr>
        <w:tc>
          <w:tcPr>
            <w:tcW w:w="1103" w:type="dxa"/>
          </w:tcPr>
          <w:p>
            <w:pPr>
              <w:pStyle w:val="TableParagraph"/>
              <w:spacing w:line="223" w:lineRule="exact"/>
              <w:ind w:left="58"/>
              <w:rPr>
                <w:sz w:val="20"/>
              </w:rPr>
            </w:pPr>
            <w:r>
              <w:rPr>
                <w:sz w:val="20"/>
              </w:rPr>
              <w:t>Location:</w:t>
            </w:r>
          </w:p>
        </w:tc>
        <w:tc>
          <w:tcPr>
            <w:tcW w:w="8640" w:type="dxa"/>
          </w:tcPr>
          <w:p>
            <w:pPr>
              <w:pStyle w:val="TableParagraph"/>
              <w:spacing w:line="223" w:lineRule="exact"/>
              <w:rPr>
                <w:sz w:val="20"/>
              </w:rPr>
            </w:pPr>
            <w:r>
              <w:rPr>
                <w:sz w:val="20"/>
              </w:rPr>
              <w:t>Bank of England, Threadneedle Street</w:t>
            </w:r>
          </w:p>
        </w:tc>
      </w:tr>
      <w:tr>
        <w:trPr>
          <w:trHeight w:val="4635" w:hRule="atLeast"/>
        </w:trPr>
        <w:tc>
          <w:tcPr>
            <w:tcW w:w="1103" w:type="dxa"/>
          </w:tcPr>
          <w:p>
            <w:pPr>
              <w:pStyle w:val="TableParagraph"/>
              <w:spacing w:before="146"/>
              <w:ind w:left="58"/>
              <w:rPr>
                <w:sz w:val="20"/>
              </w:rPr>
            </w:pPr>
            <w:r>
              <w:rPr>
                <w:sz w:val="20"/>
              </w:rPr>
              <w:t>Attendees:</w:t>
            </w:r>
          </w:p>
        </w:tc>
        <w:tc>
          <w:tcPr>
            <w:tcW w:w="8640" w:type="dxa"/>
          </w:tcPr>
          <w:p>
            <w:pPr>
              <w:pStyle w:val="TableParagraph"/>
              <w:spacing w:before="144"/>
              <w:rPr>
                <w:sz w:val="20"/>
              </w:rPr>
            </w:pPr>
            <w:r>
              <w:rPr>
                <w:b/>
                <w:sz w:val="20"/>
              </w:rPr>
              <w:t>Aberdeen Standard Investments: </w:t>
            </w:r>
            <w:r>
              <w:rPr>
                <w:sz w:val="20"/>
              </w:rPr>
              <w:t>Gordon Lowson (Chair) and Laura Docherty</w:t>
            </w:r>
          </w:p>
          <w:p>
            <w:pPr>
              <w:pStyle w:val="TableParagraph"/>
              <w:rPr>
                <w:sz w:val="20"/>
              </w:rPr>
            </w:pPr>
            <w:r>
              <w:rPr>
                <w:b/>
                <w:sz w:val="20"/>
              </w:rPr>
              <w:t>ACT: </w:t>
            </w:r>
            <w:r>
              <w:rPr>
                <w:sz w:val="20"/>
              </w:rPr>
              <w:t>James Winterton and Louise Tatham</w:t>
            </w:r>
          </w:p>
          <w:p>
            <w:pPr>
              <w:pStyle w:val="TableParagraph"/>
              <w:spacing w:before="1"/>
              <w:rPr>
                <w:sz w:val="20"/>
              </w:rPr>
            </w:pPr>
            <w:r>
              <w:rPr>
                <w:b/>
                <w:sz w:val="20"/>
              </w:rPr>
              <w:t>Aviva Investors: </w:t>
            </w:r>
            <w:r>
              <w:rPr>
                <w:sz w:val="20"/>
              </w:rPr>
              <w:t>Mick Chadwick and Caroline Hedges</w:t>
            </w:r>
          </w:p>
          <w:p>
            <w:pPr>
              <w:pStyle w:val="TableParagraph"/>
              <w:ind w:right="6018"/>
              <w:rPr>
                <w:sz w:val="20"/>
              </w:rPr>
            </w:pPr>
            <w:r>
              <w:rPr>
                <w:b/>
                <w:sz w:val="20"/>
              </w:rPr>
              <w:t>BAML: </w:t>
            </w:r>
            <w:r>
              <w:rPr>
                <w:sz w:val="20"/>
              </w:rPr>
              <w:t>Claire Crinson </w:t>
            </w:r>
            <w:r>
              <w:rPr>
                <w:b/>
                <w:sz w:val="20"/>
              </w:rPr>
              <w:t>Blackrock: </w:t>
            </w:r>
            <w:r>
              <w:rPr>
                <w:sz w:val="20"/>
              </w:rPr>
              <w:t>Geeta Sharma </w:t>
            </w:r>
            <w:r>
              <w:rPr>
                <w:b/>
                <w:sz w:val="20"/>
              </w:rPr>
              <w:t>BNY Mellon: </w:t>
            </w:r>
            <w:r>
              <w:rPr>
                <w:sz w:val="20"/>
              </w:rPr>
              <w:t>Ina Budh-Raja</w:t>
            </w:r>
          </w:p>
          <w:p>
            <w:pPr>
              <w:pStyle w:val="TableParagraph"/>
              <w:spacing w:line="229" w:lineRule="exact"/>
              <w:rPr>
                <w:sz w:val="20"/>
              </w:rPr>
            </w:pPr>
            <w:r>
              <w:rPr>
                <w:b/>
                <w:sz w:val="20"/>
              </w:rPr>
              <w:t>FCA (Observer): </w:t>
            </w:r>
            <w:r>
              <w:rPr>
                <w:sz w:val="20"/>
              </w:rPr>
              <w:t>Paul Johnson and Vicky McConnell</w:t>
            </w:r>
          </w:p>
          <w:p>
            <w:pPr>
              <w:pStyle w:val="TableParagraph"/>
              <w:spacing w:before="1"/>
              <w:ind w:right="4317"/>
              <w:rPr>
                <w:sz w:val="20"/>
              </w:rPr>
            </w:pPr>
            <w:r>
              <w:rPr>
                <w:b/>
                <w:sz w:val="20"/>
              </w:rPr>
              <w:t>Guildford Borough Council: </w:t>
            </w:r>
            <w:r>
              <w:rPr>
                <w:sz w:val="20"/>
              </w:rPr>
              <w:t>Vicky Worsfold </w:t>
            </w:r>
            <w:r>
              <w:rPr>
                <w:b/>
                <w:sz w:val="20"/>
              </w:rPr>
              <w:t>Hoare &amp; Co: </w:t>
            </w:r>
            <w:r>
              <w:rPr>
                <w:sz w:val="20"/>
              </w:rPr>
              <w:t>Andy Green and Francesca Shaw </w:t>
            </w:r>
            <w:r>
              <w:rPr>
                <w:b/>
                <w:sz w:val="20"/>
              </w:rPr>
              <w:t>HSBC: </w:t>
            </w:r>
            <w:r>
              <w:rPr>
                <w:sz w:val="20"/>
              </w:rPr>
              <w:t>Glenn Handley and Yasemin Artar </w:t>
            </w:r>
            <w:r>
              <w:rPr>
                <w:b/>
                <w:sz w:val="20"/>
              </w:rPr>
              <w:t>ICAP: </w:t>
            </w:r>
            <w:r>
              <w:rPr>
                <w:sz w:val="20"/>
              </w:rPr>
              <w:t>Annie Norton</w:t>
            </w:r>
          </w:p>
          <w:p>
            <w:pPr>
              <w:pStyle w:val="TableParagraph"/>
              <w:spacing w:line="229" w:lineRule="exact"/>
              <w:rPr>
                <w:sz w:val="20"/>
              </w:rPr>
            </w:pPr>
            <w:r>
              <w:rPr>
                <w:b/>
                <w:sz w:val="20"/>
              </w:rPr>
              <w:t>IMMFA: </w:t>
            </w:r>
            <w:r>
              <w:rPr>
                <w:sz w:val="20"/>
              </w:rPr>
              <w:t>Veronica Iommi</w:t>
            </w:r>
          </w:p>
          <w:p>
            <w:pPr>
              <w:pStyle w:val="TableParagraph"/>
              <w:rPr>
                <w:sz w:val="20"/>
              </w:rPr>
            </w:pPr>
            <w:r>
              <w:rPr>
                <w:b/>
                <w:sz w:val="20"/>
              </w:rPr>
              <w:t>ISLA: </w:t>
            </w:r>
            <w:r>
              <w:rPr>
                <w:sz w:val="20"/>
              </w:rPr>
              <w:t>Andy Dyson and Tina Baker</w:t>
            </w:r>
          </w:p>
          <w:p>
            <w:pPr>
              <w:pStyle w:val="TableParagraph"/>
              <w:rPr>
                <w:sz w:val="20"/>
              </w:rPr>
            </w:pPr>
            <w:r>
              <w:rPr>
                <w:b/>
                <w:sz w:val="20"/>
              </w:rPr>
              <w:t>MTS Markets: </w:t>
            </w:r>
            <w:r>
              <w:rPr>
                <w:sz w:val="20"/>
              </w:rPr>
              <w:t>Oliver Clark and Katherine Dawson</w:t>
            </w:r>
          </w:p>
          <w:p>
            <w:pPr>
              <w:pStyle w:val="TableParagraph"/>
              <w:spacing w:before="1"/>
              <w:rPr>
                <w:sz w:val="20"/>
              </w:rPr>
            </w:pPr>
            <w:r>
              <w:rPr>
                <w:b/>
                <w:sz w:val="20"/>
              </w:rPr>
              <w:t>Nationwide: </w:t>
            </w:r>
            <w:r>
              <w:rPr>
                <w:sz w:val="20"/>
              </w:rPr>
              <w:t>Terry Barton and Jo Dwyer</w:t>
            </w:r>
          </w:p>
          <w:p>
            <w:pPr>
              <w:pStyle w:val="TableParagraph"/>
              <w:rPr>
                <w:sz w:val="20"/>
              </w:rPr>
            </w:pPr>
            <w:r>
              <w:rPr>
                <w:b/>
                <w:sz w:val="20"/>
              </w:rPr>
              <w:t>Natwest: </w:t>
            </w:r>
            <w:r>
              <w:rPr>
                <w:sz w:val="20"/>
              </w:rPr>
              <w:t>Mark Thomasson and Claire Negus</w:t>
            </w:r>
          </w:p>
          <w:p>
            <w:pPr>
              <w:pStyle w:val="TableParagraph"/>
              <w:spacing w:before="10"/>
              <w:ind w:left="0"/>
              <w:rPr>
                <w:rFonts w:ascii="Times New Roman"/>
                <w:sz w:val="19"/>
              </w:rPr>
            </w:pPr>
          </w:p>
          <w:p>
            <w:pPr>
              <w:pStyle w:val="TableParagraph"/>
              <w:spacing w:line="242" w:lineRule="auto"/>
              <w:ind w:right="127"/>
              <w:rPr>
                <w:sz w:val="20"/>
              </w:rPr>
            </w:pPr>
            <w:r>
              <w:rPr>
                <w:b/>
                <w:sz w:val="20"/>
              </w:rPr>
              <w:t>Bank of England: </w:t>
            </w:r>
            <w:r>
              <w:rPr>
                <w:sz w:val="20"/>
              </w:rPr>
              <w:t>Jon Pyzer (Senior Adviser), Sumita Ghosh, Rebecca Maher, Tom Jennings, Bianca Ginelli Nardi, Helena Patterson (Secretary)</w:t>
            </w:r>
          </w:p>
        </w:tc>
      </w:tr>
      <w:tr>
        <w:trPr>
          <w:trHeight w:val="2172" w:hRule="atLeast"/>
        </w:trPr>
        <w:tc>
          <w:tcPr>
            <w:tcW w:w="1103" w:type="dxa"/>
            <w:tcBorders>
              <w:bottom w:val="single" w:sz="4" w:space="0" w:color="000000"/>
            </w:tcBorders>
          </w:tcPr>
          <w:p>
            <w:pPr>
              <w:pStyle w:val="TableParagraph"/>
              <w:spacing w:before="113"/>
              <w:ind w:left="58"/>
              <w:rPr>
                <w:sz w:val="20"/>
              </w:rPr>
            </w:pPr>
            <w:r>
              <w:rPr>
                <w:sz w:val="20"/>
              </w:rPr>
              <w:t>Apologies:</w:t>
            </w:r>
          </w:p>
        </w:tc>
        <w:tc>
          <w:tcPr>
            <w:tcW w:w="8640" w:type="dxa"/>
            <w:tcBorders>
              <w:bottom w:val="single" w:sz="4" w:space="0" w:color="000000"/>
            </w:tcBorders>
          </w:tcPr>
          <w:p>
            <w:pPr>
              <w:pStyle w:val="TableParagraph"/>
              <w:spacing w:line="229" w:lineRule="exact" w:before="111"/>
              <w:rPr>
                <w:sz w:val="20"/>
              </w:rPr>
            </w:pPr>
            <w:r>
              <w:rPr>
                <w:b/>
                <w:sz w:val="20"/>
              </w:rPr>
              <w:t>BAML: </w:t>
            </w:r>
            <w:r>
              <w:rPr>
                <w:sz w:val="20"/>
              </w:rPr>
              <w:t>Alessandro Cozzani</w:t>
            </w:r>
          </w:p>
          <w:p>
            <w:pPr>
              <w:pStyle w:val="TableParagraph"/>
              <w:spacing w:line="229" w:lineRule="exact"/>
              <w:rPr>
                <w:sz w:val="20"/>
              </w:rPr>
            </w:pPr>
            <w:r>
              <w:rPr>
                <w:b/>
                <w:sz w:val="20"/>
              </w:rPr>
              <w:t>Blackrock: </w:t>
            </w:r>
            <w:r>
              <w:rPr>
                <w:sz w:val="20"/>
              </w:rPr>
              <w:t>Tim McLeod</w:t>
            </w:r>
          </w:p>
          <w:p>
            <w:pPr>
              <w:pStyle w:val="TableParagraph"/>
              <w:rPr>
                <w:sz w:val="20"/>
              </w:rPr>
            </w:pPr>
            <w:r>
              <w:rPr>
                <w:b/>
                <w:sz w:val="20"/>
              </w:rPr>
              <w:t>DMO: </w:t>
            </w:r>
            <w:r>
              <w:rPr>
                <w:sz w:val="20"/>
              </w:rPr>
              <w:t>Jessica Pulay and Jo Whelan</w:t>
            </w:r>
          </w:p>
          <w:p>
            <w:pPr>
              <w:pStyle w:val="TableParagraph"/>
              <w:ind w:right="6181"/>
              <w:rPr>
                <w:sz w:val="20"/>
              </w:rPr>
            </w:pPr>
            <w:r>
              <w:rPr>
                <w:b/>
                <w:sz w:val="20"/>
              </w:rPr>
              <w:t>HSBC: </w:t>
            </w:r>
            <w:r>
              <w:rPr>
                <w:sz w:val="20"/>
              </w:rPr>
              <w:t>Ned Taylor </w:t>
            </w:r>
            <w:r>
              <w:rPr>
                <w:b/>
                <w:sz w:val="20"/>
              </w:rPr>
              <w:t>IMMFA: </w:t>
            </w:r>
            <w:r>
              <w:rPr>
                <w:sz w:val="20"/>
              </w:rPr>
              <w:t>Martin Curran </w:t>
            </w:r>
            <w:r>
              <w:rPr>
                <w:b/>
                <w:sz w:val="20"/>
              </w:rPr>
              <w:t>Lloyds: </w:t>
            </w:r>
            <w:r>
              <w:rPr>
                <w:sz w:val="20"/>
              </w:rPr>
              <w:t>Jamie Smith</w:t>
            </w:r>
          </w:p>
          <w:p>
            <w:pPr>
              <w:pStyle w:val="TableParagraph"/>
              <w:spacing w:line="229" w:lineRule="exact" w:before="2"/>
              <w:rPr>
                <w:sz w:val="20"/>
              </w:rPr>
            </w:pPr>
            <w:r>
              <w:rPr>
                <w:b/>
                <w:sz w:val="20"/>
              </w:rPr>
              <w:t>Newcastle Building Society: </w:t>
            </w:r>
            <w:r>
              <w:rPr>
                <w:sz w:val="20"/>
              </w:rPr>
              <w:t>Nic Erevik</w:t>
            </w:r>
          </w:p>
          <w:p>
            <w:pPr>
              <w:pStyle w:val="TableParagraph"/>
              <w:spacing w:line="229" w:lineRule="exact"/>
              <w:rPr>
                <w:sz w:val="20"/>
              </w:rPr>
            </w:pPr>
            <w:r>
              <w:rPr>
                <w:b/>
                <w:sz w:val="20"/>
              </w:rPr>
              <w:t>Tradeweb: </w:t>
            </w:r>
            <w:r>
              <w:rPr>
                <w:sz w:val="20"/>
              </w:rPr>
              <w:t>Jennifer Keser</w:t>
            </w:r>
          </w:p>
        </w:tc>
      </w:tr>
    </w:tbl>
    <w:p>
      <w:pPr>
        <w:pStyle w:val="Heading1"/>
        <w:spacing w:line="230" w:lineRule="exact"/>
      </w:pPr>
      <w:r>
        <w:rPr/>
        <w:t>Item 1. Introductory remarks</w:t>
      </w:r>
    </w:p>
    <w:p>
      <w:pPr>
        <w:pStyle w:val="BodyText"/>
        <w:spacing w:before="5"/>
        <w:rPr>
          <w:b/>
        </w:rPr>
      </w:pPr>
    </w:p>
    <w:p>
      <w:pPr>
        <w:pStyle w:val="ListParagraph"/>
        <w:numPr>
          <w:ilvl w:val="0"/>
          <w:numId w:val="1"/>
        </w:numPr>
        <w:tabs>
          <w:tab w:pos="841" w:val="left" w:leader="none"/>
        </w:tabs>
        <w:spacing w:line="276" w:lineRule="auto" w:before="0" w:after="0"/>
        <w:ind w:left="840" w:right="458" w:hanging="360"/>
        <w:jc w:val="both"/>
        <w:rPr>
          <w:sz w:val="20"/>
        </w:rPr>
      </w:pPr>
      <w:r>
        <w:rPr>
          <w:sz w:val="20"/>
        </w:rPr>
        <w:t>The Chair welcomed everyone to the Bank and to the first UK Money Markets Code meeting focussing exclusively on diversity and inclusion initiatives. The Chair also thanked everyone who had brought a colleague to the meeting to help aid the</w:t>
      </w:r>
      <w:r>
        <w:rPr>
          <w:spacing w:val="4"/>
          <w:sz w:val="20"/>
        </w:rPr>
        <w:t> </w:t>
      </w:r>
      <w:r>
        <w:rPr>
          <w:sz w:val="20"/>
        </w:rPr>
        <w:t>discussion.</w:t>
      </w:r>
    </w:p>
    <w:p>
      <w:pPr>
        <w:pStyle w:val="BodyText"/>
        <w:spacing w:before="5"/>
        <w:rPr>
          <w:sz w:val="17"/>
        </w:rPr>
      </w:pPr>
    </w:p>
    <w:p>
      <w:pPr>
        <w:pStyle w:val="Heading1"/>
      </w:pPr>
      <w:r>
        <w:rPr/>
        <w:t>Item 2. The Bank of England Markets Directorate - Meeting Varied People</w:t>
      </w:r>
    </w:p>
    <w:p>
      <w:pPr>
        <w:pStyle w:val="BodyText"/>
        <w:spacing w:before="4"/>
        <w:rPr>
          <w:b/>
        </w:rPr>
      </w:pPr>
    </w:p>
    <w:p>
      <w:pPr>
        <w:pStyle w:val="ListParagraph"/>
        <w:numPr>
          <w:ilvl w:val="0"/>
          <w:numId w:val="1"/>
        </w:numPr>
        <w:tabs>
          <w:tab w:pos="841" w:val="left" w:leader="none"/>
        </w:tabs>
        <w:spacing w:line="276" w:lineRule="auto" w:before="0" w:after="0"/>
        <w:ind w:left="840" w:right="458" w:hanging="360"/>
        <w:jc w:val="both"/>
        <w:rPr>
          <w:sz w:val="20"/>
        </w:rPr>
      </w:pPr>
      <w:r>
        <w:rPr>
          <w:sz w:val="20"/>
        </w:rPr>
        <w:t>The Bank updated the Committee on the diversity and inclusion work that is being undertaken currently in the Markets Directorate, notably the ‘Meeting Varied People’ initiative. Promoting diversity and inclusion is a top strategic priority for the Bank. Everyone should play their part in broadening diversity, acknowledging that current imbalances need to be addressed, but more importantly, recognising the positive benefits of a more diverse</w:t>
      </w:r>
      <w:r>
        <w:rPr>
          <w:spacing w:val="-8"/>
          <w:sz w:val="20"/>
        </w:rPr>
        <w:t> </w:t>
      </w:r>
      <w:r>
        <w:rPr>
          <w:sz w:val="20"/>
        </w:rPr>
        <w:t>environment.</w:t>
      </w:r>
    </w:p>
    <w:p>
      <w:pPr>
        <w:pStyle w:val="ListParagraph"/>
        <w:numPr>
          <w:ilvl w:val="0"/>
          <w:numId w:val="1"/>
        </w:numPr>
        <w:tabs>
          <w:tab w:pos="841" w:val="left" w:leader="none"/>
        </w:tabs>
        <w:spacing w:line="276" w:lineRule="auto" w:before="0" w:after="0"/>
        <w:ind w:left="840" w:right="460" w:hanging="360"/>
        <w:jc w:val="both"/>
        <w:rPr>
          <w:sz w:val="20"/>
        </w:rPr>
      </w:pPr>
      <w:r>
        <w:rPr>
          <w:sz w:val="20"/>
        </w:rPr>
        <w:t>To improve diversity internally, the Bank has taken a number of steps and has made good progress.</w:t>
      </w:r>
      <w:r>
        <w:rPr>
          <w:spacing w:val="10"/>
          <w:sz w:val="20"/>
        </w:rPr>
        <w:t> </w:t>
      </w:r>
      <w:r>
        <w:rPr>
          <w:sz w:val="20"/>
        </w:rPr>
        <w:t>Initiatives</w:t>
      </w:r>
      <w:r>
        <w:rPr>
          <w:spacing w:val="14"/>
          <w:sz w:val="20"/>
        </w:rPr>
        <w:t> </w:t>
      </w:r>
      <w:r>
        <w:rPr>
          <w:sz w:val="20"/>
        </w:rPr>
        <w:t>have</w:t>
      </w:r>
      <w:r>
        <w:rPr>
          <w:spacing w:val="13"/>
          <w:sz w:val="20"/>
        </w:rPr>
        <w:t> </w:t>
      </w:r>
      <w:r>
        <w:rPr>
          <w:sz w:val="20"/>
        </w:rPr>
        <w:t>focussed</w:t>
      </w:r>
      <w:r>
        <w:rPr>
          <w:spacing w:val="10"/>
          <w:sz w:val="20"/>
        </w:rPr>
        <w:t> </w:t>
      </w:r>
      <w:r>
        <w:rPr>
          <w:sz w:val="20"/>
        </w:rPr>
        <w:t>on</w:t>
      </w:r>
      <w:r>
        <w:rPr>
          <w:spacing w:val="13"/>
          <w:sz w:val="20"/>
        </w:rPr>
        <w:t> </w:t>
      </w:r>
      <w:r>
        <w:rPr>
          <w:sz w:val="20"/>
        </w:rPr>
        <w:t>a</w:t>
      </w:r>
      <w:r>
        <w:rPr>
          <w:spacing w:val="11"/>
          <w:sz w:val="20"/>
        </w:rPr>
        <w:t> </w:t>
      </w:r>
      <w:r>
        <w:rPr>
          <w:sz w:val="20"/>
        </w:rPr>
        <w:t>range</w:t>
      </w:r>
      <w:r>
        <w:rPr>
          <w:spacing w:val="13"/>
          <w:sz w:val="20"/>
        </w:rPr>
        <w:t> </w:t>
      </w:r>
      <w:r>
        <w:rPr>
          <w:sz w:val="20"/>
        </w:rPr>
        <w:t>of</w:t>
      </w:r>
      <w:r>
        <w:rPr>
          <w:spacing w:val="19"/>
          <w:sz w:val="20"/>
        </w:rPr>
        <w:t> </w:t>
      </w:r>
      <w:r>
        <w:rPr>
          <w:sz w:val="20"/>
        </w:rPr>
        <w:t>topics</w:t>
      </w:r>
      <w:r>
        <w:rPr>
          <w:spacing w:val="12"/>
          <w:sz w:val="20"/>
        </w:rPr>
        <w:t> </w:t>
      </w:r>
      <w:r>
        <w:rPr>
          <w:sz w:val="20"/>
        </w:rPr>
        <w:t>including</w:t>
      </w:r>
      <w:r>
        <w:rPr>
          <w:spacing w:val="12"/>
          <w:sz w:val="20"/>
        </w:rPr>
        <w:t> </w:t>
      </w:r>
      <w:r>
        <w:rPr>
          <w:sz w:val="20"/>
        </w:rPr>
        <w:t>inclusive</w:t>
      </w:r>
      <w:r>
        <w:rPr>
          <w:spacing w:val="13"/>
          <w:sz w:val="20"/>
        </w:rPr>
        <w:t> </w:t>
      </w:r>
      <w:r>
        <w:rPr>
          <w:sz w:val="20"/>
        </w:rPr>
        <w:t>recruitment,</w:t>
      </w:r>
      <w:r>
        <w:rPr>
          <w:spacing w:val="11"/>
          <w:sz w:val="20"/>
        </w:rPr>
        <w:t> </w:t>
      </w:r>
      <w:r>
        <w:rPr>
          <w:sz w:val="20"/>
        </w:rPr>
        <w:t>a</w:t>
      </w:r>
    </w:p>
    <w:p>
      <w:pPr>
        <w:spacing w:after="0" w:line="276" w:lineRule="auto"/>
        <w:jc w:val="both"/>
        <w:rPr>
          <w:sz w:val="20"/>
        </w:rPr>
        <w:sectPr>
          <w:headerReference w:type="default" r:id="rId5"/>
          <w:type w:val="continuous"/>
          <w:pgSz w:w="11910" w:h="16840"/>
          <w:pgMar w:header="735" w:top="1660" w:bottom="280" w:left="960" w:right="980"/>
        </w:sectPr>
      </w:pPr>
    </w:p>
    <w:p>
      <w:pPr>
        <w:pStyle w:val="BodyText"/>
        <w:spacing w:line="276" w:lineRule="auto" w:before="143"/>
        <w:ind w:left="840" w:right="456"/>
      </w:pPr>
      <w:r>
        <w:rPr/>
        <w:t>returning parents offering, supporting employee networks, school visits and by encouraging flexible working.</w:t>
      </w:r>
    </w:p>
    <w:p>
      <w:pPr>
        <w:pStyle w:val="BodyText"/>
        <w:spacing w:before="10"/>
        <w:rPr>
          <w:sz w:val="22"/>
        </w:rPr>
      </w:pPr>
    </w:p>
    <w:p>
      <w:pPr>
        <w:pStyle w:val="ListParagraph"/>
        <w:numPr>
          <w:ilvl w:val="0"/>
          <w:numId w:val="1"/>
        </w:numPr>
        <w:tabs>
          <w:tab w:pos="841" w:val="left" w:leader="none"/>
        </w:tabs>
        <w:spacing w:line="276" w:lineRule="auto" w:before="0" w:after="0"/>
        <w:ind w:left="840" w:right="457" w:hanging="360"/>
        <w:jc w:val="both"/>
        <w:rPr>
          <w:sz w:val="20"/>
        </w:rPr>
      </w:pPr>
      <w:r>
        <w:rPr>
          <w:sz w:val="20"/>
        </w:rPr>
        <w:t>The Meeting Varied People Workstream is focussed on improving diversity among external contacts. The two broad aims are to diversify the membership of the Markets Division’s external committees when positions become available and to add diversity to the Bank’s market intelligence contacts. In addition, the Bank has introduced some initiatives to help firms develop a pipeline of talent by offering the opportunity to attend meetings, make presentations and meet people.</w:t>
      </w:r>
    </w:p>
    <w:p>
      <w:pPr>
        <w:pStyle w:val="BodyText"/>
        <w:spacing w:before="1"/>
        <w:rPr>
          <w:sz w:val="23"/>
        </w:rPr>
      </w:pPr>
    </w:p>
    <w:p>
      <w:pPr>
        <w:pStyle w:val="ListParagraph"/>
        <w:numPr>
          <w:ilvl w:val="0"/>
          <w:numId w:val="1"/>
        </w:numPr>
        <w:tabs>
          <w:tab w:pos="841" w:val="left" w:leader="none"/>
        </w:tabs>
        <w:spacing w:line="276" w:lineRule="auto" w:before="0" w:after="0"/>
        <w:ind w:left="840" w:right="453" w:hanging="360"/>
        <w:jc w:val="both"/>
        <w:rPr>
          <w:sz w:val="20"/>
        </w:rPr>
      </w:pPr>
      <w:r>
        <w:rPr>
          <w:sz w:val="20"/>
        </w:rPr>
        <w:t>The Bank encouraged the committee to offer support in helping achieve these objectives, both through contributions to the Markets Division’s committees and through engaging as a market intelligence contact. There will be more information about ways of participating in the Meeting Varied People workstream later this year and the secretariat can forward contact details if firms are interested in following</w:t>
      </w:r>
      <w:r>
        <w:rPr>
          <w:spacing w:val="-3"/>
          <w:sz w:val="20"/>
        </w:rPr>
        <w:t> </w:t>
      </w:r>
      <w:r>
        <w:rPr>
          <w:sz w:val="20"/>
        </w:rPr>
        <w:t>up.</w:t>
      </w:r>
    </w:p>
    <w:p>
      <w:pPr>
        <w:pStyle w:val="BodyText"/>
        <w:spacing w:before="4"/>
        <w:rPr>
          <w:sz w:val="17"/>
        </w:rPr>
      </w:pPr>
    </w:p>
    <w:p>
      <w:pPr>
        <w:pStyle w:val="Heading1"/>
        <w:spacing w:before="1"/>
      </w:pPr>
      <w:r>
        <w:rPr/>
        <w:t>Item 3. An overview of the sessions</w:t>
      </w:r>
    </w:p>
    <w:p>
      <w:pPr>
        <w:pStyle w:val="BodyText"/>
        <w:spacing w:before="5"/>
        <w:rPr>
          <w:b/>
        </w:rPr>
      </w:pPr>
    </w:p>
    <w:p>
      <w:pPr>
        <w:pStyle w:val="ListParagraph"/>
        <w:numPr>
          <w:ilvl w:val="0"/>
          <w:numId w:val="1"/>
        </w:numPr>
        <w:tabs>
          <w:tab w:pos="841" w:val="left" w:leader="none"/>
        </w:tabs>
        <w:spacing w:line="276" w:lineRule="auto" w:before="0" w:after="0"/>
        <w:ind w:left="840" w:right="457" w:hanging="360"/>
        <w:jc w:val="both"/>
        <w:rPr>
          <w:sz w:val="20"/>
        </w:rPr>
      </w:pPr>
      <w:r>
        <w:rPr>
          <w:sz w:val="20"/>
        </w:rPr>
        <w:t>The Bank explained how the meeting would be structured. The Committee then split into smaller sub-groups and discussed how diversity and inclusion could be achieved, focussing on four main themes:</w:t>
      </w:r>
    </w:p>
    <w:p>
      <w:pPr>
        <w:pStyle w:val="ListParagraph"/>
        <w:numPr>
          <w:ilvl w:val="1"/>
          <w:numId w:val="1"/>
        </w:numPr>
        <w:tabs>
          <w:tab w:pos="1561" w:val="left" w:leader="none"/>
        </w:tabs>
        <w:spacing w:line="229" w:lineRule="exact" w:before="0" w:after="0"/>
        <w:ind w:left="1560" w:right="0" w:hanging="361"/>
        <w:jc w:val="left"/>
        <w:rPr>
          <w:sz w:val="20"/>
        </w:rPr>
      </w:pPr>
      <w:r>
        <w:rPr>
          <w:sz w:val="20"/>
        </w:rPr>
        <w:t>The Money Markets</w:t>
      </w:r>
      <w:r>
        <w:rPr>
          <w:spacing w:val="-5"/>
          <w:sz w:val="20"/>
        </w:rPr>
        <w:t> </w:t>
      </w:r>
      <w:r>
        <w:rPr>
          <w:sz w:val="20"/>
        </w:rPr>
        <w:t>Code</w:t>
      </w:r>
    </w:p>
    <w:p>
      <w:pPr>
        <w:pStyle w:val="ListParagraph"/>
        <w:numPr>
          <w:ilvl w:val="1"/>
          <w:numId w:val="1"/>
        </w:numPr>
        <w:tabs>
          <w:tab w:pos="1561" w:val="left" w:leader="none"/>
        </w:tabs>
        <w:spacing w:line="240" w:lineRule="auto" w:before="37" w:after="0"/>
        <w:ind w:left="1560" w:right="0" w:hanging="361"/>
        <w:jc w:val="left"/>
        <w:rPr>
          <w:sz w:val="20"/>
        </w:rPr>
      </w:pPr>
      <w:r>
        <w:rPr>
          <w:sz w:val="20"/>
        </w:rPr>
        <w:t>Market</w:t>
      </w:r>
      <w:r>
        <w:rPr>
          <w:spacing w:val="-2"/>
          <w:sz w:val="20"/>
        </w:rPr>
        <w:t> </w:t>
      </w:r>
      <w:r>
        <w:rPr>
          <w:sz w:val="20"/>
        </w:rPr>
        <w:t>Practices</w:t>
      </w:r>
    </w:p>
    <w:p>
      <w:pPr>
        <w:pStyle w:val="ListParagraph"/>
        <w:numPr>
          <w:ilvl w:val="1"/>
          <w:numId w:val="1"/>
        </w:numPr>
        <w:tabs>
          <w:tab w:pos="1560" w:val="left" w:leader="none"/>
          <w:tab w:pos="1561" w:val="left" w:leader="none"/>
        </w:tabs>
        <w:spacing w:line="240" w:lineRule="auto" w:before="34" w:after="0"/>
        <w:ind w:left="1560" w:right="0" w:hanging="361"/>
        <w:jc w:val="left"/>
        <w:rPr>
          <w:sz w:val="20"/>
        </w:rPr>
      </w:pPr>
      <w:r>
        <w:rPr>
          <w:sz w:val="20"/>
        </w:rPr>
        <w:t>Technology</w:t>
      </w:r>
    </w:p>
    <w:p>
      <w:pPr>
        <w:pStyle w:val="ListParagraph"/>
        <w:numPr>
          <w:ilvl w:val="1"/>
          <w:numId w:val="1"/>
        </w:numPr>
        <w:tabs>
          <w:tab w:pos="1561" w:val="left" w:leader="none"/>
        </w:tabs>
        <w:spacing w:line="240" w:lineRule="auto" w:before="36" w:after="0"/>
        <w:ind w:left="1560" w:right="0" w:hanging="361"/>
        <w:jc w:val="left"/>
        <w:rPr>
          <w:sz w:val="20"/>
        </w:rPr>
      </w:pPr>
      <w:r>
        <w:rPr>
          <w:sz w:val="20"/>
        </w:rPr>
        <w:t>Diversity</w:t>
      </w:r>
      <w:r>
        <w:rPr>
          <w:spacing w:val="-3"/>
          <w:sz w:val="20"/>
        </w:rPr>
        <w:t> </w:t>
      </w:r>
      <w:r>
        <w:rPr>
          <w:sz w:val="20"/>
        </w:rPr>
        <w:t>Initiatives</w:t>
      </w:r>
    </w:p>
    <w:p>
      <w:pPr>
        <w:pStyle w:val="BodyText"/>
        <w:spacing w:before="1"/>
      </w:pPr>
    </w:p>
    <w:p>
      <w:pPr>
        <w:pStyle w:val="Heading1"/>
      </w:pPr>
      <w:r>
        <w:rPr/>
        <w:t>Item 4. Updates from the sessions</w:t>
      </w:r>
    </w:p>
    <w:p>
      <w:pPr>
        <w:pStyle w:val="BodyText"/>
        <w:spacing w:before="5"/>
        <w:rPr>
          <w:b/>
        </w:rPr>
      </w:pPr>
    </w:p>
    <w:p>
      <w:pPr>
        <w:pStyle w:val="ListParagraph"/>
        <w:numPr>
          <w:ilvl w:val="0"/>
          <w:numId w:val="1"/>
        </w:numPr>
        <w:tabs>
          <w:tab w:pos="841" w:val="left" w:leader="none"/>
        </w:tabs>
        <w:spacing w:line="276" w:lineRule="auto" w:before="0" w:after="0"/>
        <w:ind w:left="840" w:right="459" w:hanging="360"/>
        <w:jc w:val="both"/>
        <w:rPr>
          <w:sz w:val="20"/>
        </w:rPr>
      </w:pPr>
      <w:r>
        <w:rPr>
          <w:sz w:val="20"/>
        </w:rPr>
        <w:t>The Committee discussed the ideas that were raised in the sub-groups. One of the key themes that emerged from all four discussion groups was around flexible working. It was agreed that flexible working patterns are something that need to be pushed from a senior management level. Maternity and paternity leave was also discussed in detail with some committee members noting that there is a form of stigma attached to men taking parental leave or working</w:t>
      </w:r>
      <w:r>
        <w:rPr>
          <w:spacing w:val="-11"/>
          <w:sz w:val="20"/>
        </w:rPr>
        <w:t> </w:t>
      </w:r>
      <w:r>
        <w:rPr>
          <w:sz w:val="20"/>
        </w:rPr>
        <w:t>flexibly.</w:t>
      </w:r>
    </w:p>
    <w:p>
      <w:pPr>
        <w:pStyle w:val="BodyText"/>
        <w:rPr>
          <w:sz w:val="23"/>
        </w:rPr>
      </w:pPr>
    </w:p>
    <w:p>
      <w:pPr>
        <w:pStyle w:val="ListParagraph"/>
        <w:numPr>
          <w:ilvl w:val="0"/>
          <w:numId w:val="1"/>
        </w:numPr>
        <w:tabs>
          <w:tab w:pos="841" w:val="left" w:leader="none"/>
        </w:tabs>
        <w:spacing w:line="276" w:lineRule="auto" w:before="0" w:after="0"/>
        <w:ind w:left="840" w:right="455" w:hanging="360"/>
        <w:jc w:val="both"/>
        <w:rPr>
          <w:sz w:val="20"/>
        </w:rPr>
      </w:pPr>
      <w:r>
        <w:rPr>
          <w:sz w:val="20"/>
        </w:rPr>
        <w:t>Technology has improved in recent years and is now at a point which makes working from home easier, however the committee noted that the nature of money markets is very face-time heavy and so working flexibly is often seen as taboo. Whilst technology is important for taking diversity initiatives forward, it is also necessary to ensure that employees are not expected to be constantly available out of</w:t>
      </w:r>
      <w:r>
        <w:rPr>
          <w:spacing w:val="-2"/>
          <w:sz w:val="20"/>
        </w:rPr>
        <w:t> </w:t>
      </w:r>
      <w:r>
        <w:rPr>
          <w:sz w:val="20"/>
        </w:rPr>
        <w:t>hours.</w:t>
      </w:r>
    </w:p>
    <w:p>
      <w:pPr>
        <w:pStyle w:val="BodyText"/>
        <w:rPr>
          <w:sz w:val="23"/>
        </w:rPr>
      </w:pPr>
    </w:p>
    <w:p>
      <w:pPr>
        <w:pStyle w:val="ListParagraph"/>
        <w:numPr>
          <w:ilvl w:val="0"/>
          <w:numId w:val="1"/>
        </w:numPr>
        <w:tabs>
          <w:tab w:pos="841" w:val="left" w:leader="none"/>
        </w:tabs>
        <w:spacing w:line="276" w:lineRule="auto" w:before="0" w:after="0"/>
        <w:ind w:left="840" w:right="457" w:hanging="360"/>
        <w:jc w:val="both"/>
        <w:rPr>
          <w:sz w:val="20"/>
        </w:rPr>
      </w:pPr>
      <w:r>
        <w:rPr>
          <w:sz w:val="20"/>
        </w:rPr>
        <w:t>The Chair summarised the discussions and all agreed that the UK Money Markets Code should be used as the vehicle to help drive change in the industry. It was suggested that the Code could no longer refer to having to trade physically in the office and include references to being mindful  of diversity during recruitment processes. A main issue is that many female employees leave whilst in relatively junior roles and do not necessarily continue in the financial sector. If the Code were more explicit on the need for managers to ensure knowledge retention, this might help to bring more women back into treasury roles and subsequently rise up the ranks. In addition, the committee agreed that some influence from the regulatory side would make it easier for firms to adhere to the</w:t>
      </w:r>
      <w:r>
        <w:rPr>
          <w:spacing w:val="-2"/>
          <w:sz w:val="20"/>
        </w:rPr>
        <w:t> </w:t>
      </w:r>
      <w:r>
        <w:rPr>
          <w:sz w:val="20"/>
        </w:rPr>
        <w:t>principles.</w:t>
      </w:r>
    </w:p>
    <w:p>
      <w:pPr>
        <w:pStyle w:val="BodyText"/>
        <w:rPr>
          <w:sz w:val="23"/>
        </w:rPr>
      </w:pPr>
    </w:p>
    <w:p>
      <w:pPr>
        <w:pStyle w:val="ListParagraph"/>
        <w:numPr>
          <w:ilvl w:val="0"/>
          <w:numId w:val="1"/>
        </w:numPr>
        <w:tabs>
          <w:tab w:pos="841" w:val="left" w:leader="none"/>
        </w:tabs>
        <w:spacing w:line="278" w:lineRule="auto" w:before="1" w:after="0"/>
        <w:ind w:left="840" w:right="456" w:hanging="360"/>
        <w:jc w:val="both"/>
        <w:rPr>
          <w:sz w:val="20"/>
        </w:rPr>
      </w:pPr>
      <w:r>
        <w:rPr>
          <w:sz w:val="20"/>
        </w:rPr>
        <w:t>The committee praised the diversity and inclusion initiatives such as today’s event but noted that there</w:t>
      </w:r>
      <w:r>
        <w:rPr>
          <w:spacing w:val="16"/>
          <w:sz w:val="20"/>
        </w:rPr>
        <w:t> </w:t>
      </w:r>
      <w:r>
        <w:rPr>
          <w:sz w:val="20"/>
        </w:rPr>
        <w:t>was</w:t>
      </w:r>
      <w:r>
        <w:rPr>
          <w:spacing w:val="15"/>
          <w:sz w:val="20"/>
        </w:rPr>
        <w:t> </w:t>
      </w:r>
      <w:r>
        <w:rPr>
          <w:sz w:val="20"/>
        </w:rPr>
        <w:t>only</w:t>
      </w:r>
      <w:r>
        <w:rPr>
          <w:spacing w:val="11"/>
          <w:sz w:val="20"/>
        </w:rPr>
        <w:t> </w:t>
      </w:r>
      <w:r>
        <w:rPr>
          <w:sz w:val="20"/>
        </w:rPr>
        <w:t>a</w:t>
      </w:r>
      <w:r>
        <w:rPr>
          <w:spacing w:val="14"/>
          <w:sz w:val="20"/>
        </w:rPr>
        <w:t> </w:t>
      </w:r>
      <w:r>
        <w:rPr>
          <w:sz w:val="20"/>
        </w:rPr>
        <w:t>self-selected</w:t>
      </w:r>
      <w:r>
        <w:rPr>
          <w:spacing w:val="14"/>
          <w:sz w:val="20"/>
        </w:rPr>
        <w:t> </w:t>
      </w:r>
      <w:r>
        <w:rPr>
          <w:sz w:val="20"/>
        </w:rPr>
        <w:t>sub-set</w:t>
      </w:r>
      <w:r>
        <w:rPr>
          <w:spacing w:val="14"/>
          <w:sz w:val="20"/>
        </w:rPr>
        <w:t> </w:t>
      </w:r>
      <w:r>
        <w:rPr>
          <w:sz w:val="20"/>
        </w:rPr>
        <w:t>of</w:t>
      </w:r>
      <w:r>
        <w:rPr>
          <w:spacing w:val="16"/>
          <w:sz w:val="20"/>
        </w:rPr>
        <w:t> </w:t>
      </w:r>
      <w:r>
        <w:rPr>
          <w:sz w:val="20"/>
        </w:rPr>
        <w:t>the</w:t>
      </w:r>
      <w:r>
        <w:rPr>
          <w:spacing w:val="14"/>
          <w:sz w:val="20"/>
        </w:rPr>
        <w:t> </w:t>
      </w:r>
      <w:r>
        <w:rPr>
          <w:sz w:val="20"/>
        </w:rPr>
        <w:t>market</w:t>
      </w:r>
      <w:r>
        <w:rPr>
          <w:spacing w:val="12"/>
          <w:sz w:val="20"/>
        </w:rPr>
        <w:t> </w:t>
      </w:r>
      <w:r>
        <w:rPr>
          <w:sz w:val="20"/>
        </w:rPr>
        <w:t>present</w:t>
      </w:r>
      <w:r>
        <w:rPr>
          <w:spacing w:val="15"/>
          <w:sz w:val="20"/>
        </w:rPr>
        <w:t> </w:t>
      </w:r>
      <w:r>
        <w:rPr>
          <w:sz w:val="20"/>
        </w:rPr>
        <w:t>in</w:t>
      </w:r>
      <w:r>
        <w:rPr>
          <w:spacing w:val="14"/>
          <w:sz w:val="20"/>
        </w:rPr>
        <w:t> </w:t>
      </w:r>
      <w:r>
        <w:rPr>
          <w:sz w:val="20"/>
        </w:rPr>
        <w:t>the</w:t>
      </w:r>
      <w:r>
        <w:rPr>
          <w:spacing w:val="14"/>
          <w:sz w:val="20"/>
        </w:rPr>
        <w:t> </w:t>
      </w:r>
      <w:r>
        <w:rPr>
          <w:sz w:val="20"/>
        </w:rPr>
        <w:t>room.</w:t>
      </w:r>
      <w:r>
        <w:rPr>
          <w:spacing w:val="15"/>
          <w:sz w:val="20"/>
        </w:rPr>
        <w:t> </w:t>
      </w:r>
      <w:r>
        <w:rPr>
          <w:sz w:val="20"/>
        </w:rPr>
        <w:t>A</w:t>
      </w:r>
      <w:r>
        <w:rPr>
          <w:spacing w:val="18"/>
          <w:sz w:val="20"/>
        </w:rPr>
        <w:t> </w:t>
      </w:r>
      <w:r>
        <w:rPr>
          <w:sz w:val="20"/>
        </w:rPr>
        <w:t>broader</w:t>
      </w:r>
      <w:r>
        <w:rPr>
          <w:spacing w:val="16"/>
          <w:sz w:val="20"/>
        </w:rPr>
        <w:t> </w:t>
      </w:r>
      <w:r>
        <w:rPr>
          <w:sz w:val="20"/>
        </w:rPr>
        <w:t>culture</w:t>
      </w:r>
      <w:r>
        <w:rPr>
          <w:spacing w:val="15"/>
          <w:sz w:val="20"/>
        </w:rPr>
        <w:t> </w:t>
      </w:r>
      <w:r>
        <w:rPr>
          <w:sz w:val="20"/>
        </w:rPr>
        <w:t>shift</w:t>
      </w:r>
    </w:p>
    <w:p>
      <w:pPr>
        <w:spacing w:after="0" w:line="278" w:lineRule="auto"/>
        <w:jc w:val="both"/>
        <w:rPr>
          <w:sz w:val="20"/>
        </w:rPr>
        <w:sectPr>
          <w:pgSz w:w="11910" w:h="16840"/>
          <w:pgMar w:header="735" w:footer="0" w:top="1660" w:bottom="280" w:left="960" w:right="980"/>
        </w:sectPr>
      </w:pPr>
    </w:p>
    <w:p>
      <w:pPr>
        <w:pStyle w:val="BodyText"/>
        <w:spacing w:line="276" w:lineRule="auto" w:before="143"/>
        <w:ind w:left="840" w:right="453"/>
        <w:jc w:val="both"/>
      </w:pPr>
      <w:r>
        <w:rPr/>
        <w:t>would require the rest of the industry to follow suit. If diversity initiatives were included explicitly in the Code this would hopefully encourage wider adoption of such measures by other market participants.</w:t>
      </w:r>
    </w:p>
    <w:p>
      <w:pPr>
        <w:pStyle w:val="BodyText"/>
        <w:spacing w:before="4"/>
        <w:rPr>
          <w:sz w:val="17"/>
        </w:rPr>
      </w:pPr>
    </w:p>
    <w:p>
      <w:pPr>
        <w:pStyle w:val="Heading1"/>
      </w:pPr>
      <w:r>
        <w:rPr/>
        <w:t>Item 5. Closing remarks</w:t>
      </w:r>
    </w:p>
    <w:p>
      <w:pPr>
        <w:pStyle w:val="BodyText"/>
        <w:spacing w:before="3"/>
        <w:rPr>
          <w:b/>
        </w:rPr>
      </w:pPr>
    </w:p>
    <w:p>
      <w:pPr>
        <w:pStyle w:val="ListParagraph"/>
        <w:numPr>
          <w:ilvl w:val="0"/>
          <w:numId w:val="1"/>
        </w:numPr>
        <w:tabs>
          <w:tab w:pos="841" w:val="left" w:leader="none"/>
        </w:tabs>
        <w:spacing w:line="278" w:lineRule="auto" w:before="1" w:after="0"/>
        <w:ind w:left="840" w:right="458" w:hanging="360"/>
        <w:jc w:val="both"/>
        <w:rPr>
          <w:sz w:val="20"/>
        </w:rPr>
      </w:pPr>
      <w:r>
        <w:rPr>
          <w:sz w:val="20"/>
        </w:rPr>
        <w:t>The Chair and the Bank thanked everyone for attending and noted that meetings at which attendance was extended to a wider mix of colleagues would take place again in future. The next Money Markets Code Sub-Committee meeting will take place at The Bank on 25 February</w:t>
      </w:r>
      <w:r>
        <w:rPr>
          <w:spacing w:val="-22"/>
          <w:sz w:val="20"/>
        </w:rPr>
        <w:t> </w:t>
      </w:r>
      <w:r>
        <w:rPr>
          <w:sz w:val="20"/>
        </w:rPr>
        <w:t>2020.</w:t>
      </w:r>
    </w:p>
    <w:sectPr>
      <w:pgSz w:w="11910" w:h="16840"/>
      <w:pgMar w:header="735" w:footer="0" w:top="1660" w:bottom="280" w:left="96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513600">
          <wp:simplePos x="0" y="0"/>
          <wp:positionH relativeFrom="page">
            <wp:posOffset>956522</wp:posOffset>
          </wp:positionH>
          <wp:positionV relativeFrom="page">
            <wp:posOffset>466983</wp:posOffset>
          </wp:positionV>
          <wp:extent cx="463513" cy="46917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63513" cy="469177"/>
                  </a:xfrm>
                  <a:prstGeom prst="rect">
                    <a:avLst/>
                  </a:prstGeom>
                </pic:spPr>
              </pic:pic>
            </a:graphicData>
          </a:graphic>
        </wp:anchor>
      </w:drawing>
    </w:r>
    <w:r>
      <w:rPr/>
      <w:drawing>
        <wp:anchor distT="0" distB="0" distL="0" distR="0" allowOverlap="1" layoutInCell="1" locked="0" behindDoc="1" simplePos="0" relativeHeight="487514112">
          <wp:simplePos x="0" y="0"/>
          <wp:positionH relativeFrom="page">
            <wp:posOffset>2131774</wp:posOffset>
          </wp:positionH>
          <wp:positionV relativeFrom="page">
            <wp:posOffset>640463</wp:posOffset>
          </wp:positionV>
          <wp:extent cx="123098" cy="12801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23098" cy="128018"/>
                  </a:xfrm>
                  <a:prstGeom prst="rect">
                    <a:avLst/>
                  </a:prstGeom>
                </pic:spPr>
              </pic:pic>
            </a:graphicData>
          </a:graphic>
        </wp:anchor>
      </w:drawing>
    </w:r>
    <w:r>
      <w:rPr/>
      <w:drawing>
        <wp:anchor distT="0" distB="0" distL="0" distR="0" allowOverlap="1" layoutInCell="1" locked="0" behindDoc="1" simplePos="0" relativeHeight="487514624">
          <wp:simplePos x="0" y="0"/>
          <wp:positionH relativeFrom="page">
            <wp:posOffset>2722416</wp:posOffset>
          </wp:positionH>
          <wp:positionV relativeFrom="page">
            <wp:posOffset>640480</wp:posOffset>
          </wp:positionV>
          <wp:extent cx="106845" cy="1280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06845" cy="128000"/>
                  </a:xfrm>
                  <a:prstGeom prst="rect">
                    <a:avLst/>
                  </a:prstGeom>
                </pic:spPr>
              </pic:pic>
            </a:graphicData>
          </a:graphic>
        </wp:anchor>
      </w:drawing>
    </w:r>
    <w:r>
      <w:rPr/>
      <w:drawing>
        <wp:anchor distT="0" distB="0" distL="0" distR="0" allowOverlap="1" layoutInCell="1" locked="0" behindDoc="1" simplePos="0" relativeHeight="487515136">
          <wp:simplePos x="0" y="0"/>
          <wp:positionH relativeFrom="page">
            <wp:posOffset>1670130</wp:posOffset>
          </wp:positionH>
          <wp:positionV relativeFrom="page">
            <wp:posOffset>641044</wp:posOffset>
          </wp:positionV>
          <wp:extent cx="110934" cy="12555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110934" cy="125552"/>
                  </a:xfrm>
                  <a:prstGeom prst="rect">
                    <a:avLst/>
                  </a:prstGeom>
                </pic:spPr>
              </pic:pic>
            </a:graphicData>
          </a:graphic>
        </wp:anchor>
      </w:drawing>
    </w:r>
    <w:r>
      <w:rPr/>
      <w:drawing>
        <wp:anchor distT="0" distB="0" distL="0" distR="0" allowOverlap="1" layoutInCell="1" locked="0" behindDoc="1" simplePos="0" relativeHeight="487515648">
          <wp:simplePos x="0" y="0"/>
          <wp:positionH relativeFrom="page">
            <wp:posOffset>2960121</wp:posOffset>
          </wp:positionH>
          <wp:positionV relativeFrom="page">
            <wp:posOffset>641044</wp:posOffset>
          </wp:positionV>
          <wp:extent cx="110847" cy="12555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110847" cy="125552"/>
                  </a:xfrm>
                  <a:prstGeom prst="rect">
                    <a:avLst/>
                  </a:prstGeom>
                </pic:spPr>
              </pic:pic>
            </a:graphicData>
          </a:graphic>
        </wp:anchor>
      </w:drawing>
    </w:r>
    <w:r>
      <w:rPr/>
      <w:drawing>
        <wp:anchor distT="0" distB="0" distL="0" distR="0" allowOverlap="1" layoutInCell="1" locked="0" behindDoc="1" simplePos="0" relativeHeight="487516160">
          <wp:simplePos x="0" y="0"/>
          <wp:positionH relativeFrom="page">
            <wp:posOffset>1563545</wp:posOffset>
          </wp:positionH>
          <wp:positionV relativeFrom="page">
            <wp:posOffset>641625</wp:posOffset>
          </wp:positionV>
          <wp:extent cx="79994" cy="12497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79994" cy="124970"/>
                  </a:xfrm>
                  <a:prstGeom prst="rect">
                    <a:avLst/>
                  </a:prstGeom>
                </pic:spPr>
              </pic:pic>
            </a:graphicData>
          </a:graphic>
        </wp:anchor>
      </w:drawing>
    </w:r>
    <w:r>
      <w:rPr/>
      <w:drawing>
        <wp:anchor distT="0" distB="0" distL="0" distR="0" allowOverlap="1" layoutInCell="1" locked="0" behindDoc="1" simplePos="0" relativeHeight="487516672">
          <wp:simplePos x="0" y="0"/>
          <wp:positionH relativeFrom="page">
            <wp:posOffset>1814232</wp:posOffset>
          </wp:positionH>
          <wp:positionV relativeFrom="page">
            <wp:posOffset>641625</wp:posOffset>
          </wp:positionV>
          <wp:extent cx="108289" cy="12497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108289" cy="124970"/>
                  </a:xfrm>
                  <a:prstGeom prst="rect">
                    <a:avLst/>
                  </a:prstGeom>
                </pic:spPr>
              </pic:pic>
            </a:graphicData>
          </a:graphic>
        </wp:anchor>
      </w:drawing>
    </w:r>
    <w:r>
      <w:rPr/>
      <w:drawing>
        <wp:anchor distT="0" distB="0" distL="0" distR="0" allowOverlap="1" layoutInCell="1" locked="0" behindDoc="1" simplePos="0" relativeHeight="487517184">
          <wp:simplePos x="0" y="0"/>
          <wp:positionH relativeFrom="page">
            <wp:posOffset>1968983</wp:posOffset>
          </wp:positionH>
          <wp:positionV relativeFrom="page">
            <wp:posOffset>641625</wp:posOffset>
          </wp:positionV>
          <wp:extent cx="89756" cy="12497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89756" cy="124970"/>
                  </a:xfrm>
                  <a:prstGeom prst="rect">
                    <a:avLst/>
                  </a:prstGeom>
                </pic:spPr>
              </pic:pic>
            </a:graphicData>
          </a:graphic>
        </wp:anchor>
      </w:drawing>
    </w:r>
    <w:r>
      <w:rPr/>
      <w:drawing>
        <wp:anchor distT="0" distB="0" distL="0" distR="0" allowOverlap="1" layoutInCell="1" locked="0" behindDoc="1" simplePos="0" relativeHeight="487517696">
          <wp:simplePos x="0" y="0"/>
          <wp:positionH relativeFrom="page">
            <wp:posOffset>2295888</wp:posOffset>
          </wp:positionH>
          <wp:positionV relativeFrom="page">
            <wp:posOffset>641625</wp:posOffset>
          </wp:positionV>
          <wp:extent cx="71380" cy="12497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9" cstate="print"/>
                  <a:stretch>
                    <a:fillRect/>
                  </a:stretch>
                </pic:blipFill>
                <pic:spPr>
                  <a:xfrm>
                    <a:off x="0" y="0"/>
                    <a:ext cx="71380" cy="124970"/>
                  </a:xfrm>
                  <a:prstGeom prst="rect">
                    <a:avLst/>
                  </a:prstGeom>
                </pic:spPr>
              </pic:pic>
            </a:graphicData>
          </a:graphic>
        </wp:anchor>
      </w:drawing>
    </w:r>
    <w:r>
      <w:rPr/>
      <w:drawing>
        <wp:anchor distT="0" distB="0" distL="0" distR="0" allowOverlap="1" layoutInCell="1" locked="0" behindDoc="1" simplePos="0" relativeHeight="487518208">
          <wp:simplePos x="0" y="0"/>
          <wp:positionH relativeFrom="page">
            <wp:posOffset>2456469</wp:posOffset>
          </wp:positionH>
          <wp:positionV relativeFrom="page">
            <wp:posOffset>641625</wp:posOffset>
          </wp:positionV>
          <wp:extent cx="75122" cy="12497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0" cstate="print"/>
                  <a:stretch>
                    <a:fillRect/>
                  </a:stretch>
                </pic:blipFill>
                <pic:spPr>
                  <a:xfrm>
                    <a:off x="0" y="0"/>
                    <a:ext cx="75122" cy="124970"/>
                  </a:xfrm>
                  <a:prstGeom prst="rect">
                    <a:avLst/>
                  </a:prstGeom>
                </pic:spPr>
              </pic:pic>
            </a:graphicData>
          </a:graphic>
        </wp:anchor>
      </w:drawing>
    </w:r>
    <w:r>
      <w:rPr/>
      <w:drawing>
        <wp:anchor distT="0" distB="0" distL="0" distR="0" allowOverlap="1" layoutInCell="1" locked="0" behindDoc="1" simplePos="0" relativeHeight="487518720">
          <wp:simplePos x="0" y="0"/>
          <wp:positionH relativeFrom="page">
            <wp:posOffset>2573355</wp:posOffset>
          </wp:positionH>
          <wp:positionV relativeFrom="page">
            <wp:posOffset>641625</wp:posOffset>
          </wp:positionV>
          <wp:extent cx="108341" cy="124970"/>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1" cstate="print"/>
                  <a:stretch>
                    <a:fillRect/>
                  </a:stretch>
                </pic:blipFill>
                <pic:spPr>
                  <a:xfrm>
                    <a:off x="0" y="0"/>
                    <a:ext cx="108341" cy="124970"/>
                  </a:xfrm>
                  <a:prstGeom prst="rect">
                    <a:avLst/>
                  </a:prstGeom>
                </pic:spPr>
              </pic:pic>
            </a:graphicData>
          </a:graphic>
        </wp:anchor>
      </w:drawing>
    </w:r>
    <w:r>
      <w:rPr/>
      <w:drawing>
        <wp:anchor distT="0" distB="0" distL="0" distR="0" allowOverlap="1" layoutInCell="1" locked="0" behindDoc="1" simplePos="0" relativeHeight="487519232">
          <wp:simplePos x="0" y="0"/>
          <wp:positionH relativeFrom="page">
            <wp:posOffset>2874506</wp:posOffset>
          </wp:positionH>
          <wp:positionV relativeFrom="page">
            <wp:posOffset>641625</wp:posOffset>
          </wp:positionV>
          <wp:extent cx="64037" cy="124970"/>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2" cstate="print"/>
                  <a:stretch>
                    <a:fillRect/>
                  </a:stretch>
                </pic:blipFill>
                <pic:spPr>
                  <a:xfrm>
                    <a:off x="0" y="0"/>
                    <a:ext cx="64037" cy="124970"/>
                  </a:xfrm>
                  <a:prstGeom prst="rect">
                    <a:avLst/>
                  </a:prstGeom>
                </pic:spPr>
              </pic:pic>
            </a:graphicData>
          </a:graphic>
        </wp:anchor>
      </w:drawing>
    </w:r>
    <w:r>
      <w:rPr/>
      <w:drawing>
        <wp:anchor distT="0" distB="0" distL="0" distR="0" allowOverlap="1" layoutInCell="1" locked="0" behindDoc="1" simplePos="0" relativeHeight="487519744">
          <wp:simplePos x="0" y="0"/>
          <wp:positionH relativeFrom="page">
            <wp:posOffset>3104206</wp:posOffset>
          </wp:positionH>
          <wp:positionV relativeFrom="page">
            <wp:posOffset>641625</wp:posOffset>
          </wp:positionV>
          <wp:extent cx="108237" cy="12497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3" cstate="print"/>
                  <a:stretch>
                    <a:fillRect/>
                  </a:stretch>
                </pic:blipFill>
                <pic:spPr>
                  <a:xfrm>
                    <a:off x="0" y="0"/>
                    <a:ext cx="108237" cy="124970"/>
                  </a:xfrm>
                  <a:prstGeom prst="rect">
                    <a:avLst/>
                  </a:prstGeom>
                </pic:spPr>
              </pic:pic>
            </a:graphicData>
          </a:graphic>
        </wp:anchor>
      </w:drawing>
    </w:r>
    <w:r>
      <w:rPr/>
      <w:drawing>
        <wp:anchor distT="0" distB="0" distL="0" distR="0" allowOverlap="1" layoutInCell="1" locked="0" behindDoc="1" simplePos="0" relativeHeight="487520256">
          <wp:simplePos x="0" y="0"/>
          <wp:positionH relativeFrom="page">
            <wp:posOffset>3258905</wp:posOffset>
          </wp:positionH>
          <wp:positionV relativeFrom="page">
            <wp:posOffset>641608</wp:posOffset>
          </wp:positionV>
          <wp:extent cx="102320" cy="124988"/>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14" cstate="print"/>
                  <a:stretch>
                    <a:fillRect/>
                  </a:stretch>
                </pic:blipFill>
                <pic:spPr>
                  <a:xfrm>
                    <a:off x="0" y="0"/>
                    <a:ext cx="102320" cy="1249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Arial" w:hAnsi="Arial" w:eastAsia="Arial" w:cs="Arial"/>
        <w:spacing w:val="-1"/>
        <w:w w:val="99"/>
        <w:sz w:val="20"/>
        <w:szCs w:val="20"/>
        <w:lang w:val="en-US" w:eastAsia="en-US" w:bidi="ar-SA"/>
      </w:rPr>
    </w:lvl>
    <w:lvl w:ilvl="1">
      <w:start w:val="1"/>
      <w:numFmt w:val="lowerLetter"/>
      <w:lvlText w:val="%2."/>
      <w:lvlJc w:val="left"/>
      <w:pPr>
        <w:ind w:left="1560" w:hanging="360"/>
        <w:jc w:val="left"/>
      </w:pPr>
      <w:rPr>
        <w:rFonts w:hint="default" w:ascii="Arial" w:hAnsi="Arial" w:eastAsia="Arial" w:cs="Arial"/>
        <w:spacing w:val="-1"/>
        <w:w w:val="99"/>
        <w:sz w:val="20"/>
        <w:szCs w:val="20"/>
        <w:lang w:val="en-US" w:eastAsia="en-US" w:bidi="ar-SA"/>
      </w:rPr>
    </w:lvl>
    <w:lvl w:ilvl="2">
      <w:start w:val="0"/>
      <w:numFmt w:val="bullet"/>
      <w:lvlText w:val="•"/>
      <w:lvlJc w:val="left"/>
      <w:pPr>
        <w:ind w:left="2494" w:hanging="360"/>
      </w:pPr>
      <w:rPr>
        <w:rFonts w:hint="default"/>
        <w:lang w:val="en-US" w:eastAsia="en-US" w:bidi="ar-SA"/>
      </w:rPr>
    </w:lvl>
    <w:lvl w:ilvl="3">
      <w:start w:val="0"/>
      <w:numFmt w:val="bullet"/>
      <w:lvlText w:val="•"/>
      <w:lvlJc w:val="left"/>
      <w:pPr>
        <w:ind w:left="3428" w:hanging="360"/>
      </w:pPr>
      <w:rPr>
        <w:rFonts w:hint="default"/>
        <w:lang w:val="en-US" w:eastAsia="en-US" w:bidi="ar-SA"/>
      </w:rPr>
    </w:lvl>
    <w:lvl w:ilvl="4">
      <w:start w:val="0"/>
      <w:numFmt w:val="bullet"/>
      <w:lvlText w:val="•"/>
      <w:lvlJc w:val="left"/>
      <w:pPr>
        <w:ind w:left="4362" w:hanging="360"/>
      </w:pPr>
      <w:rPr>
        <w:rFonts w:hint="default"/>
        <w:lang w:val="en-US" w:eastAsia="en-US" w:bidi="ar-SA"/>
      </w:rPr>
    </w:lvl>
    <w:lvl w:ilvl="5">
      <w:start w:val="0"/>
      <w:numFmt w:val="bullet"/>
      <w:lvlText w:val="•"/>
      <w:lvlJc w:val="left"/>
      <w:pPr>
        <w:ind w:left="5296" w:hanging="360"/>
      </w:pPr>
      <w:rPr>
        <w:rFonts w:hint="default"/>
        <w:lang w:val="en-US" w:eastAsia="en-US" w:bidi="ar-SA"/>
      </w:rPr>
    </w:lvl>
    <w:lvl w:ilvl="6">
      <w:start w:val="0"/>
      <w:numFmt w:val="bullet"/>
      <w:lvlText w:val="•"/>
      <w:lvlJc w:val="left"/>
      <w:pPr>
        <w:ind w:left="6230" w:hanging="360"/>
      </w:pPr>
      <w:rPr>
        <w:rFonts w:hint="default"/>
        <w:lang w:val="en-US" w:eastAsia="en-US" w:bidi="ar-SA"/>
      </w:rPr>
    </w:lvl>
    <w:lvl w:ilvl="7">
      <w:start w:val="0"/>
      <w:numFmt w:val="bullet"/>
      <w:lvlText w:val="•"/>
      <w:lvlJc w:val="left"/>
      <w:pPr>
        <w:ind w:left="7164" w:hanging="360"/>
      </w:pPr>
      <w:rPr>
        <w:rFonts w:hint="default"/>
        <w:lang w:val="en-US" w:eastAsia="en-US" w:bidi="ar-SA"/>
      </w:rPr>
    </w:lvl>
    <w:lvl w:ilvl="8">
      <w:start w:val="0"/>
      <w:numFmt w:val="bullet"/>
      <w:lvlText w:val="•"/>
      <w:lvlJc w:val="left"/>
      <w:pPr>
        <w:ind w:left="809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480"/>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840" w:hanging="360"/>
      <w:jc w:val="both"/>
    </w:pPr>
    <w:rPr>
      <w:rFonts w:ascii="Arial" w:hAnsi="Arial" w:eastAsia="Arial" w:cs="Arial"/>
      <w:lang w:val="en-US" w:eastAsia="en-US" w:bidi="ar-SA"/>
    </w:rPr>
  </w:style>
  <w:style w:styleId="TableParagraph" w:type="paragraph">
    <w:name w:val="Table Paragraph"/>
    <w:basedOn w:val="Normal"/>
    <w:uiPriority w:val="1"/>
    <w:qFormat/>
    <w:pPr>
      <w:ind w:left="9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UK Money Markets Code Sub-Committee Minutes - January 2020</dc:title>
  <dcterms:created xsi:type="dcterms:W3CDTF">2020-06-02T14:23:15Z</dcterms:created>
  <dcterms:modified xsi:type="dcterms:W3CDTF">2020-06-02T14:23:15Z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2020-02-28T00:00:00Z</vt:filetime>
  </property>
  <property fmtid="{D5CDD505-2E9C-101B-9397-08002B2CF9AE}" pid="3" name="LastSaved">
    <vt:filetime>2020-06-02T00:00:00Z</vt:filetime>
  </property>
</Properties>
</file>