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7"/>
        <w:ind w:right="206"/>
        <w:jc w:val="right"/>
        <w:rPr>
          <w:u w:val="none"/>
        </w:rPr>
      </w:pPr>
      <w:r>
        <w:rPr/>
        <w:pict>
          <v:group style="position:absolute;margin-left:105.263855pt;margin-top:13.22585pt;width:28.3pt;height:9.9pt;mso-position-horizontal-relative:page;mso-position-vertical-relative:paragraph;z-index:251659264" coordorigin="2105,265" coordsize="566,198">
            <v:shape style="position:absolute;left:2105;top:265;width:126;height:197" type="#_x0000_t75" stroked="false">
              <v:imagedata r:id="rId5" o:title=""/>
            </v:shape>
            <v:shape style="position:absolute;left:2273;top:264;width:175;height:198" type="#_x0000_t75" stroked="false">
              <v:imagedata r:id="rId6" o:title=""/>
            </v:shape>
            <v:shape style="position:absolute;left:2500;top:265;width:171;height:197" type="#_x0000_t75" stroked="false">
              <v:imagedata r:id="rId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1742288</wp:posOffset>
            </wp:positionH>
            <wp:positionV relativeFrom="paragraph">
              <wp:posOffset>168549</wp:posOffset>
            </wp:positionV>
            <wp:extent cx="89756" cy="12497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56" cy="12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0.006287pt;margin-top:13.180081pt;width:18.55pt;height:10.1pt;mso-position-horizontal-relative:page;mso-position-vertical-relative:paragraph;z-index:251661312" coordorigin="3000,264" coordsize="371,202">
            <v:shape style="position:absolute;left:3000;top:263;width:194;height:202" type="#_x0000_t75" stroked="false">
              <v:imagedata r:id="rId9" o:title=""/>
            </v:shape>
            <v:shape style="position:absolute;left:3258;top:265;width:113;height:197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175.572815pt;margin-top:13.181468pt;width:29.4pt;height:10.1pt;mso-position-horizontal-relative:page;mso-position-vertical-relative:paragraph;z-index:251662336" coordorigin="3511,264" coordsize="588,202">
            <v:shape style="position:absolute;left:3511;top:265;width:119;height:197" type="#_x0000_t75" stroked="false">
              <v:imagedata r:id="rId11" o:title=""/>
            </v:shape>
            <v:shape style="position:absolute;left:3695;top:265;width:171;height:197" type="#_x0000_t75" stroked="false">
              <v:imagedata r:id="rId12" o:title=""/>
            </v:shape>
            <v:shape style="position:absolute;left:3930;top:263;width:169;height:202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208.489075pt;margin-top:13.22585pt;width:26.65pt;height:9.9pt;mso-position-horizontal-relative:page;mso-position-vertical-relative:paragraph;z-index:251663360" coordorigin="4170,265" coordsize="533,198">
            <v:shape style="position:absolute;left:4169;top:265;width:101;height:197" type="#_x0000_t75" stroked="false">
              <v:imagedata r:id="rId14" o:title=""/>
            </v:shape>
            <v:shape style="position:absolute;left:4304;top:264;width:175;height:198" type="#_x0000_t75" stroked="false">
              <v:imagedata r:id="rId15" o:title=""/>
            </v:shape>
            <v:shape style="position:absolute;left:4531;top:265;width:171;height:197" type="#_x0000_t75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3032210</wp:posOffset>
            </wp:positionH>
            <wp:positionV relativeFrom="paragraph">
              <wp:posOffset>168531</wp:posOffset>
            </wp:positionV>
            <wp:extent cx="102320" cy="124988"/>
            <wp:effectExtent l="0" t="0" r="0" b="0"/>
            <wp:wrapNone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20" cy="12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729827</wp:posOffset>
            </wp:positionH>
            <wp:positionV relativeFrom="paragraph">
              <wp:posOffset>-6092</wp:posOffset>
            </wp:positionV>
            <wp:extent cx="463513" cy="469177"/>
            <wp:effectExtent l="0" t="0" r="0" b="0"/>
            <wp:wrapNone/>
            <wp:docPr id="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13" cy="469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18.05.2018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6"/>
        <w:rPr>
          <w:sz w:val="24"/>
          <w:u w:val="none"/>
        </w:rPr>
      </w:pPr>
    </w:p>
    <w:tbl>
      <w:tblPr>
        <w:tblW w:w="0" w:type="auto"/>
        <w:jc w:val="left"/>
        <w:tblInd w:w="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8703"/>
      </w:tblGrid>
      <w:tr>
        <w:trPr>
          <w:trHeight w:val="660" w:hRule="atLeast"/>
        </w:trPr>
        <w:tc>
          <w:tcPr>
            <w:tcW w:w="9662" w:type="dxa"/>
            <w:gridSpan w:val="2"/>
          </w:tcPr>
          <w:p>
            <w:pPr>
              <w:pStyle w:val="TableParagraph"/>
              <w:spacing w:line="491" w:lineRule="exact"/>
              <w:ind w:left="7"/>
              <w:rPr>
                <w:sz w:val="44"/>
              </w:rPr>
            </w:pPr>
            <w:r>
              <w:rPr>
                <w:sz w:val="44"/>
              </w:rPr>
              <w:t>Minutes</w:t>
            </w:r>
          </w:p>
        </w:tc>
      </w:tr>
      <w:tr>
        <w:trPr>
          <w:trHeight w:val="599" w:hRule="atLeast"/>
        </w:trPr>
        <w:tc>
          <w:tcPr>
            <w:tcW w:w="9662" w:type="dxa"/>
            <w:gridSpan w:val="2"/>
          </w:tcPr>
          <w:p>
            <w:pPr>
              <w:pStyle w:val="TableParagraph"/>
              <w:spacing w:before="166"/>
              <w:ind w:left="7"/>
              <w:rPr>
                <w:b/>
                <w:sz w:val="31"/>
              </w:rPr>
            </w:pPr>
            <w:r>
              <w:rPr>
                <w:b/>
                <w:sz w:val="31"/>
              </w:rPr>
              <w:t>UK Money Markets Code Sub-Committee</w:t>
            </w:r>
          </w:p>
        </w:tc>
      </w:tr>
      <w:tr>
        <w:trPr>
          <w:trHeight w:val="605" w:hRule="atLeast"/>
        </w:trPr>
        <w:tc>
          <w:tcPr>
            <w:tcW w:w="966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7"/>
              <w:rPr>
                <w:sz w:val="23"/>
              </w:rPr>
            </w:pPr>
            <w:r>
              <w:rPr>
                <w:w w:val="105"/>
                <w:sz w:val="23"/>
              </w:rPr>
              <w:t>18 May 2018</w:t>
            </w:r>
          </w:p>
        </w:tc>
      </w:tr>
      <w:tr>
        <w:trPr>
          <w:trHeight w:val="573" w:hRule="atLeast"/>
        </w:trPr>
        <w:tc>
          <w:tcPr>
            <w:tcW w:w="9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Location:</w:t>
            </w:r>
          </w:p>
        </w:tc>
        <w:tc>
          <w:tcPr>
            <w:tcW w:w="87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Bank of England, Threadneedle Street</w:t>
            </w:r>
          </w:p>
        </w:tc>
      </w:tr>
      <w:tr>
        <w:trPr>
          <w:trHeight w:val="6057" w:hRule="atLeast"/>
        </w:trPr>
        <w:tc>
          <w:tcPr>
            <w:tcW w:w="9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1"/>
              <w:ind w:left="7" w:right="-15"/>
              <w:rPr>
                <w:sz w:val="20"/>
              </w:rPr>
            </w:pPr>
            <w:r>
              <w:rPr>
                <w:spacing w:val="-1"/>
                <w:sz w:val="20"/>
              </w:rPr>
              <w:t>Attendees:</w:t>
            </w:r>
          </w:p>
        </w:tc>
        <w:tc>
          <w:tcPr>
            <w:tcW w:w="87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57"/>
              <w:rPr>
                <w:sz w:val="20"/>
              </w:rPr>
            </w:pPr>
            <w:r>
              <w:rPr>
                <w:b/>
                <w:sz w:val="20"/>
              </w:rPr>
              <w:t>Aberdeen Standard Investments</w:t>
            </w:r>
            <w:r>
              <w:rPr>
                <w:sz w:val="20"/>
              </w:rPr>
              <w:t>: Gordon Lowson</w:t>
            </w:r>
          </w:p>
          <w:p>
            <w:pPr>
              <w:pStyle w:val="TableParagraph"/>
              <w:spacing w:before="37"/>
              <w:ind w:left="57"/>
              <w:rPr>
                <w:sz w:val="20"/>
              </w:rPr>
            </w:pPr>
            <w:r>
              <w:rPr>
                <w:b/>
                <w:sz w:val="20"/>
              </w:rPr>
              <w:t>ACT</w:t>
            </w:r>
            <w:r>
              <w:rPr>
                <w:sz w:val="20"/>
              </w:rPr>
              <w:t>: Michelle Price</w:t>
            </w:r>
          </w:p>
          <w:p>
            <w:pPr>
              <w:pStyle w:val="TableParagraph"/>
              <w:spacing w:line="273" w:lineRule="auto" w:before="36"/>
              <w:ind w:left="57" w:right="5186"/>
              <w:rPr>
                <w:sz w:val="20"/>
              </w:rPr>
            </w:pPr>
            <w:r>
              <w:rPr>
                <w:b/>
                <w:sz w:val="20"/>
              </w:rPr>
              <w:t>Aviva Investors</w:t>
            </w:r>
            <w:r>
              <w:rPr>
                <w:sz w:val="20"/>
              </w:rPr>
              <w:t>: Mick Chadwick </w:t>
            </w:r>
            <w:r>
              <w:rPr>
                <w:b/>
                <w:sz w:val="20"/>
              </w:rPr>
              <w:t>BAML</w:t>
            </w:r>
            <w:r>
              <w:rPr>
                <w:sz w:val="20"/>
              </w:rPr>
              <w:t>: Alessandro Cozzani </w:t>
            </w:r>
            <w:r>
              <w:rPr>
                <w:b/>
                <w:sz w:val="20"/>
              </w:rPr>
              <w:t>Blackrock</w:t>
            </w:r>
            <w:r>
              <w:rPr>
                <w:sz w:val="20"/>
              </w:rPr>
              <w:t>: Tim McLeod</w:t>
            </w:r>
          </w:p>
          <w:p>
            <w:pPr>
              <w:pStyle w:val="TableParagraph"/>
              <w:spacing w:before="6"/>
              <w:ind w:left="57"/>
              <w:rPr>
                <w:sz w:val="20"/>
              </w:rPr>
            </w:pPr>
            <w:r>
              <w:rPr>
                <w:b/>
                <w:sz w:val="20"/>
              </w:rPr>
              <w:t>DMO (Observer)</w:t>
            </w:r>
            <w:r>
              <w:rPr>
                <w:sz w:val="20"/>
              </w:rPr>
              <w:t>: Jessica Pulay</w:t>
            </w:r>
          </w:p>
          <w:p>
            <w:pPr>
              <w:pStyle w:val="TableParagraph"/>
              <w:spacing w:line="273" w:lineRule="auto" w:before="37"/>
              <w:ind w:left="57" w:right="695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HSBC</w:t>
            </w:r>
            <w:r>
              <w:rPr>
                <w:sz w:val="20"/>
              </w:rPr>
              <w:t>: </w:t>
            </w:r>
            <w:r>
              <w:rPr>
                <w:spacing w:val="-3"/>
                <w:sz w:val="20"/>
              </w:rPr>
              <w:t>Ned Taylor </w:t>
            </w:r>
            <w:r>
              <w:rPr>
                <w:b/>
                <w:spacing w:val="-3"/>
                <w:sz w:val="20"/>
              </w:rPr>
              <w:t>ICAP</w:t>
            </w:r>
            <w:r>
              <w:rPr>
                <w:spacing w:val="-3"/>
                <w:sz w:val="20"/>
              </w:rPr>
              <w:t>: </w:t>
            </w:r>
            <w:r>
              <w:rPr>
                <w:sz w:val="20"/>
              </w:rPr>
              <w:t>Phil </w:t>
            </w:r>
            <w:r>
              <w:rPr>
                <w:spacing w:val="-3"/>
                <w:sz w:val="20"/>
              </w:rPr>
              <w:t>Chilvers </w:t>
            </w:r>
            <w:r>
              <w:rPr>
                <w:b/>
                <w:sz w:val="20"/>
              </w:rPr>
              <w:t>LCH</w:t>
            </w:r>
            <w:r>
              <w:rPr>
                <w:sz w:val="20"/>
              </w:rPr>
              <w:t>: Paul Elkins</w:t>
            </w:r>
          </w:p>
          <w:p>
            <w:pPr>
              <w:pStyle w:val="TableParagraph"/>
              <w:spacing w:before="6"/>
              <w:ind w:left="57"/>
              <w:rPr>
                <w:sz w:val="20"/>
              </w:rPr>
            </w:pPr>
            <w:r>
              <w:rPr>
                <w:b/>
                <w:sz w:val="20"/>
              </w:rPr>
              <w:t>Lloyds Bank</w:t>
            </w:r>
            <w:r>
              <w:rPr>
                <w:sz w:val="20"/>
              </w:rPr>
              <w:t>: Jamie Smith</w:t>
            </w:r>
          </w:p>
          <w:p>
            <w:pPr>
              <w:pStyle w:val="TableParagraph"/>
              <w:spacing w:before="36"/>
              <w:ind w:left="57"/>
              <w:rPr>
                <w:sz w:val="20"/>
              </w:rPr>
            </w:pPr>
            <w:r>
              <w:rPr>
                <w:b/>
                <w:sz w:val="20"/>
              </w:rPr>
              <w:t>RBS</w:t>
            </w:r>
            <w:r>
              <w:rPr>
                <w:sz w:val="20"/>
              </w:rPr>
              <w:t>: Mark Thomasson</w:t>
            </w: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-1"/>
              <w:rPr>
                <w:sz w:val="20"/>
              </w:rPr>
            </w:pPr>
            <w:r>
              <w:rPr>
                <w:b/>
                <w:sz w:val="20"/>
              </w:rPr>
              <w:t>Bank of England</w:t>
            </w:r>
            <w:r>
              <w:rPr>
                <w:sz w:val="20"/>
              </w:rPr>
              <w:t>: Iain Ramsay (Secretariat), Rebecca Maher (Secretariat), Thomas Jennings</w:t>
            </w: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Apologies:</w:t>
            </w:r>
          </w:p>
          <w:p>
            <w:pPr>
              <w:pStyle w:val="TableParagraph"/>
              <w:spacing w:before="30"/>
              <w:ind w:left="-1"/>
              <w:rPr>
                <w:sz w:val="20"/>
              </w:rPr>
            </w:pPr>
            <w:r>
              <w:rPr>
                <w:b/>
                <w:sz w:val="20"/>
              </w:rPr>
              <w:t>FCA (Observer)</w:t>
            </w:r>
            <w:r>
              <w:rPr>
                <w:sz w:val="20"/>
              </w:rPr>
              <w:t>: Wladimir Kraus</w:t>
            </w:r>
          </w:p>
          <w:p>
            <w:pPr>
              <w:pStyle w:val="TableParagraph"/>
              <w:spacing w:line="276" w:lineRule="auto" w:before="36"/>
              <w:ind w:left="-1" w:right="6436"/>
              <w:rPr>
                <w:sz w:val="20"/>
              </w:rPr>
            </w:pPr>
            <w:r>
              <w:rPr>
                <w:b/>
                <w:spacing w:val="-3"/>
                <w:sz w:val="20"/>
              </w:rPr>
              <w:t>GLA</w:t>
            </w:r>
            <w:r>
              <w:rPr>
                <w:spacing w:val="-3"/>
                <w:sz w:val="20"/>
              </w:rPr>
              <w:t>: </w:t>
            </w:r>
            <w:r>
              <w:rPr>
                <w:sz w:val="20"/>
              </w:rPr>
              <w:t>Luke Webster </w:t>
            </w:r>
            <w:r>
              <w:rPr>
                <w:b/>
                <w:sz w:val="20"/>
              </w:rPr>
              <w:t>Hoare &amp; Co</w:t>
            </w:r>
            <w:r>
              <w:rPr>
                <w:sz w:val="20"/>
              </w:rPr>
              <w:t>: Andy </w:t>
            </w:r>
            <w:r>
              <w:rPr>
                <w:spacing w:val="-3"/>
                <w:sz w:val="20"/>
              </w:rPr>
              <w:t>Green </w:t>
            </w:r>
            <w:r>
              <w:rPr>
                <w:b/>
                <w:sz w:val="20"/>
              </w:rPr>
              <w:t>IMMFA</w:t>
            </w:r>
            <w:r>
              <w:rPr>
                <w:sz w:val="20"/>
              </w:rPr>
              <w:t>: Jane </w:t>
            </w:r>
            <w:r>
              <w:rPr>
                <w:spacing w:val="-3"/>
                <w:sz w:val="20"/>
              </w:rPr>
              <w:t>Lowe </w:t>
            </w:r>
            <w:r>
              <w:rPr>
                <w:b/>
                <w:sz w:val="20"/>
              </w:rPr>
              <w:t>ISLA</w:t>
            </w:r>
            <w:r>
              <w:rPr>
                <w:sz w:val="20"/>
              </w:rPr>
              <w:t>: Andy</w:t>
            </w:r>
            <w:r>
              <w:rPr>
                <w:spacing w:val="-3"/>
                <w:sz w:val="20"/>
              </w:rPr>
              <w:t> Dyson</w:t>
            </w:r>
          </w:p>
          <w:p>
            <w:pPr>
              <w:pStyle w:val="TableParagraph"/>
              <w:spacing w:before="1"/>
              <w:ind w:left="-1"/>
              <w:rPr>
                <w:sz w:val="20"/>
              </w:rPr>
            </w:pPr>
            <w:r>
              <w:rPr>
                <w:b/>
                <w:sz w:val="20"/>
              </w:rPr>
              <w:t>MTS Markets</w:t>
            </w:r>
            <w:r>
              <w:rPr>
                <w:sz w:val="20"/>
              </w:rPr>
              <w:t>: Oliver Clark</w:t>
            </w:r>
          </w:p>
          <w:p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b/>
                <w:sz w:val="20"/>
              </w:rPr>
              <w:t>Nationwide</w:t>
            </w:r>
            <w:r>
              <w:rPr>
                <w:sz w:val="20"/>
              </w:rPr>
              <w:t>: Terry Barton</w:t>
            </w:r>
          </w:p>
        </w:tc>
      </w:tr>
      <w:tr>
        <w:trPr>
          <w:trHeight w:val="4161" w:hRule="atLeast"/>
        </w:trPr>
        <w:tc>
          <w:tcPr>
            <w:tcW w:w="9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87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Administrative matters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71" w:right="114"/>
              <w:jc w:val="both"/>
              <w:rPr>
                <w:sz w:val="20"/>
              </w:rPr>
            </w:pPr>
            <w:r>
              <w:rPr>
                <w:sz w:val="20"/>
              </w:rPr>
              <w:t>Following the </w:t>
            </w:r>
            <w:r>
              <w:rPr>
                <w:spacing w:val="-3"/>
                <w:sz w:val="20"/>
              </w:rPr>
              <w:t>former </w:t>
            </w:r>
            <w:r>
              <w:rPr>
                <w:sz w:val="20"/>
              </w:rPr>
              <w:t>Chair’s departure from the Committee announced </w:t>
            </w:r>
            <w:r>
              <w:rPr>
                <w:spacing w:val="-3"/>
                <w:sz w:val="20"/>
              </w:rPr>
              <w:t>at </w:t>
            </w:r>
            <w:r>
              <w:rPr>
                <w:sz w:val="20"/>
              </w:rPr>
              <w:t>the  </w:t>
            </w:r>
            <w:r>
              <w:rPr>
                <w:spacing w:val="-3"/>
                <w:sz w:val="20"/>
              </w:rPr>
              <w:t>previous  (January) </w:t>
            </w:r>
            <w:r>
              <w:rPr>
                <w:sz w:val="20"/>
              </w:rPr>
              <w:t>meeting, Gordon </w:t>
            </w:r>
            <w:r>
              <w:rPr>
                <w:spacing w:val="-3"/>
                <w:sz w:val="20"/>
              </w:rPr>
              <w:t>Lowson </w:t>
            </w:r>
            <w:r>
              <w:rPr>
                <w:spacing w:val="-5"/>
                <w:sz w:val="20"/>
              </w:rPr>
              <w:t>was </w:t>
            </w:r>
            <w:r>
              <w:rPr>
                <w:sz w:val="20"/>
              </w:rPr>
              <w:t>confirmed </w:t>
            </w:r>
            <w:r>
              <w:rPr>
                <w:spacing w:val="-3"/>
                <w:sz w:val="20"/>
              </w:rPr>
              <w:t>as </w:t>
            </w:r>
            <w:r>
              <w:rPr>
                <w:sz w:val="20"/>
              </w:rPr>
              <w:t>Chair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the UK Money </w:t>
            </w:r>
            <w:r>
              <w:rPr>
                <w:spacing w:val="-3"/>
                <w:sz w:val="20"/>
              </w:rPr>
              <w:t>Markets </w:t>
            </w:r>
            <w:r>
              <w:rPr>
                <w:sz w:val="20"/>
              </w:rPr>
              <w:t>Code Sub-Committee </w:t>
            </w:r>
            <w:r>
              <w:rPr>
                <w:spacing w:val="-3"/>
                <w:sz w:val="20"/>
              </w:rPr>
              <w:t>with </w:t>
            </w:r>
            <w:r>
              <w:rPr>
                <w:sz w:val="20"/>
              </w:rPr>
              <w:t>immediate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effect.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71" w:right="107"/>
              <w:jc w:val="both"/>
              <w:rPr>
                <w:sz w:val="20"/>
              </w:rPr>
            </w:pPr>
            <w:r>
              <w:rPr>
                <w:sz w:val="20"/>
              </w:rPr>
              <w:t>Since the </w:t>
            </w:r>
            <w:r>
              <w:rPr>
                <w:spacing w:val="-3"/>
                <w:sz w:val="20"/>
              </w:rPr>
              <w:t>previous </w:t>
            </w:r>
            <w:r>
              <w:rPr>
                <w:sz w:val="20"/>
              </w:rPr>
              <w:t>Sub-Committee meeting, the Bank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England had </w:t>
            </w:r>
            <w:r>
              <w:rPr>
                <w:spacing w:val="-3"/>
                <w:sz w:val="20"/>
              </w:rPr>
              <w:t>announced that Chris </w:t>
            </w:r>
            <w:r>
              <w:rPr>
                <w:sz w:val="20"/>
              </w:rPr>
              <w:t>Salmon (Chair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the </w:t>
            </w:r>
            <w:r>
              <w:rPr>
                <w:spacing w:val="-3"/>
                <w:sz w:val="20"/>
              </w:rPr>
              <w:t>Money Markets </w:t>
            </w:r>
            <w:r>
              <w:rPr>
                <w:sz w:val="20"/>
              </w:rPr>
              <w:t>Committee </w:t>
            </w:r>
            <w:r>
              <w:rPr>
                <w:spacing w:val="-3"/>
                <w:sz w:val="20"/>
              </w:rPr>
              <w:t>(MMC)) would </w:t>
            </w:r>
            <w:r>
              <w:rPr>
                <w:sz w:val="20"/>
              </w:rPr>
              <w:t>be departing </w:t>
            </w:r>
            <w:r>
              <w:rPr>
                <w:spacing w:val="-4"/>
                <w:sz w:val="20"/>
              </w:rPr>
              <w:t>the </w:t>
            </w:r>
            <w:r>
              <w:rPr>
                <w:sz w:val="20"/>
              </w:rPr>
              <w:t>Bank.  </w:t>
            </w:r>
            <w:r>
              <w:rPr>
                <w:spacing w:val="-3"/>
                <w:sz w:val="20"/>
              </w:rPr>
              <w:t>The  </w:t>
            </w:r>
            <w:r>
              <w:rPr>
                <w:sz w:val="20"/>
              </w:rPr>
              <w:t>Bank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England had also recently announced that </w:t>
            </w:r>
            <w:r>
              <w:rPr>
                <w:spacing w:val="-3"/>
                <w:sz w:val="20"/>
              </w:rPr>
              <w:t>Sarah </w:t>
            </w:r>
            <w:r>
              <w:rPr>
                <w:sz w:val="20"/>
              </w:rPr>
              <w:t>John, </w:t>
            </w:r>
            <w:r>
              <w:rPr>
                <w:spacing w:val="-3"/>
                <w:sz w:val="20"/>
              </w:rPr>
              <w:t>who </w:t>
            </w:r>
            <w:r>
              <w:rPr>
                <w:sz w:val="20"/>
              </w:rPr>
              <w:t>had been closely involved in the </w:t>
            </w:r>
            <w:r>
              <w:rPr>
                <w:spacing w:val="-5"/>
                <w:sz w:val="20"/>
              </w:rPr>
              <w:t>work </w:t>
            </w:r>
            <w:r>
              <w:rPr>
                <w:sz w:val="20"/>
              </w:rPr>
              <w:t>of both the MMC </w:t>
            </w:r>
            <w:r>
              <w:rPr>
                <w:spacing w:val="-4"/>
                <w:sz w:val="20"/>
              </w:rPr>
              <w:t>and </w:t>
            </w:r>
            <w:r>
              <w:rPr>
                <w:spacing w:val="-5"/>
                <w:sz w:val="20"/>
              </w:rPr>
              <w:t>UK </w:t>
            </w:r>
            <w:r>
              <w:rPr>
                <w:spacing w:val="-3"/>
                <w:sz w:val="20"/>
              </w:rPr>
              <w:t>Money Markets </w:t>
            </w:r>
            <w:r>
              <w:rPr>
                <w:sz w:val="20"/>
              </w:rPr>
              <w:t>Code Sub-Committee, </w:t>
            </w:r>
            <w:r>
              <w:rPr>
                <w:spacing w:val="-3"/>
                <w:sz w:val="20"/>
              </w:rPr>
              <w:t>would </w:t>
            </w:r>
            <w:r>
              <w:rPr>
                <w:sz w:val="20"/>
              </w:rPr>
              <w:t>be departing the </w:t>
            </w:r>
            <w:r>
              <w:rPr>
                <w:spacing w:val="-3"/>
                <w:sz w:val="20"/>
              </w:rPr>
              <w:t>Markets </w:t>
            </w:r>
            <w:r>
              <w:rPr>
                <w:sz w:val="20"/>
              </w:rPr>
              <w:t>Directorate </w:t>
            </w:r>
            <w:r>
              <w:rPr>
                <w:spacing w:val="4"/>
                <w:sz w:val="20"/>
              </w:rPr>
              <w:t>to </w:t>
            </w:r>
            <w:r>
              <w:rPr>
                <w:sz w:val="20"/>
              </w:rPr>
              <w:t>become the Chief Cashier and Director of the </w:t>
            </w:r>
            <w:r>
              <w:rPr>
                <w:spacing w:val="-3"/>
                <w:sz w:val="20"/>
              </w:rPr>
              <w:t>Notes </w:t>
            </w:r>
            <w:r>
              <w:rPr>
                <w:sz w:val="20"/>
              </w:rPr>
              <w:t>Division </w:t>
            </w:r>
            <w:r>
              <w:rPr>
                <w:spacing w:val="-3"/>
                <w:sz w:val="20"/>
              </w:rPr>
              <w:t>at </w:t>
            </w:r>
            <w:r>
              <w:rPr>
                <w:sz w:val="20"/>
              </w:rPr>
              <w:t>the Bank.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71" w:right="105"/>
              <w:jc w:val="both"/>
              <w:rPr>
                <w:sz w:val="20"/>
              </w:rPr>
            </w:pPr>
            <w:r>
              <w:rPr>
                <w:sz w:val="20"/>
              </w:rPr>
              <w:t>At the previous Sub-Committee meeting, text for a new Q&amp;A and example had been agreed by the Sub-Committee and subsequently signed off by the MMC at their March meeting. Updated </w:t>
            </w:r>
            <w:r>
              <w:rPr>
                <w:i/>
                <w:sz w:val="20"/>
              </w:rPr>
              <w:t>Explanatory Notes </w:t>
            </w:r>
            <w:r>
              <w:rPr>
                <w:sz w:val="20"/>
              </w:rPr>
              <w:t>were published on the Bank’s website on 1 May 2018</w:t>
            </w:r>
            <w:r>
              <w:rPr>
                <w:sz w:val="20"/>
                <w:vertAlign w:val="superscript"/>
              </w:rPr>
              <w:t>1</w:t>
            </w:r>
            <w:r>
              <w:rPr>
                <w:sz w:val="20"/>
                <w:vertAlign w:val="baseline"/>
              </w:rPr>
              <w:t>. An Appendix to the</w:t>
            </w:r>
          </w:p>
          <w:p>
            <w:pPr>
              <w:pStyle w:val="TableParagraph"/>
              <w:spacing w:line="210" w:lineRule="exact" w:before="9"/>
              <w:ind w:left="71"/>
              <w:jc w:val="both"/>
              <w:rPr>
                <w:sz w:val="20"/>
              </w:rPr>
            </w:pPr>
            <w:r>
              <w:rPr>
                <w:sz w:val="20"/>
              </w:rPr>
              <w:t>document summarises changes to the original April 2017 </w:t>
            </w:r>
            <w:r>
              <w:rPr>
                <w:i/>
                <w:sz w:val="20"/>
              </w:rPr>
              <w:t>Explanatory Notes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rPr>
          <w:u w:val="none"/>
        </w:rPr>
      </w:pPr>
    </w:p>
    <w:p>
      <w:pPr>
        <w:pStyle w:val="BodyText"/>
        <w:spacing w:before="2"/>
        <w:rPr>
          <w:sz w:val="19"/>
          <w:u w:val="none"/>
        </w:rPr>
      </w:pPr>
      <w:r>
        <w:rPr/>
        <w:pict>
          <v:shape style="position:absolute;margin-left:56.543999pt;margin-top:13.184888pt;width:144.1pt;height:.1pt;mso-position-horizontal-relative:page;mso-position-vertical-relative:paragraph;z-index:-251658240;mso-wrap-distance-left:0;mso-wrap-distance-right:0" coordorigin="1131,264" coordsize="2882,0" path="m1131,264l4013,264e" filled="false" stroked="true" strokeweight=".35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2"/>
        <w:ind w:left="210"/>
        <w:rPr>
          <w:u w:val="none"/>
        </w:rPr>
      </w:pPr>
      <w:r>
        <w:rPr>
          <w:position w:val="10"/>
          <w:sz w:val="13"/>
          <w:u w:val="none"/>
        </w:rPr>
        <w:t>1 </w:t>
      </w:r>
      <w:hyperlink r:id="rId19">
        <w:r>
          <w:rPr>
            <w:color w:val="0000FF"/>
            <w:u w:val="single" w:color="0000FF"/>
          </w:rPr>
          <w:t>Explanatory Notes (May 2018)</w:t>
        </w:r>
      </w:hyperlink>
    </w:p>
    <w:p>
      <w:pPr>
        <w:spacing w:after="0"/>
        <w:sectPr>
          <w:type w:val="continuous"/>
          <w:pgSz w:w="11910" w:h="16850"/>
          <w:pgMar w:top="1080" w:bottom="280" w:left="920" w:right="920"/>
        </w:sectPr>
      </w:pPr>
    </w:p>
    <w:p>
      <w:pPr>
        <w:pStyle w:val="BodyText"/>
        <w:spacing w:before="81"/>
        <w:ind w:right="427"/>
        <w:jc w:val="right"/>
        <w:rPr>
          <w:u w:val="none"/>
        </w:rPr>
      </w:pPr>
      <w:r>
        <w:rPr>
          <w:w w:val="100"/>
          <w:u w:val="none"/>
        </w:rPr>
        <w:t>2</w:t>
      </w:r>
    </w:p>
    <w:p>
      <w:pPr>
        <w:pStyle w:val="BodyText"/>
        <w:spacing w:before="2" w:after="1"/>
        <w:rPr>
          <w:sz w:val="19"/>
          <w:u w:val="none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9078"/>
      </w:tblGrid>
      <w:tr>
        <w:trPr>
          <w:trHeight w:val="5673" w:hRule="atLeast"/>
        </w:trPr>
        <w:tc>
          <w:tcPr>
            <w:tcW w:w="763" w:type="dxa"/>
          </w:tcPr>
          <w:p>
            <w:pPr>
              <w:pStyle w:val="TableParagraph"/>
              <w:spacing w:before="2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9078" w:type="dxa"/>
          </w:tcPr>
          <w:p>
            <w:pPr>
              <w:pStyle w:val="TableParagraph"/>
              <w:spacing w:line="225" w:lineRule="exact"/>
              <w:ind w:left="38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Central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register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42" w:lineRule="auto"/>
              <w:ind w:left="387" w:right="200"/>
              <w:jc w:val="both"/>
              <w:rPr>
                <w:sz w:val="20"/>
              </w:rPr>
            </w:pPr>
            <w:r>
              <w:rPr>
                <w:sz w:val="20"/>
              </w:rPr>
              <w:t>Following agreement </w:t>
            </w:r>
            <w:r>
              <w:rPr>
                <w:spacing w:val="-3"/>
                <w:sz w:val="20"/>
              </w:rPr>
              <w:t>at </w:t>
            </w:r>
            <w:r>
              <w:rPr>
                <w:sz w:val="20"/>
              </w:rPr>
              <w:t>the previous Sub-Committee meeting the Bank had </w:t>
            </w:r>
            <w:r>
              <w:rPr>
                <w:spacing w:val="-3"/>
                <w:sz w:val="20"/>
              </w:rPr>
              <w:t>proceeded </w:t>
            </w:r>
            <w:r>
              <w:rPr>
                <w:spacing w:val="4"/>
                <w:sz w:val="20"/>
              </w:rPr>
              <w:t>to </w:t>
            </w:r>
            <w:r>
              <w:rPr>
                <w:sz w:val="20"/>
              </w:rPr>
              <w:t>design a </w:t>
            </w:r>
            <w:r>
              <w:rPr>
                <w:spacing w:val="-5"/>
                <w:sz w:val="20"/>
              </w:rPr>
              <w:t>UK </w:t>
            </w:r>
            <w:r>
              <w:rPr>
                <w:sz w:val="20"/>
              </w:rPr>
              <w:t>Code central register </w:t>
            </w:r>
            <w:r>
              <w:rPr>
                <w:spacing w:val="-3"/>
                <w:sz w:val="20"/>
              </w:rPr>
              <w:t>webpage. Members </w:t>
            </w:r>
            <w:r>
              <w:rPr>
                <w:sz w:val="20"/>
              </w:rPr>
              <w:t>discussed:  the  necessity </w:t>
            </w:r>
            <w:r>
              <w:rPr>
                <w:spacing w:val="-3"/>
                <w:sz w:val="20"/>
              </w:rPr>
              <w:t>of  </w:t>
            </w:r>
            <w:r>
              <w:rPr>
                <w:sz w:val="20"/>
              </w:rPr>
              <w:t>having firms’ signed statements </w:t>
            </w:r>
            <w:r>
              <w:rPr>
                <w:spacing w:val="-3"/>
                <w:sz w:val="20"/>
              </w:rPr>
              <w:t>available on </w:t>
            </w:r>
            <w:r>
              <w:rPr>
                <w:sz w:val="20"/>
              </w:rPr>
              <w:t>the register in PDF </w:t>
            </w:r>
            <w:r>
              <w:rPr>
                <w:spacing w:val="-3"/>
                <w:sz w:val="20"/>
              </w:rPr>
              <w:t>format </w:t>
            </w:r>
            <w:r>
              <w:rPr>
                <w:sz w:val="20"/>
              </w:rPr>
              <w:t>versus a simple list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firms’ names; the </w:t>
            </w:r>
            <w:r>
              <w:rPr>
                <w:spacing w:val="-3"/>
                <w:sz w:val="20"/>
              </w:rPr>
              <w:t>value </w:t>
            </w:r>
            <w:r>
              <w:rPr>
                <w:sz w:val="20"/>
              </w:rPr>
              <w:t>of LEIs listed </w:t>
            </w:r>
            <w:r>
              <w:rPr>
                <w:spacing w:val="-4"/>
                <w:sz w:val="20"/>
              </w:rPr>
              <w:t>for </w:t>
            </w:r>
            <w:r>
              <w:rPr>
                <w:sz w:val="20"/>
              </w:rPr>
              <w:t>those entities that had signed the statement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commitment; and the importance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making </w:t>
            </w:r>
            <w:r>
              <w:rPr>
                <w:spacing w:val="-3"/>
                <w:sz w:val="20"/>
              </w:rPr>
              <w:t>clear </w:t>
            </w:r>
            <w:r>
              <w:rPr>
                <w:sz w:val="20"/>
              </w:rPr>
              <w:t>the date </w:t>
            </w:r>
            <w:r>
              <w:rPr>
                <w:spacing w:val="-3"/>
                <w:sz w:val="20"/>
              </w:rPr>
              <w:t>on </w:t>
            </w:r>
            <w:r>
              <w:rPr>
                <w:sz w:val="20"/>
              </w:rPr>
              <w:t>which firms </w:t>
            </w:r>
            <w:r>
              <w:rPr>
                <w:spacing w:val="-4"/>
                <w:sz w:val="20"/>
              </w:rPr>
              <w:t>had </w:t>
            </w:r>
            <w:r>
              <w:rPr>
                <w:sz w:val="20"/>
              </w:rPr>
              <w:t>signed the statement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commitment </w:t>
            </w:r>
            <w:r>
              <w:rPr>
                <w:spacing w:val="-3"/>
                <w:sz w:val="20"/>
              </w:rPr>
              <w:t>as </w:t>
            </w:r>
            <w:r>
              <w:rPr>
                <w:sz w:val="20"/>
              </w:rPr>
              <w:t>a form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‘version control’ should the </w:t>
            </w:r>
            <w:r>
              <w:rPr>
                <w:spacing w:val="-3"/>
                <w:sz w:val="20"/>
              </w:rPr>
              <w:t>text of </w:t>
            </w:r>
            <w:r>
              <w:rPr>
                <w:sz w:val="20"/>
              </w:rPr>
              <w:t>the Code be updated subsequently. Relatedly it </w:t>
            </w:r>
            <w:r>
              <w:rPr>
                <w:spacing w:val="-3"/>
                <w:sz w:val="20"/>
              </w:rPr>
              <w:t>was </w:t>
            </w:r>
            <w:r>
              <w:rPr>
                <w:sz w:val="20"/>
              </w:rPr>
              <w:t>agreed the secretariat </w:t>
            </w:r>
            <w:r>
              <w:rPr>
                <w:spacing w:val="-3"/>
                <w:sz w:val="20"/>
              </w:rPr>
              <w:t>would </w:t>
            </w:r>
            <w:r>
              <w:rPr>
                <w:sz w:val="20"/>
              </w:rPr>
              <w:t>notify </w:t>
            </w:r>
            <w:r>
              <w:rPr>
                <w:spacing w:val="-3"/>
                <w:sz w:val="20"/>
              </w:rPr>
              <w:t>all </w:t>
            </w:r>
            <w:r>
              <w:rPr>
                <w:sz w:val="20"/>
              </w:rPr>
              <w:t>firms that </w:t>
            </w:r>
            <w:r>
              <w:rPr>
                <w:spacing w:val="-3"/>
                <w:sz w:val="20"/>
              </w:rPr>
              <w:t>are </w:t>
            </w:r>
            <w:r>
              <w:rPr>
                <w:sz w:val="20"/>
              </w:rPr>
              <w:t>listed on the central  register </w:t>
            </w:r>
            <w:r>
              <w:rPr>
                <w:spacing w:val="-3"/>
                <w:sz w:val="20"/>
              </w:rPr>
              <w:t>ahead of </w:t>
            </w:r>
            <w:r>
              <w:rPr>
                <w:sz w:val="20"/>
              </w:rPr>
              <w:t>the publication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a new version of the Code. Based </w:t>
            </w:r>
            <w:r>
              <w:rPr>
                <w:spacing w:val="-3"/>
                <w:sz w:val="20"/>
              </w:rPr>
              <w:t>on </w:t>
            </w:r>
            <w:r>
              <w:rPr>
                <w:sz w:val="20"/>
              </w:rPr>
              <w:t>the Sub-Committee’s discussion around design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the central register webpage the </w:t>
            </w:r>
            <w:r>
              <w:rPr>
                <w:spacing w:val="-3"/>
                <w:sz w:val="20"/>
              </w:rPr>
              <w:t>secretariat </w:t>
            </w:r>
            <w:r>
              <w:rPr>
                <w:sz w:val="20"/>
              </w:rPr>
              <w:t>would implement </w:t>
            </w:r>
            <w:r>
              <w:rPr>
                <w:spacing w:val="-3"/>
                <w:sz w:val="20"/>
              </w:rPr>
              <w:t>agreed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changes.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42" w:lineRule="auto" w:before="1"/>
              <w:ind w:left="387" w:right="201"/>
              <w:jc w:val="both"/>
              <w:rPr>
                <w:sz w:val="20"/>
              </w:rPr>
            </w:pPr>
            <w:r>
              <w:rPr>
                <w:sz w:val="20"/>
              </w:rPr>
              <w:t>Members also </w:t>
            </w:r>
            <w:r>
              <w:rPr>
                <w:spacing w:val="-3"/>
                <w:sz w:val="20"/>
              </w:rPr>
              <w:t>agreed that </w:t>
            </w:r>
            <w:r>
              <w:rPr>
                <w:sz w:val="20"/>
              </w:rPr>
              <w:t>organisations </w:t>
            </w:r>
            <w:r>
              <w:rPr>
                <w:spacing w:val="-3"/>
                <w:sz w:val="20"/>
              </w:rPr>
              <w:t>who have </w:t>
            </w:r>
            <w:r>
              <w:rPr>
                <w:sz w:val="20"/>
              </w:rPr>
              <w:t>published statements </w:t>
            </w:r>
            <w:r>
              <w:rPr>
                <w:spacing w:val="-3"/>
                <w:sz w:val="20"/>
              </w:rPr>
              <w:t>of support  </w:t>
            </w:r>
            <w:r>
              <w:rPr>
                <w:spacing w:val="-4"/>
                <w:sz w:val="20"/>
              </w:rPr>
              <w:t>for  </w:t>
            </w:r>
            <w:r>
              <w:rPr>
                <w:sz w:val="20"/>
              </w:rPr>
              <w:t>the Code – typically those </w:t>
            </w:r>
            <w:r>
              <w:rPr>
                <w:spacing w:val="-3"/>
                <w:sz w:val="20"/>
              </w:rPr>
              <w:t>who </w:t>
            </w:r>
            <w:r>
              <w:rPr>
                <w:sz w:val="20"/>
              </w:rPr>
              <w:t>are not themselves market participants such </w:t>
            </w:r>
            <w:r>
              <w:rPr>
                <w:spacing w:val="-3"/>
                <w:sz w:val="20"/>
              </w:rPr>
              <w:t>as </w:t>
            </w:r>
            <w:r>
              <w:rPr>
                <w:sz w:val="20"/>
              </w:rPr>
              <w:t>trade associations – should also be listed </w:t>
            </w:r>
            <w:r>
              <w:rPr>
                <w:spacing w:val="-3"/>
                <w:sz w:val="20"/>
              </w:rPr>
              <w:t>on </w:t>
            </w:r>
            <w:r>
              <w:rPr>
                <w:sz w:val="20"/>
              </w:rPr>
              <w:t>the central register website and </w:t>
            </w:r>
            <w:r>
              <w:rPr>
                <w:spacing w:val="-3"/>
                <w:sz w:val="20"/>
              </w:rPr>
              <w:t>clearly </w:t>
            </w:r>
            <w:r>
              <w:rPr>
                <w:sz w:val="20"/>
              </w:rPr>
              <w:t>demarcated </w:t>
            </w:r>
            <w:r>
              <w:rPr>
                <w:spacing w:val="-3"/>
                <w:sz w:val="20"/>
              </w:rPr>
              <w:t>as </w:t>
            </w:r>
            <w:r>
              <w:rPr>
                <w:sz w:val="20"/>
              </w:rPr>
              <w:t>statements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support rather 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commitment.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42" w:lineRule="auto"/>
              <w:ind w:left="387" w:right="209"/>
              <w:jc w:val="both"/>
              <w:rPr>
                <w:sz w:val="20"/>
              </w:rPr>
            </w:pPr>
            <w:r>
              <w:rPr>
                <w:sz w:val="20"/>
              </w:rPr>
              <w:t>Regarding the launch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the central register, members </w:t>
            </w:r>
            <w:r>
              <w:rPr>
                <w:spacing w:val="-3"/>
                <w:sz w:val="20"/>
              </w:rPr>
              <w:t>agreed that </w:t>
            </w:r>
            <w:r>
              <w:rPr>
                <w:sz w:val="20"/>
              </w:rPr>
              <w:t>(i) the Bank should contact  </w:t>
            </w:r>
            <w:r>
              <w:rPr>
                <w:spacing w:val="-3"/>
                <w:sz w:val="20"/>
              </w:rPr>
              <w:t>all </w:t>
            </w:r>
            <w:r>
              <w:rPr>
                <w:sz w:val="20"/>
              </w:rPr>
              <w:t>institutions which had </w:t>
            </w:r>
            <w:r>
              <w:rPr>
                <w:spacing w:val="-4"/>
                <w:sz w:val="20"/>
              </w:rPr>
              <w:t>emailed </w:t>
            </w:r>
            <w:r>
              <w:rPr>
                <w:sz w:val="20"/>
              </w:rPr>
              <w:t>a signed statement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commitment to the UK </w:t>
            </w:r>
            <w:r>
              <w:rPr>
                <w:spacing w:val="-4"/>
                <w:sz w:val="20"/>
              </w:rPr>
              <w:t>Money </w:t>
            </w:r>
            <w:r>
              <w:rPr>
                <w:sz w:val="20"/>
              </w:rPr>
              <w:t>Markets Code email address to confirm whether they agree to appearing </w:t>
            </w:r>
            <w:r>
              <w:rPr>
                <w:spacing w:val="-3"/>
                <w:sz w:val="20"/>
              </w:rPr>
              <w:t>on </w:t>
            </w:r>
            <w:r>
              <w:rPr>
                <w:sz w:val="20"/>
              </w:rPr>
              <w:t>the central </w:t>
            </w:r>
            <w:r>
              <w:rPr>
                <w:spacing w:val="-3"/>
                <w:sz w:val="20"/>
              </w:rPr>
              <w:t>register, </w:t>
            </w:r>
            <w:r>
              <w:rPr>
                <w:sz w:val="20"/>
              </w:rPr>
              <w:t>and (ii) trade associations should be </w:t>
            </w:r>
            <w:r>
              <w:rPr>
                <w:spacing w:val="-3"/>
                <w:sz w:val="20"/>
              </w:rPr>
              <w:t>active </w:t>
            </w:r>
            <w:r>
              <w:rPr>
                <w:sz w:val="20"/>
              </w:rPr>
              <w:t>in raising awareness of the launch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the central register amongst </w:t>
            </w:r>
            <w:r>
              <w:rPr>
                <w:spacing w:val="-3"/>
                <w:sz w:val="20"/>
              </w:rPr>
              <w:t>their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members.</w:t>
            </w:r>
          </w:p>
        </w:tc>
      </w:tr>
      <w:tr>
        <w:trPr>
          <w:trHeight w:val="3490" w:hRule="atLeast"/>
        </w:trPr>
        <w:tc>
          <w:tcPr>
            <w:tcW w:w="763" w:type="dxa"/>
          </w:tcPr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spacing w:before="1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9078" w:type="dxa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ind w:left="38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Discussion: Refreshing the UK Money Markets Code Sub-Committee Terms of Reference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44" w:lineRule="auto"/>
              <w:ind w:left="387" w:right="204"/>
              <w:jc w:val="both"/>
              <w:rPr>
                <w:sz w:val="20"/>
              </w:rPr>
            </w:pPr>
            <w:r>
              <w:rPr>
                <w:sz w:val="20"/>
              </w:rPr>
              <w:t>The Chair set out that the Sub-Committee’s original objectives have been completed since its inception in 2016. It was therefore appropriate for the Sub-Committee to agree new terms of reference.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244" w:lineRule="auto"/>
              <w:ind w:left="387" w:right="198"/>
              <w:jc w:val="both"/>
              <w:rPr>
                <w:sz w:val="20"/>
              </w:rPr>
            </w:pPr>
            <w:r>
              <w:rPr>
                <w:sz w:val="20"/>
              </w:rPr>
              <w:t>Members agreed with the proposal to broaden the objectives of the Sub-Committee to include that of addressing issues arising in relation to the integrity and effective functioning of the UK money markets.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247" w:lineRule="auto"/>
              <w:ind w:left="387" w:right="208"/>
              <w:jc w:val="both"/>
              <w:rPr>
                <w:sz w:val="20"/>
              </w:rPr>
            </w:pPr>
            <w:r>
              <w:rPr>
                <w:sz w:val="20"/>
              </w:rPr>
              <w:t>Draft terms of reference will be agreed by the Sub-Committee by written procedure ahead of sign-off by the MMC.</w:t>
            </w:r>
          </w:p>
        </w:tc>
      </w:tr>
      <w:tr>
        <w:trPr>
          <w:trHeight w:val="3950" w:hRule="atLeast"/>
        </w:trPr>
        <w:tc>
          <w:tcPr>
            <w:tcW w:w="763" w:type="dxa"/>
          </w:tcPr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</w:p>
        </w:tc>
        <w:tc>
          <w:tcPr>
            <w:tcW w:w="9078" w:type="dxa"/>
          </w:tcPr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spacing w:before="1"/>
              <w:ind w:left="387"/>
              <w:rPr>
                <w:b/>
                <w:sz w:val="20"/>
              </w:rPr>
            </w:pPr>
            <w:r>
              <w:rPr>
                <w:b/>
                <w:sz w:val="20"/>
              </w:rPr>
              <w:t>Discussion: UK Money Markets Code Survey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t>Members discussed questions to be included in the 2018 UK Code survey.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242" w:lineRule="auto"/>
              <w:ind w:left="387" w:right="201"/>
              <w:jc w:val="both"/>
              <w:rPr>
                <w:sz w:val="20"/>
              </w:rPr>
            </w:pPr>
            <w:r>
              <w:rPr>
                <w:sz w:val="20"/>
              </w:rPr>
              <w:t>There </w:t>
            </w:r>
            <w:r>
              <w:rPr>
                <w:spacing w:val="-5"/>
                <w:sz w:val="20"/>
              </w:rPr>
              <w:t>was </w:t>
            </w:r>
            <w:r>
              <w:rPr>
                <w:sz w:val="20"/>
              </w:rPr>
              <w:t>general agreement that the </w:t>
            </w:r>
            <w:r>
              <w:rPr>
                <w:spacing w:val="-3"/>
                <w:sz w:val="20"/>
              </w:rPr>
              <w:t>survey </w:t>
            </w:r>
            <w:r>
              <w:rPr>
                <w:sz w:val="20"/>
              </w:rPr>
              <w:t>should (i) focus </w:t>
            </w:r>
            <w:r>
              <w:rPr>
                <w:spacing w:val="-3"/>
                <w:sz w:val="20"/>
              </w:rPr>
              <w:t>on </w:t>
            </w:r>
            <w:r>
              <w:rPr>
                <w:sz w:val="20"/>
              </w:rPr>
              <w:t>the central register and be used </w:t>
            </w:r>
            <w:r>
              <w:rPr>
                <w:spacing w:val="-3"/>
                <w:sz w:val="20"/>
              </w:rPr>
              <w:t>as </w:t>
            </w:r>
            <w:r>
              <w:rPr>
                <w:sz w:val="20"/>
              </w:rPr>
              <w:t>a </w:t>
            </w:r>
            <w:r>
              <w:rPr>
                <w:spacing w:val="-3"/>
                <w:sz w:val="20"/>
              </w:rPr>
              <w:t>tool </w:t>
            </w:r>
            <w:r>
              <w:rPr>
                <w:sz w:val="20"/>
              </w:rPr>
              <w:t>to both increase awareness of, and potentially participation in, the central register, (ii) identify which specific parts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the </w:t>
            </w:r>
            <w:r>
              <w:rPr>
                <w:spacing w:val="-3"/>
                <w:sz w:val="20"/>
              </w:rPr>
              <w:t>text of </w:t>
            </w:r>
            <w:r>
              <w:rPr>
                <w:sz w:val="20"/>
              </w:rPr>
              <w:t>the Code – if any – </w:t>
            </w:r>
            <w:r>
              <w:rPr>
                <w:spacing w:val="-3"/>
                <w:sz w:val="20"/>
              </w:rPr>
              <w:t>have </w:t>
            </w:r>
            <w:r>
              <w:rPr>
                <w:sz w:val="20"/>
              </w:rPr>
              <w:t>been a </w:t>
            </w:r>
            <w:r>
              <w:rPr>
                <w:spacing w:val="-3"/>
                <w:sz w:val="20"/>
              </w:rPr>
              <w:t>barrier </w:t>
            </w:r>
            <w:r>
              <w:rPr>
                <w:sz w:val="20"/>
              </w:rPr>
              <w:t>to firms signing the statement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commitment, </w:t>
            </w:r>
            <w:r>
              <w:rPr>
                <w:spacing w:val="-4"/>
                <w:sz w:val="20"/>
              </w:rPr>
              <w:t>and </w:t>
            </w:r>
            <w:r>
              <w:rPr>
                <w:sz w:val="20"/>
              </w:rPr>
              <w:t>(iii) ask </w:t>
            </w:r>
            <w:r>
              <w:rPr>
                <w:i/>
                <w:sz w:val="20"/>
              </w:rPr>
              <w:t>how </w:t>
            </w:r>
            <w:r>
              <w:rPr>
                <w:sz w:val="20"/>
              </w:rPr>
              <w:t>the Code is being </w:t>
            </w:r>
            <w:r>
              <w:rPr>
                <w:spacing w:val="-3"/>
                <w:sz w:val="20"/>
              </w:rPr>
              <w:t>used </w:t>
            </w:r>
            <w:r>
              <w:rPr>
                <w:sz w:val="20"/>
              </w:rPr>
              <w:t>by market participants, </w:t>
            </w:r>
            <w:r>
              <w:rPr>
                <w:spacing w:val="-4"/>
                <w:sz w:val="20"/>
              </w:rPr>
              <w:t>for </w:t>
            </w:r>
            <w:r>
              <w:rPr>
                <w:sz w:val="20"/>
              </w:rPr>
              <w:t>example </w:t>
            </w:r>
            <w:r>
              <w:rPr>
                <w:spacing w:val="-3"/>
                <w:sz w:val="20"/>
              </w:rPr>
              <w:t>as </w:t>
            </w:r>
            <w:r>
              <w:rPr>
                <w:sz w:val="20"/>
              </w:rPr>
              <w:t>part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the KYC process </w:t>
            </w:r>
            <w:r>
              <w:rPr>
                <w:spacing w:val="-3"/>
                <w:sz w:val="20"/>
              </w:rPr>
              <w:t>or when </w:t>
            </w:r>
            <w:r>
              <w:rPr>
                <w:sz w:val="20"/>
              </w:rPr>
              <w:t>setting up a 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counterparty.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42" w:lineRule="auto"/>
              <w:ind w:left="387" w:right="204"/>
              <w:jc w:val="both"/>
              <w:rPr>
                <w:sz w:val="20"/>
              </w:rPr>
            </w:pPr>
            <w:r>
              <w:rPr>
                <w:spacing w:val="-3"/>
                <w:sz w:val="20"/>
              </w:rPr>
              <w:t>The </w:t>
            </w:r>
            <w:r>
              <w:rPr>
                <w:sz w:val="20"/>
              </w:rPr>
              <w:t>secretariat </w:t>
            </w:r>
            <w:r>
              <w:rPr>
                <w:spacing w:val="-3"/>
                <w:sz w:val="20"/>
              </w:rPr>
              <w:t>would </w:t>
            </w:r>
            <w:r>
              <w:rPr>
                <w:sz w:val="20"/>
              </w:rPr>
              <w:t>also explore possible options to supply a link to the UK Code </w:t>
            </w:r>
            <w:r>
              <w:rPr>
                <w:spacing w:val="-3"/>
                <w:sz w:val="20"/>
              </w:rPr>
              <w:t>survey on </w:t>
            </w:r>
            <w:r>
              <w:rPr>
                <w:sz w:val="20"/>
              </w:rPr>
              <w:t>the Bank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England </w:t>
            </w:r>
            <w:r>
              <w:rPr>
                <w:spacing w:val="-3"/>
                <w:sz w:val="20"/>
              </w:rPr>
              <w:t>website, </w:t>
            </w:r>
            <w:r>
              <w:rPr>
                <w:sz w:val="20"/>
              </w:rPr>
              <w:t>rather </w:t>
            </w:r>
            <w:r>
              <w:rPr>
                <w:spacing w:val="-3"/>
                <w:sz w:val="20"/>
              </w:rPr>
              <w:t>than </w:t>
            </w:r>
            <w:r>
              <w:rPr>
                <w:sz w:val="20"/>
              </w:rPr>
              <w:t>individual trade associations setting up </w:t>
            </w:r>
            <w:r>
              <w:rPr>
                <w:spacing w:val="-3"/>
                <w:sz w:val="20"/>
              </w:rPr>
              <w:t>their </w:t>
            </w:r>
            <w:r>
              <w:rPr>
                <w:spacing w:val="-5"/>
                <w:sz w:val="20"/>
              </w:rPr>
              <w:t>own </w:t>
            </w:r>
            <w:r>
              <w:rPr>
                <w:spacing w:val="-3"/>
                <w:sz w:val="20"/>
              </w:rPr>
              <w:t>surveys </w:t>
            </w:r>
            <w:r>
              <w:rPr>
                <w:sz w:val="20"/>
              </w:rPr>
              <w:t>separately </w:t>
            </w:r>
            <w:r>
              <w:rPr>
                <w:spacing w:val="-3"/>
                <w:sz w:val="20"/>
              </w:rPr>
              <w:t>as </w:t>
            </w:r>
            <w:r>
              <w:rPr>
                <w:spacing w:val="-4"/>
                <w:sz w:val="20"/>
              </w:rPr>
              <w:t>was </w:t>
            </w:r>
            <w:r>
              <w:rPr>
                <w:sz w:val="20"/>
              </w:rPr>
              <w:t>the case in 2017. </w:t>
            </w:r>
            <w:r>
              <w:rPr>
                <w:spacing w:val="-3"/>
                <w:sz w:val="20"/>
              </w:rPr>
              <w:t>Members agreed </w:t>
            </w:r>
            <w:r>
              <w:rPr>
                <w:sz w:val="20"/>
              </w:rPr>
              <w:t>to coordinate sending the survey and the launch </w:t>
            </w:r>
            <w:r>
              <w:rPr>
                <w:spacing w:val="-3"/>
                <w:sz w:val="20"/>
              </w:rPr>
              <w:t>of </w:t>
            </w:r>
            <w:r>
              <w:rPr>
                <w:sz w:val="20"/>
              </w:rPr>
              <w:t>the central register.</w:t>
            </w:r>
          </w:p>
        </w:tc>
      </w:tr>
      <w:tr>
        <w:trPr>
          <w:trHeight w:val="580" w:hRule="atLeast"/>
        </w:trPr>
        <w:tc>
          <w:tcPr>
            <w:tcW w:w="763" w:type="dxa"/>
          </w:tcPr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spacing w:line="21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</w:p>
        </w:tc>
        <w:tc>
          <w:tcPr>
            <w:tcW w:w="9078" w:type="dxa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line="218" w:lineRule="exact" w:before="1"/>
              <w:ind w:left="387"/>
              <w:rPr>
                <w:b/>
                <w:sz w:val="20"/>
              </w:rPr>
            </w:pPr>
            <w:r>
              <w:rPr>
                <w:b/>
                <w:sz w:val="20"/>
              </w:rPr>
              <w:t>AOB</w:t>
            </w:r>
          </w:p>
        </w:tc>
      </w:tr>
    </w:tbl>
    <w:sectPr>
      <w:pgSz w:w="11910" w:h="16850"/>
      <w:pgMar w:top="48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u w:val="single" w:color="00000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s://www.bankofengland.co.uk/-/media/boe/files/markets/money-markets-committee/the-uk-money-markets-code-explanatory-notes.pdf?la=en&amp;hash=CD9A48DBD24785CE108F2D2719E9D0C4042F59C8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UK Money Markets Code Sub-Committee Minutes May 2018</dc:subject>
  <dc:title>UK Money Markets Code Sub-Committee Minutes May 2018</dc:title>
  <dcterms:created xsi:type="dcterms:W3CDTF">2020-06-01T02:21:31Z</dcterms:created>
  <dcterms:modified xsi:type="dcterms:W3CDTF">2020-06-01T02:21:31Z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2020-06-01T00:00:00Z</vt:filetime>
  </property>
</Properties>
</file>