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spacing w:before="11"/>
        <w:rPr>
          <w:rFonts w:ascii="Times New Roman"/>
          <w:sz w:val="14"/>
        </w:rPr>
      </w:pPr>
    </w:p>
    <w:tbl>
      <w:tblPr>
        <w:tblW w:w="0" w:type="auto"/>
        <w:jc w:val="left"/>
        <w:tblInd w:w="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5"/>
        <w:gridCol w:w="9982"/>
      </w:tblGrid>
      <w:tr>
        <w:trPr>
          <w:trHeight w:val="665" w:hRule="atLeast"/>
        </w:trPr>
        <w:tc>
          <w:tcPr>
            <w:tcW w:w="10937" w:type="dxa"/>
            <w:gridSpan w:val="2"/>
          </w:tcPr>
          <w:p>
            <w:pPr>
              <w:pStyle w:val="TableParagraph"/>
              <w:spacing w:line="491" w:lineRule="exact"/>
              <w:rPr>
                <w:sz w:val="44"/>
              </w:rPr>
            </w:pPr>
            <w:r>
              <w:rPr>
                <w:sz w:val="44"/>
              </w:rPr>
              <w:t>Minutes</w:t>
            </w:r>
          </w:p>
        </w:tc>
      </w:tr>
      <w:tr>
        <w:trPr>
          <w:trHeight w:val="467" w:hRule="atLeast"/>
        </w:trPr>
        <w:tc>
          <w:tcPr>
            <w:tcW w:w="10937" w:type="dxa"/>
            <w:gridSpan w:val="2"/>
          </w:tcPr>
          <w:p>
            <w:pPr>
              <w:pStyle w:val="TableParagraph"/>
              <w:spacing w:before="167"/>
              <w:rPr>
                <w:b/>
                <w:sz w:val="24"/>
              </w:rPr>
            </w:pPr>
            <w:r>
              <w:rPr>
                <w:b/>
                <w:sz w:val="24"/>
              </w:rPr>
              <w:t>Wholesale Distribution Steering Group (WDSG)</w:t>
            </w:r>
          </w:p>
        </w:tc>
      </w:tr>
      <w:tr>
        <w:trPr>
          <w:trHeight w:val="563" w:hRule="atLeast"/>
        </w:trPr>
        <w:tc>
          <w:tcPr>
            <w:tcW w:w="10937" w:type="dxa"/>
            <w:gridSpan w:val="2"/>
            <w:tcBorders>
              <w:bottom w:val="single" w:sz="4" w:space="0" w:color="000000"/>
            </w:tcBorders>
          </w:tcPr>
          <w:p>
            <w:pPr>
              <w:pStyle w:val="TableParagraph"/>
              <w:spacing w:before="16"/>
              <w:rPr>
                <w:sz w:val="24"/>
              </w:rPr>
            </w:pPr>
            <w:r>
              <w:rPr>
                <w:sz w:val="24"/>
              </w:rPr>
              <w:t>20 April 2020</w:t>
            </w:r>
          </w:p>
        </w:tc>
      </w:tr>
      <w:tr>
        <w:trPr>
          <w:trHeight w:val="582" w:hRule="atLeast"/>
        </w:trPr>
        <w:tc>
          <w:tcPr>
            <w:tcW w:w="955" w:type="dxa"/>
            <w:tcBorders>
              <w:top w:val="single" w:sz="4" w:space="0" w:color="000000"/>
            </w:tcBorders>
          </w:tcPr>
          <w:p>
            <w:pPr>
              <w:pStyle w:val="TableParagraph"/>
              <w:spacing w:before="10"/>
              <w:rPr>
                <w:rFonts w:ascii="Times New Roman"/>
                <w:sz w:val="18"/>
              </w:rPr>
            </w:pPr>
          </w:p>
          <w:p>
            <w:pPr>
              <w:pStyle w:val="TableParagraph"/>
              <w:spacing w:before="1"/>
              <w:rPr>
                <w:sz w:val="20"/>
              </w:rPr>
            </w:pPr>
            <w:r>
              <w:rPr>
                <w:sz w:val="20"/>
              </w:rPr>
              <w:t>Location:</w:t>
            </w:r>
          </w:p>
        </w:tc>
        <w:tc>
          <w:tcPr>
            <w:tcW w:w="9982" w:type="dxa"/>
            <w:tcBorders>
              <w:top w:val="single" w:sz="4" w:space="0" w:color="000000"/>
            </w:tcBorders>
          </w:tcPr>
          <w:p>
            <w:pPr>
              <w:pStyle w:val="TableParagraph"/>
              <w:spacing w:before="8"/>
              <w:rPr>
                <w:rFonts w:ascii="Times New Roman"/>
                <w:sz w:val="18"/>
              </w:rPr>
            </w:pPr>
          </w:p>
          <w:p>
            <w:pPr>
              <w:pStyle w:val="TableParagraph"/>
              <w:rPr>
                <w:b/>
                <w:sz w:val="20"/>
              </w:rPr>
            </w:pPr>
            <w:r>
              <w:rPr>
                <w:b/>
                <w:sz w:val="20"/>
              </w:rPr>
              <w:t>The Meeting took place via audio link.</w:t>
            </w:r>
          </w:p>
        </w:tc>
      </w:tr>
      <w:tr>
        <w:trPr>
          <w:trHeight w:val="3801" w:hRule="atLeast"/>
        </w:trPr>
        <w:tc>
          <w:tcPr>
            <w:tcW w:w="955" w:type="dxa"/>
          </w:tcPr>
          <w:p>
            <w:pPr>
              <w:pStyle w:val="TableParagraph"/>
              <w:spacing w:before="130"/>
              <w:rPr>
                <w:sz w:val="20"/>
              </w:rPr>
            </w:pPr>
            <w:r>
              <w:rPr>
                <w:w w:val="95"/>
                <w:sz w:val="20"/>
              </w:rPr>
              <w:t>Attendees:</w:t>
            </w:r>
          </w:p>
        </w:tc>
        <w:tc>
          <w:tcPr>
            <w:tcW w:w="9982" w:type="dxa"/>
          </w:tcPr>
          <w:p>
            <w:pPr>
              <w:pStyle w:val="TableParagraph"/>
              <w:spacing w:line="278" w:lineRule="auto" w:before="127"/>
              <w:ind w:left="55" w:right="1626"/>
              <w:rPr>
                <w:sz w:val="20"/>
              </w:rPr>
            </w:pPr>
            <w:r>
              <w:rPr>
                <w:b/>
                <w:sz w:val="20"/>
              </w:rPr>
              <w:t>Bank of England</w:t>
            </w:r>
            <w:r>
              <w:rPr>
                <w:sz w:val="20"/>
              </w:rPr>
              <w:t>: Sarah John (Chair), Martin Etheridge, Mark McLintock, Menaha Yogendra, Ronan Mcclintock, Camilla Pegg</w:t>
            </w:r>
          </w:p>
          <w:p>
            <w:pPr>
              <w:pStyle w:val="TableParagraph"/>
              <w:spacing w:line="224" w:lineRule="exact"/>
              <w:ind w:left="55"/>
              <w:rPr>
                <w:sz w:val="20"/>
              </w:rPr>
            </w:pPr>
            <w:r>
              <w:rPr>
                <w:b/>
                <w:sz w:val="20"/>
              </w:rPr>
              <w:t>UK Finance</w:t>
            </w:r>
            <w:r>
              <w:rPr>
                <w:sz w:val="20"/>
              </w:rPr>
              <w:t>: Russell Saunders, Eric Leenders, Philip Mind</w:t>
            </w:r>
          </w:p>
          <w:p>
            <w:pPr>
              <w:pStyle w:val="TableParagraph"/>
              <w:spacing w:before="37"/>
              <w:ind w:left="55"/>
              <w:rPr>
                <w:sz w:val="20"/>
              </w:rPr>
            </w:pPr>
            <w:r>
              <w:rPr>
                <w:b/>
                <w:sz w:val="20"/>
              </w:rPr>
              <w:t>Barclays: </w:t>
            </w:r>
            <w:r>
              <w:rPr>
                <w:sz w:val="20"/>
              </w:rPr>
              <w:t>Tim Allen</w:t>
            </w:r>
          </w:p>
          <w:p>
            <w:pPr>
              <w:pStyle w:val="TableParagraph"/>
              <w:spacing w:before="34"/>
              <w:ind w:left="55"/>
              <w:rPr>
                <w:sz w:val="20"/>
              </w:rPr>
            </w:pPr>
            <w:r>
              <w:rPr>
                <w:b/>
                <w:sz w:val="20"/>
              </w:rPr>
              <w:t>Lloyds Banking Group: </w:t>
            </w:r>
            <w:r>
              <w:rPr>
                <w:sz w:val="20"/>
              </w:rPr>
              <w:t>Otto Benz</w:t>
            </w:r>
          </w:p>
          <w:p>
            <w:pPr>
              <w:pStyle w:val="TableParagraph"/>
              <w:spacing w:before="34"/>
              <w:ind w:left="55"/>
              <w:rPr>
                <w:sz w:val="20"/>
              </w:rPr>
            </w:pPr>
            <w:r>
              <w:rPr>
                <w:b/>
                <w:sz w:val="20"/>
              </w:rPr>
              <w:t>HSBC</w:t>
            </w:r>
            <w:r>
              <w:rPr>
                <w:sz w:val="20"/>
              </w:rPr>
              <w:t>: Sue Yarham</w:t>
            </w:r>
          </w:p>
          <w:p>
            <w:pPr>
              <w:pStyle w:val="TableParagraph"/>
              <w:spacing w:before="34"/>
              <w:ind w:left="55"/>
              <w:rPr>
                <w:sz w:val="20"/>
              </w:rPr>
            </w:pPr>
            <w:r>
              <w:rPr>
                <w:b/>
                <w:sz w:val="20"/>
              </w:rPr>
              <w:t>Royal Bank of Scotland: </w:t>
            </w:r>
            <w:r>
              <w:rPr>
                <w:sz w:val="20"/>
              </w:rPr>
              <w:t>Richard Talbot</w:t>
            </w:r>
          </w:p>
          <w:p>
            <w:pPr>
              <w:pStyle w:val="TableParagraph"/>
              <w:spacing w:before="34"/>
              <w:ind w:left="55"/>
              <w:rPr>
                <w:sz w:val="20"/>
              </w:rPr>
            </w:pPr>
            <w:r>
              <w:rPr>
                <w:b/>
                <w:sz w:val="20"/>
              </w:rPr>
              <w:t>Santander: </w:t>
            </w:r>
            <w:r>
              <w:rPr>
                <w:sz w:val="20"/>
              </w:rPr>
              <w:t>Robert White</w:t>
            </w:r>
          </w:p>
          <w:p>
            <w:pPr>
              <w:pStyle w:val="TableParagraph"/>
              <w:spacing w:before="37"/>
              <w:ind w:left="55"/>
              <w:rPr>
                <w:sz w:val="20"/>
              </w:rPr>
            </w:pPr>
            <w:r>
              <w:rPr>
                <w:b/>
                <w:sz w:val="20"/>
              </w:rPr>
              <w:t>HM Treasury: </w:t>
            </w:r>
            <w:r>
              <w:rPr>
                <w:sz w:val="20"/>
              </w:rPr>
              <w:t>Derek Dunne (Alternate)</w:t>
            </w:r>
          </w:p>
          <w:p>
            <w:pPr>
              <w:pStyle w:val="TableParagraph"/>
              <w:spacing w:before="34"/>
              <w:ind w:left="55"/>
              <w:rPr>
                <w:sz w:val="20"/>
              </w:rPr>
            </w:pPr>
            <w:r>
              <w:rPr>
                <w:b/>
                <w:sz w:val="20"/>
              </w:rPr>
              <w:t>Post Office: </w:t>
            </w:r>
            <w:r>
              <w:rPr>
                <w:sz w:val="20"/>
              </w:rPr>
              <w:t>Russell Hancock</w:t>
            </w:r>
          </w:p>
          <w:p>
            <w:pPr>
              <w:pStyle w:val="TableParagraph"/>
              <w:spacing w:before="34"/>
              <w:ind w:left="55"/>
              <w:rPr>
                <w:sz w:val="20"/>
              </w:rPr>
            </w:pPr>
            <w:r>
              <w:rPr>
                <w:b/>
                <w:sz w:val="20"/>
              </w:rPr>
              <w:t>Virgin Money UK: </w:t>
            </w:r>
            <w:r>
              <w:rPr>
                <w:sz w:val="20"/>
              </w:rPr>
              <w:t>Dougie Belmore</w:t>
            </w:r>
          </w:p>
          <w:p>
            <w:pPr>
              <w:pStyle w:val="TableParagraph"/>
              <w:spacing w:before="10"/>
              <w:rPr>
                <w:rFonts w:ascii="Times New Roman"/>
                <w:sz w:val="25"/>
              </w:rPr>
            </w:pPr>
          </w:p>
          <w:p>
            <w:pPr>
              <w:pStyle w:val="TableParagraph"/>
              <w:rPr>
                <w:sz w:val="20"/>
              </w:rPr>
            </w:pPr>
            <w:r>
              <w:rPr>
                <w:b/>
                <w:sz w:val="20"/>
              </w:rPr>
              <w:t>KPMG: </w:t>
            </w:r>
            <w:r>
              <w:rPr>
                <w:sz w:val="20"/>
              </w:rPr>
              <w:t>Simon Walker, Oliver Kirby-Johnson</w:t>
            </w:r>
          </w:p>
        </w:tc>
      </w:tr>
      <w:tr>
        <w:trPr>
          <w:trHeight w:val="872" w:hRule="atLeast"/>
        </w:trPr>
        <w:tc>
          <w:tcPr>
            <w:tcW w:w="955" w:type="dxa"/>
          </w:tcPr>
          <w:p>
            <w:pPr>
              <w:pStyle w:val="TableParagraph"/>
              <w:spacing w:before="10"/>
              <w:rPr>
                <w:rFonts w:ascii="Times New Roman"/>
                <w:sz w:val="22"/>
              </w:rPr>
            </w:pPr>
          </w:p>
          <w:p>
            <w:pPr>
              <w:pStyle w:val="TableParagraph"/>
              <w:rPr>
                <w:sz w:val="20"/>
              </w:rPr>
            </w:pPr>
            <w:r>
              <w:rPr>
                <w:sz w:val="20"/>
              </w:rPr>
              <w:t>Apologies:</w:t>
            </w:r>
          </w:p>
        </w:tc>
        <w:tc>
          <w:tcPr>
            <w:tcW w:w="9982" w:type="dxa"/>
          </w:tcPr>
          <w:p>
            <w:pPr>
              <w:pStyle w:val="TableParagraph"/>
              <w:spacing w:before="10"/>
              <w:rPr>
                <w:rFonts w:ascii="Times New Roman"/>
                <w:sz w:val="22"/>
              </w:rPr>
            </w:pPr>
          </w:p>
          <w:p>
            <w:pPr>
              <w:pStyle w:val="TableParagraph"/>
              <w:ind w:left="55"/>
              <w:rPr>
                <w:sz w:val="20"/>
              </w:rPr>
            </w:pPr>
            <w:r>
              <w:rPr>
                <w:sz w:val="20"/>
              </w:rPr>
              <w:t>Mario Pisani (HMT)</w:t>
            </w:r>
          </w:p>
        </w:tc>
      </w:tr>
      <w:tr>
        <w:trPr>
          <w:trHeight w:val="729" w:hRule="atLeast"/>
        </w:trPr>
        <w:tc>
          <w:tcPr>
            <w:tcW w:w="955" w:type="dxa"/>
          </w:tcPr>
          <w:p>
            <w:pPr>
              <w:pStyle w:val="TableParagraph"/>
              <w:spacing w:before="4"/>
              <w:rPr>
                <w:rFonts w:ascii="Times New Roman"/>
                <w:sz w:val="32"/>
              </w:rPr>
            </w:pPr>
          </w:p>
          <w:p>
            <w:pPr>
              <w:pStyle w:val="TableParagraph"/>
              <w:ind w:left="105"/>
              <w:rPr>
                <w:b/>
                <w:sz w:val="20"/>
              </w:rPr>
            </w:pPr>
            <w:r>
              <w:rPr>
                <w:b/>
                <w:sz w:val="20"/>
              </w:rPr>
              <w:t>Item</w:t>
            </w:r>
          </w:p>
        </w:tc>
        <w:tc>
          <w:tcPr>
            <w:tcW w:w="9982" w:type="dxa"/>
          </w:tcPr>
          <w:p>
            <w:pPr>
              <w:pStyle w:val="TableParagraph"/>
              <w:rPr>
                <w:rFonts w:ascii="Times New Roman"/>
                <w:sz w:val="20"/>
              </w:rPr>
            </w:pPr>
          </w:p>
        </w:tc>
      </w:tr>
      <w:tr>
        <w:trPr>
          <w:trHeight w:val="2101" w:hRule="atLeast"/>
        </w:trPr>
        <w:tc>
          <w:tcPr>
            <w:tcW w:w="955" w:type="dxa"/>
          </w:tcPr>
          <w:p>
            <w:pPr>
              <w:pStyle w:val="TableParagraph"/>
              <w:spacing w:before="120"/>
              <w:ind w:left="105"/>
              <w:rPr>
                <w:b/>
                <w:sz w:val="20"/>
              </w:rPr>
            </w:pPr>
            <w:r>
              <w:rPr>
                <w:b/>
                <w:sz w:val="20"/>
              </w:rPr>
              <w:t>1.</w:t>
            </w:r>
          </w:p>
        </w:tc>
        <w:tc>
          <w:tcPr>
            <w:tcW w:w="9982" w:type="dxa"/>
          </w:tcPr>
          <w:p>
            <w:pPr>
              <w:pStyle w:val="TableParagraph"/>
              <w:spacing w:before="120"/>
              <w:ind w:left="108"/>
              <w:rPr>
                <w:b/>
                <w:sz w:val="20"/>
              </w:rPr>
            </w:pPr>
            <w:r>
              <w:rPr>
                <w:b/>
                <w:sz w:val="20"/>
              </w:rPr>
              <w:t>Standing agenda items</w:t>
            </w:r>
          </w:p>
          <w:p>
            <w:pPr>
              <w:pStyle w:val="TableParagraph"/>
              <w:spacing w:before="1"/>
              <w:rPr>
                <w:rFonts w:ascii="Times New Roman"/>
                <w:sz w:val="26"/>
              </w:rPr>
            </w:pPr>
          </w:p>
          <w:p>
            <w:pPr>
              <w:pStyle w:val="TableParagraph"/>
              <w:numPr>
                <w:ilvl w:val="0"/>
                <w:numId w:val="1"/>
              </w:numPr>
              <w:tabs>
                <w:tab w:pos="461" w:val="left" w:leader="none"/>
                <w:tab w:pos="462" w:val="left" w:leader="none"/>
              </w:tabs>
              <w:spacing w:line="240" w:lineRule="auto" w:before="0" w:after="0"/>
              <w:ind w:left="461" w:right="0" w:hanging="361"/>
              <w:jc w:val="left"/>
              <w:rPr>
                <w:b/>
                <w:sz w:val="20"/>
              </w:rPr>
            </w:pPr>
            <w:r>
              <w:rPr>
                <w:b/>
                <w:sz w:val="20"/>
              </w:rPr>
              <w:t>March 2020</w:t>
            </w:r>
            <w:r>
              <w:rPr>
                <w:b/>
                <w:spacing w:val="-2"/>
                <w:sz w:val="20"/>
              </w:rPr>
              <w:t> </w:t>
            </w:r>
            <w:r>
              <w:rPr>
                <w:b/>
                <w:sz w:val="20"/>
              </w:rPr>
              <w:t>minutes:</w:t>
            </w:r>
          </w:p>
          <w:p>
            <w:pPr>
              <w:pStyle w:val="TableParagraph"/>
              <w:spacing w:before="37"/>
              <w:ind w:left="108"/>
              <w:rPr>
                <w:sz w:val="20"/>
              </w:rPr>
            </w:pPr>
            <w:r>
              <w:rPr>
                <w:sz w:val="20"/>
              </w:rPr>
              <w:t>The group agreed the March 2020 minutes, and approved their publication.</w:t>
            </w:r>
          </w:p>
          <w:p>
            <w:pPr>
              <w:pStyle w:val="TableParagraph"/>
              <w:spacing w:before="8"/>
              <w:rPr>
                <w:rFonts w:ascii="Times New Roman"/>
                <w:sz w:val="25"/>
              </w:rPr>
            </w:pPr>
          </w:p>
          <w:p>
            <w:pPr>
              <w:pStyle w:val="TableParagraph"/>
              <w:numPr>
                <w:ilvl w:val="0"/>
                <w:numId w:val="1"/>
              </w:numPr>
              <w:tabs>
                <w:tab w:pos="461" w:val="left" w:leader="none"/>
                <w:tab w:pos="462" w:val="left" w:leader="none"/>
              </w:tabs>
              <w:spacing w:line="240" w:lineRule="auto" w:before="0" w:after="0"/>
              <w:ind w:left="461" w:right="0" w:hanging="361"/>
              <w:jc w:val="left"/>
              <w:rPr>
                <w:b/>
                <w:sz w:val="20"/>
              </w:rPr>
            </w:pPr>
            <w:r>
              <w:rPr>
                <w:b/>
                <w:sz w:val="20"/>
              </w:rPr>
              <w:t>Sharing information on stakeholder engagement:</w:t>
            </w:r>
          </w:p>
          <w:p>
            <w:pPr>
              <w:pStyle w:val="TableParagraph"/>
              <w:spacing w:before="36"/>
              <w:ind w:left="108"/>
              <w:rPr>
                <w:sz w:val="20"/>
              </w:rPr>
            </w:pPr>
            <w:r>
              <w:rPr>
                <w:sz w:val="20"/>
              </w:rPr>
              <w:t>No updates were noted.</w:t>
            </w:r>
          </w:p>
        </w:tc>
      </w:tr>
      <w:tr>
        <w:trPr>
          <w:trHeight w:val="3032" w:hRule="atLeast"/>
        </w:trPr>
        <w:tc>
          <w:tcPr>
            <w:tcW w:w="955" w:type="dxa"/>
          </w:tcPr>
          <w:p>
            <w:pPr>
              <w:pStyle w:val="TableParagraph"/>
              <w:spacing w:before="155"/>
              <w:ind w:left="105"/>
              <w:rPr>
                <w:b/>
                <w:sz w:val="20"/>
              </w:rPr>
            </w:pPr>
            <w:r>
              <w:rPr>
                <w:b/>
                <w:sz w:val="20"/>
              </w:rPr>
              <w:t>2.</w:t>
            </w:r>
          </w:p>
        </w:tc>
        <w:tc>
          <w:tcPr>
            <w:tcW w:w="9982" w:type="dxa"/>
          </w:tcPr>
          <w:p>
            <w:pPr>
              <w:pStyle w:val="TableParagraph"/>
              <w:spacing w:before="155"/>
              <w:ind w:left="108"/>
              <w:rPr>
                <w:b/>
                <w:sz w:val="20"/>
              </w:rPr>
            </w:pPr>
            <w:r>
              <w:rPr>
                <w:b/>
                <w:sz w:val="20"/>
              </w:rPr>
              <w:t>Update from UK Finance (including “Skinny 3A”)</w:t>
            </w:r>
          </w:p>
          <w:p>
            <w:pPr>
              <w:pStyle w:val="TableParagraph"/>
              <w:spacing w:before="2"/>
              <w:rPr>
                <w:rFonts w:ascii="Times New Roman"/>
                <w:sz w:val="26"/>
              </w:rPr>
            </w:pPr>
          </w:p>
          <w:p>
            <w:pPr>
              <w:pStyle w:val="TableParagraph"/>
              <w:spacing w:line="276" w:lineRule="auto"/>
              <w:ind w:left="108" w:right="1727"/>
              <w:rPr>
                <w:sz w:val="20"/>
              </w:rPr>
            </w:pPr>
            <w:r>
              <w:rPr>
                <w:sz w:val="20"/>
              </w:rPr>
              <w:t>UK Finance provided an update on the progress of the wholesale work. UKF had engaged with Eversheds and KPMG to on the proposal for “Skinny 3A” – which would be a slimmed- down programme of work that could be managed in the current environment, with the aim of keeping momentum going on the project and helping prepare for the next phase of work.</w:t>
            </w:r>
          </w:p>
          <w:p>
            <w:pPr>
              <w:pStyle w:val="TableParagraph"/>
              <w:rPr>
                <w:rFonts w:ascii="Times New Roman"/>
                <w:sz w:val="23"/>
              </w:rPr>
            </w:pPr>
          </w:p>
          <w:p>
            <w:pPr>
              <w:pStyle w:val="TableParagraph"/>
              <w:spacing w:line="276" w:lineRule="auto"/>
              <w:ind w:left="108" w:right="1626"/>
              <w:rPr>
                <w:sz w:val="20"/>
              </w:rPr>
            </w:pPr>
            <w:r>
              <w:rPr>
                <w:sz w:val="20"/>
              </w:rPr>
              <w:t>The main component of Skinny 3A was preparatory work delivering detailed programme planning for the main phase 3A, which would include terms of reference for the main phase, clean team requirements and the approach for organisations to value the assets.</w:t>
            </w:r>
          </w:p>
          <w:p>
            <w:pPr>
              <w:pStyle w:val="TableParagraph"/>
              <w:spacing w:line="210" w:lineRule="exact" w:before="1"/>
              <w:ind w:left="108"/>
              <w:rPr>
                <w:sz w:val="20"/>
              </w:rPr>
            </w:pPr>
            <w:r>
              <w:rPr>
                <w:sz w:val="20"/>
              </w:rPr>
              <w:t>The group agreed that:</w:t>
            </w:r>
          </w:p>
        </w:tc>
      </w:tr>
    </w:tbl>
    <w:p>
      <w:pPr>
        <w:spacing w:after="0" w:line="210" w:lineRule="exact"/>
        <w:rPr>
          <w:sz w:val="20"/>
        </w:rPr>
        <w:sectPr>
          <w:type w:val="continuous"/>
          <w:pgSz w:w="11910" w:h="16840"/>
          <w:pgMar w:top="1580" w:bottom="280" w:left="280" w:right="380"/>
        </w:sectPr>
      </w:pPr>
    </w:p>
    <w:p>
      <w:pPr>
        <w:pStyle w:val="BodyText"/>
        <w:spacing w:before="67"/>
        <w:ind w:right="868"/>
        <w:jc w:val="right"/>
      </w:pPr>
      <w:r>
        <w:rPr>
          <w:w w:val="99"/>
        </w:rPr>
        <w:t>2</w:t>
      </w:r>
    </w:p>
    <w:p>
      <w:pPr>
        <w:pStyle w:val="BodyText"/>
        <w:spacing w:before="10" w:after="1"/>
        <w:rPr>
          <w:sz w:val="29"/>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2"/>
        <w:gridCol w:w="8957"/>
      </w:tblGrid>
      <w:tr>
        <w:trPr>
          <w:trHeight w:val="1168" w:hRule="atLeast"/>
        </w:trPr>
        <w:tc>
          <w:tcPr>
            <w:tcW w:w="762" w:type="dxa"/>
          </w:tcPr>
          <w:p>
            <w:pPr>
              <w:pStyle w:val="TableParagraph"/>
              <w:rPr>
                <w:rFonts w:ascii="Times New Roman"/>
                <w:sz w:val="18"/>
              </w:rPr>
            </w:pPr>
          </w:p>
        </w:tc>
        <w:tc>
          <w:tcPr>
            <w:tcW w:w="8957" w:type="dxa"/>
          </w:tcPr>
          <w:p>
            <w:pPr>
              <w:pStyle w:val="TableParagraph"/>
              <w:numPr>
                <w:ilvl w:val="0"/>
                <w:numId w:val="2"/>
              </w:numPr>
              <w:tabs>
                <w:tab w:pos="1116" w:val="left" w:leader="none"/>
              </w:tabs>
              <w:spacing w:line="278" w:lineRule="auto" w:before="0" w:after="0"/>
              <w:ind w:left="1116" w:right="304" w:hanging="360"/>
              <w:jc w:val="left"/>
              <w:rPr>
                <w:sz w:val="20"/>
              </w:rPr>
            </w:pPr>
            <w:r>
              <w:rPr>
                <w:sz w:val="20"/>
              </w:rPr>
              <w:t>The timeline for Skinny 3A should be mid-May to early August. This would ensure</w:t>
            </w:r>
            <w:r>
              <w:rPr>
                <w:spacing w:val="-23"/>
                <w:sz w:val="20"/>
              </w:rPr>
              <w:t> </w:t>
            </w:r>
            <w:r>
              <w:rPr>
                <w:sz w:val="20"/>
              </w:rPr>
              <w:t>the important decision point was reached over summer to inform next year’s</w:t>
            </w:r>
            <w:r>
              <w:rPr>
                <w:spacing w:val="-27"/>
                <w:sz w:val="20"/>
              </w:rPr>
              <w:t> </w:t>
            </w:r>
            <w:r>
              <w:rPr>
                <w:sz w:val="20"/>
              </w:rPr>
              <w:t>budgets.</w:t>
            </w:r>
          </w:p>
          <w:p>
            <w:pPr>
              <w:pStyle w:val="TableParagraph"/>
              <w:numPr>
                <w:ilvl w:val="0"/>
                <w:numId w:val="2"/>
              </w:numPr>
              <w:tabs>
                <w:tab w:pos="1116" w:val="left" w:leader="none"/>
              </w:tabs>
              <w:spacing w:line="276" w:lineRule="auto" w:before="0" w:after="0"/>
              <w:ind w:left="1116" w:right="867" w:hanging="360"/>
              <w:jc w:val="left"/>
              <w:rPr>
                <w:sz w:val="20"/>
              </w:rPr>
            </w:pPr>
            <w:r>
              <w:rPr>
                <w:sz w:val="20"/>
              </w:rPr>
              <w:t>The precise deliverables, costings and scope of the proposal should be tested rigorously to ensure it provides the detail required for the investment</w:t>
            </w:r>
            <w:r>
              <w:rPr>
                <w:spacing w:val="-17"/>
                <w:sz w:val="20"/>
              </w:rPr>
              <w:t> </w:t>
            </w:r>
            <w:r>
              <w:rPr>
                <w:sz w:val="20"/>
              </w:rPr>
              <w:t>decisions.</w:t>
            </w:r>
          </w:p>
        </w:tc>
      </w:tr>
      <w:tr>
        <w:trPr>
          <w:trHeight w:val="1852" w:hRule="atLeast"/>
        </w:trPr>
        <w:tc>
          <w:tcPr>
            <w:tcW w:w="762" w:type="dxa"/>
          </w:tcPr>
          <w:p>
            <w:pPr>
              <w:pStyle w:val="TableParagraph"/>
              <w:spacing w:before="144"/>
              <w:ind w:left="200"/>
              <w:rPr>
                <w:b/>
                <w:sz w:val="20"/>
              </w:rPr>
            </w:pPr>
            <w:r>
              <w:rPr>
                <w:b/>
                <w:sz w:val="20"/>
              </w:rPr>
              <w:t>3.</w:t>
            </w:r>
          </w:p>
        </w:tc>
        <w:tc>
          <w:tcPr>
            <w:tcW w:w="8957" w:type="dxa"/>
          </w:tcPr>
          <w:p>
            <w:pPr>
              <w:pStyle w:val="TableParagraph"/>
              <w:spacing w:before="144"/>
              <w:ind w:left="396"/>
              <w:jc w:val="both"/>
              <w:rPr>
                <w:b/>
                <w:sz w:val="20"/>
              </w:rPr>
            </w:pPr>
            <w:r>
              <w:rPr>
                <w:b/>
                <w:sz w:val="20"/>
              </w:rPr>
              <w:t>Update from the Bank on Consultation</w:t>
            </w:r>
          </w:p>
          <w:p>
            <w:pPr>
              <w:pStyle w:val="TableParagraph"/>
              <w:spacing w:before="4"/>
              <w:rPr>
                <w:sz w:val="26"/>
              </w:rPr>
            </w:pPr>
          </w:p>
          <w:p>
            <w:pPr>
              <w:pStyle w:val="TableParagraph"/>
              <w:spacing w:line="276" w:lineRule="auto"/>
              <w:ind w:left="396" w:right="198"/>
              <w:jc w:val="both"/>
              <w:rPr>
                <w:sz w:val="20"/>
              </w:rPr>
            </w:pPr>
            <w:r>
              <w:rPr>
                <w:sz w:val="20"/>
              </w:rPr>
              <w:t>The group agreed that the public consultation should be done in parallel with Skinny phase</w:t>
            </w:r>
            <w:r>
              <w:rPr>
                <w:spacing w:val="-33"/>
                <w:sz w:val="20"/>
              </w:rPr>
              <w:t> </w:t>
            </w:r>
            <w:r>
              <w:rPr>
                <w:sz w:val="20"/>
              </w:rPr>
              <w:t>3A, which would allow early feedback on the consultation to be taken into account. WDSG agreed the</w:t>
            </w:r>
            <w:r>
              <w:rPr>
                <w:spacing w:val="-13"/>
                <w:sz w:val="20"/>
              </w:rPr>
              <w:t> </w:t>
            </w:r>
            <w:r>
              <w:rPr>
                <w:sz w:val="20"/>
              </w:rPr>
              <w:t>publication</w:t>
            </w:r>
            <w:r>
              <w:rPr>
                <w:spacing w:val="-10"/>
                <w:sz w:val="20"/>
              </w:rPr>
              <w:t> </w:t>
            </w:r>
            <w:r>
              <w:rPr>
                <w:sz w:val="20"/>
              </w:rPr>
              <w:t>timeline</w:t>
            </w:r>
            <w:r>
              <w:rPr>
                <w:spacing w:val="-11"/>
                <w:sz w:val="20"/>
              </w:rPr>
              <w:t> </w:t>
            </w:r>
            <w:r>
              <w:rPr>
                <w:sz w:val="20"/>
              </w:rPr>
              <w:t>should</w:t>
            </w:r>
            <w:r>
              <w:rPr>
                <w:spacing w:val="-10"/>
                <w:sz w:val="20"/>
              </w:rPr>
              <w:t> </w:t>
            </w:r>
            <w:r>
              <w:rPr>
                <w:sz w:val="20"/>
              </w:rPr>
              <w:t>be</w:t>
            </w:r>
            <w:r>
              <w:rPr>
                <w:spacing w:val="-12"/>
                <w:sz w:val="20"/>
              </w:rPr>
              <w:t> </w:t>
            </w:r>
            <w:r>
              <w:rPr>
                <w:sz w:val="20"/>
              </w:rPr>
              <w:t>kept</w:t>
            </w:r>
            <w:r>
              <w:rPr>
                <w:spacing w:val="-12"/>
                <w:sz w:val="20"/>
              </w:rPr>
              <w:t> </w:t>
            </w:r>
            <w:r>
              <w:rPr>
                <w:sz w:val="20"/>
              </w:rPr>
              <w:t>under</w:t>
            </w:r>
            <w:r>
              <w:rPr>
                <w:spacing w:val="-11"/>
                <w:sz w:val="20"/>
              </w:rPr>
              <w:t> </w:t>
            </w:r>
            <w:r>
              <w:rPr>
                <w:sz w:val="20"/>
              </w:rPr>
              <w:t>review</w:t>
            </w:r>
            <w:r>
              <w:rPr>
                <w:spacing w:val="-15"/>
                <w:sz w:val="20"/>
              </w:rPr>
              <w:t> </w:t>
            </w:r>
            <w:r>
              <w:rPr>
                <w:sz w:val="20"/>
              </w:rPr>
              <w:t>to</w:t>
            </w:r>
            <w:r>
              <w:rPr>
                <w:spacing w:val="-9"/>
                <w:sz w:val="20"/>
              </w:rPr>
              <w:t> </w:t>
            </w:r>
            <w:r>
              <w:rPr>
                <w:sz w:val="20"/>
              </w:rPr>
              <w:t>ensure</w:t>
            </w:r>
            <w:r>
              <w:rPr>
                <w:spacing w:val="-12"/>
                <w:sz w:val="20"/>
              </w:rPr>
              <w:t> </w:t>
            </w:r>
            <w:r>
              <w:rPr>
                <w:sz w:val="20"/>
              </w:rPr>
              <w:t>that</w:t>
            </w:r>
            <w:r>
              <w:rPr>
                <w:spacing w:val="-12"/>
                <w:sz w:val="20"/>
              </w:rPr>
              <w:t> </w:t>
            </w:r>
            <w:r>
              <w:rPr>
                <w:sz w:val="20"/>
              </w:rPr>
              <w:t>key</w:t>
            </w:r>
            <w:r>
              <w:rPr>
                <w:spacing w:val="-16"/>
                <w:sz w:val="20"/>
              </w:rPr>
              <w:t> </w:t>
            </w:r>
            <w:r>
              <w:rPr>
                <w:sz w:val="20"/>
              </w:rPr>
              <w:t>stakeholders</w:t>
            </w:r>
            <w:r>
              <w:rPr>
                <w:spacing w:val="-10"/>
                <w:sz w:val="20"/>
              </w:rPr>
              <w:t> </w:t>
            </w:r>
            <w:r>
              <w:rPr>
                <w:sz w:val="20"/>
              </w:rPr>
              <w:t>would</w:t>
            </w:r>
            <w:r>
              <w:rPr>
                <w:spacing w:val="-7"/>
                <w:sz w:val="20"/>
              </w:rPr>
              <w:t> </w:t>
            </w:r>
            <w:r>
              <w:rPr>
                <w:sz w:val="20"/>
              </w:rPr>
              <w:t>have capacity to engage with the</w:t>
            </w:r>
            <w:r>
              <w:rPr>
                <w:spacing w:val="-2"/>
                <w:sz w:val="20"/>
              </w:rPr>
              <w:t> </w:t>
            </w:r>
            <w:r>
              <w:rPr>
                <w:sz w:val="20"/>
              </w:rPr>
              <w:t>consultation.</w:t>
            </w:r>
          </w:p>
        </w:tc>
      </w:tr>
      <w:tr>
        <w:trPr>
          <w:trHeight w:val="792" w:hRule="atLeast"/>
        </w:trPr>
        <w:tc>
          <w:tcPr>
            <w:tcW w:w="762" w:type="dxa"/>
          </w:tcPr>
          <w:p>
            <w:pPr>
              <w:pStyle w:val="TableParagraph"/>
              <w:rPr>
                <w:rFonts w:ascii="Times New Roman"/>
                <w:sz w:val="18"/>
              </w:rPr>
            </w:pPr>
          </w:p>
        </w:tc>
        <w:tc>
          <w:tcPr>
            <w:tcW w:w="8957" w:type="dxa"/>
          </w:tcPr>
          <w:p>
            <w:pPr>
              <w:pStyle w:val="TableParagraph"/>
              <w:spacing w:line="276" w:lineRule="auto" w:before="146"/>
              <w:ind w:left="396" w:right="391"/>
              <w:rPr>
                <w:sz w:val="20"/>
              </w:rPr>
            </w:pPr>
            <w:r>
              <w:rPr>
                <w:sz w:val="20"/>
              </w:rPr>
              <w:t>The Bank noted that the consultation paper would not be published before mid-May and that the consultation period would likely run for at least two months.</w:t>
            </w:r>
          </w:p>
        </w:tc>
      </w:tr>
      <w:tr>
        <w:trPr>
          <w:trHeight w:val="1058" w:hRule="atLeast"/>
        </w:trPr>
        <w:tc>
          <w:tcPr>
            <w:tcW w:w="762" w:type="dxa"/>
          </w:tcPr>
          <w:p>
            <w:pPr>
              <w:pStyle w:val="TableParagraph"/>
              <w:spacing w:before="144"/>
              <w:ind w:left="200"/>
              <w:rPr>
                <w:b/>
                <w:sz w:val="20"/>
              </w:rPr>
            </w:pPr>
            <w:r>
              <w:rPr>
                <w:b/>
                <w:sz w:val="20"/>
              </w:rPr>
              <w:t>4.</w:t>
            </w:r>
          </w:p>
        </w:tc>
        <w:tc>
          <w:tcPr>
            <w:tcW w:w="8957" w:type="dxa"/>
          </w:tcPr>
          <w:p>
            <w:pPr>
              <w:pStyle w:val="TableParagraph"/>
              <w:spacing w:before="144"/>
              <w:ind w:left="396"/>
              <w:rPr>
                <w:b/>
                <w:sz w:val="20"/>
              </w:rPr>
            </w:pPr>
            <w:r>
              <w:rPr>
                <w:b/>
                <w:sz w:val="20"/>
              </w:rPr>
              <w:t>Review Action Log</w:t>
            </w:r>
          </w:p>
          <w:p>
            <w:pPr>
              <w:pStyle w:val="TableParagraph"/>
              <w:spacing w:before="4"/>
              <w:rPr>
                <w:sz w:val="26"/>
              </w:rPr>
            </w:pPr>
          </w:p>
          <w:p>
            <w:pPr>
              <w:pStyle w:val="TableParagraph"/>
              <w:ind w:left="396"/>
              <w:rPr>
                <w:sz w:val="20"/>
              </w:rPr>
            </w:pPr>
            <w:r>
              <w:rPr>
                <w:sz w:val="20"/>
              </w:rPr>
              <w:t>Actions were reviewed and closed where applicable.</w:t>
            </w:r>
          </w:p>
        </w:tc>
      </w:tr>
      <w:tr>
        <w:trPr>
          <w:trHeight w:val="904" w:hRule="atLeast"/>
        </w:trPr>
        <w:tc>
          <w:tcPr>
            <w:tcW w:w="762" w:type="dxa"/>
          </w:tcPr>
          <w:p>
            <w:pPr>
              <w:pStyle w:val="TableParagraph"/>
              <w:spacing w:before="144"/>
              <w:ind w:left="200"/>
              <w:rPr>
                <w:b/>
                <w:sz w:val="20"/>
              </w:rPr>
            </w:pPr>
            <w:r>
              <w:rPr>
                <w:b/>
                <w:sz w:val="20"/>
              </w:rPr>
              <w:t>5.</w:t>
            </w:r>
          </w:p>
        </w:tc>
        <w:tc>
          <w:tcPr>
            <w:tcW w:w="8957" w:type="dxa"/>
          </w:tcPr>
          <w:p>
            <w:pPr>
              <w:pStyle w:val="TableParagraph"/>
              <w:spacing w:before="144"/>
              <w:ind w:left="396"/>
              <w:rPr>
                <w:b/>
                <w:sz w:val="20"/>
              </w:rPr>
            </w:pPr>
            <w:r>
              <w:rPr>
                <w:b/>
                <w:sz w:val="20"/>
              </w:rPr>
              <w:t>AOB</w:t>
            </w:r>
          </w:p>
          <w:p>
            <w:pPr>
              <w:pStyle w:val="TableParagraph"/>
              <w:spacing w:before="1"/>
              <w:rPr>
                <w:sz w:val="26"/>
              </w:rPr>
            </w:pPr>
          </w:p>
          <w:p>
            <w:pPr>
              <w:pStyle w:val="TableParagraph"/>
              <w:spacing w:line="210" w:lineRule="exact"/>
              <w:ind w:left="396"/>
              <w:rPr>
                <w:i/>
                <w:sz w:val="20"/>
              </w:rPr>
            </w:pPr>
            <w:r>
              <w:rPr>
                <w:sz w:val="20"/>
              </w:rPr>
              <w:t>None</w:t>
            </w:r>
            <w:r>
              <w:rPr>
                <w:i/>
                <w:sz w:val="20"/>
              </w:rPr>
              <w:t>.</w:t>
            </w:r>
          </w:p>
        </w:tc>
      </w:tr>
    </w:tbl>
    <w:sectPr>
      <w:pgSz w:w="11910" w:h="16840"/>
      <w:pgMar w:top="480" w:bottom="280" w:left="280" w:right="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1116" w:hanging="360"/>
        <w:jc w:val="left"/>
      </w:pPr>
      <w:rPr>
        <w:rFonts w:hint="default" w:ascii="Arial" w:hAnsi="Arial" w:eastAsia="Arial" w:cs="Arial"/>
        <w:spacing w:val="-1"/>
        <w:w w:val="99"/>
        <w:sz w:val="20"/>
        <w:szCs w:val="20"/>
        <w:lang w:val="en-gb" w:eastAsia="en-gb" w:bidi="en-gb"/>
      </w:rPr>
    </w:lvl>
    <w:lvl w:ilvl="1">
      <w:start w:val="0"/>
      <w:numFmt w:val="bullet"/>
      <w:lvlText w:val="•"/>
      <w:lvlJc w:val="left"/>
      <w:pPr>
        <w:ind w:left="1903" w:hanging="360"/>
      </w:pPr>
      <w:rPr>
        <w:rFonts w:hint="default"/>
        <w:lang w:val="en-gb" w:eastAsia="en-gb" w:bidi="en-gb"/>
      </w:rPr>
    </w:lvl>
    <w:lvl w:ilvl="2">
      <w:start w:val="0"/>
      <w:numFmt w:val="bullet"/>
      <w:lvlText w:val="•"/>
      <w:lvlJc w:val="left"/>
      <w:pPr>
        <w:ind w:left="2687" w:hanging="360"/>
      </w:pPr>
      <w:rPr>
        <w:rFonts w:hint="default"/>
        <w:lang w:val="en-gb" w:eastAsia="en-gb" w:bidi="en-gb"/>
      </w:rPr>
    </w:lvl>
    <w:lvl w:ilvl="3">
      <w:start w:val="0"/>
      <w:numFmt w:val="bullet"/>
      <w:lvlText w:val="•"/>
      <w:lvlJc w:val="left"/>
      <w:pPr>
        <w:ind w:left="3471" w:hanging="360"/>
      </w:pPr>
      <w:rPr>
        <w:rFonts w:hint="default"/>
        <w:lang w:val="en-gb" w:eastAsia="en-gb" w:bidi="en-gb"/>
      </w:rPr>
    </w:lvl>
    <w:lvl w:ilvl="4">
      <w:start w:val="0"/>
      <w:numFmt w:val="bullet"/>
      <w:lvlText w:val="•"/>
      <w:lvlJc w:val="left"/>
      <w:pPr>
        <w:ind w:left="4254" w:hanging="360"/>
      </w:pPr>
      <w:rPr>
        <w:rFonts w:hint="default"/>
        <w:lang w:val="en-gb" w:eastAsia="en-gb" w:bidi="en-gb"/>
      </w:rPr>
    </w:lvl>
    <w:lvl w:ilvl="5">
      <w:start w:val="0"/>
      <w:numFmt w:val="bullet"/>
      <w:lvlText w:val="•"/>
      <w:lvlJc w:val="left"/>
      <w:pPr>
        <w:ind w:left="5038" w:hanging="360"/>
      </w:pPr>
      <w:rPr>
        <w:rFonts w:hint="default"/>
        <w:lang w:val="en-gb" w:eastAsia="en-gb" w:bidi="en-gb"/>
      </w:rPr>
    </w:lvl>
    <w:lvl w:ilvl="6">
      <w:start w:val="0"/>
      <w:numFmt w:val="bullet"/>
      <w:lvlText w:val="•"/>
      <w:lvlJc w:val="left"/>
      <w:pPr>
        <w:ind w:left="5822" w:hanging="360"/>
      </w:pPr>
      <w:rPr>
        <w:rFonts w:hint="default"/>
        <w:lang w:val="en-gb" w:eastAsia="en-gb" w:bidi="en-gb"/>
      </w:rPr>
    </w:lvl>
    <w:lvl w:ilvl="7">
      <w:start w:val="0"/>
      <w:numFmt w:val="bullet"/>
      <w:lvlText w:val="•"/>
      <w:lvlJc w:val="left"/>
      <w:pPr>
        <w:ind w:left="6605" w:hanging="360"/>
      </w:pPr>
      <w:rPr>
        <w:rFonts w:hint="default"/>
        <w:lang w:val="en-gb" w:eastAsia="en-gb" w:bidi="en-gb"/>
      </w:rPr>
    </w:lvl>
    <w:lvl w:ilvl="8">
      <w:start w:val="0"/>
      <w:numFmt w:val="bullet"/>
      <w:lvlText w:val="•"/>
      <w:lvlJc w:val="left"/>
      <w:pPr>
        <w:ind w:left="7389" w:hanging="360"/>
      </w:pPr>
      <w:rPr>
        <w:rFonts w:hint="default"/>
        <w:lang w:val="en-gb" w:eastAsia="en-gb" w:bidi="en-gb"/>
      </w:rPr>
    </w:lvl>
  </w:abstractNum>
  <w:abstractNum w:abstractNumId="0">
    <w:multiLevelType w:val="hybridMultilevel"/>
    <w:lvl w:ilvl="0">
      <w:start w:val="0"/>
      <w:numFmt w:val="bullet"/>
      <w:lvlText w:val="-"/>
      <w:lvlJc w:val="left"/>
      <w:pPr>
        <w:ind w:left="461" w:hanging="360"/>
      </w:pPr>
      <w:rPr>
        <w:rFonts w:hint="default" w:ascii="Arial" w:hAnsi="Arial" w:eastAsia="Arial" w:cs="Arial"/>
        <w:w w:val="99"/>
        <w:sz w:val="20"/>
        <w:szCs w:val="20"/>
        <w:lang w:val="en-gb" w:eastAsia="en-gb" w:bidi="en-gb"/>
      </w:rPr>
    </w:lvl>
    <w:lvl w:ilvl="1">
      <w:start w:val="0"/>
      <w:numFmt w:val="bullet"/>
      <w:lvlText w:val="•"/>
      <w:lvlJc w:val="left"/>
      <w:pPr>
        <w:ind w:left="1412" w:hanging="360"/>
      </w:pPr>
      <w:rPr>
        <w:rFonts w:hint="default"/>
        <w:lang w:val="en-gb" w:eastAsia="en-gb" w:bidi="en-gb"/>
      </w:rPr>
    </w:lvl>
    <w:lvl w:ilvl="2">
      <w:start w:val="0"/>
      <w:numFmt w:val="bullet"/>
      <w:lvlText w:val="•"/>
      <w:lvlJc w:val="left"/>
      <w:pPr>
        <w:ind w:left="2364" w:hanging="360"/>
      </w:pPr>
      <w:rPr>
        <w:rFonts w:hint="default"/>
        <w:lang w:val="en-gb" w:eastAsia="en-gb" w:bidi="en-gb"/>
      </w:rPr>
    </w:lvl>
    <w:lvl w:ilvl="3">
      <w:start w:val="0"/>
      <w:numFmt w:val="bullet"/>
      <w:lvlText w:val="•"/>
      <w:lvlJc w:val="left"/>
      <w:pPr>
        <w:ind w:left="3316" w:hanging="360"/>
      </w:pPr>
      <w:rPr>
        <w:rFonts w:hint="default"/>
        <w:lang w:val="en-gb" w:eastAsia="en-gb" w:bidi="en-gb"/>
      </w:rPr>
    </w:lvl>
    <w:lvl w:ilvl="4">
      <w:start w:val="0"/>
      <w:numFmt w:val="bullet"/>
      <w:lvlText w:val="•"/>
      <w:lvlJc w:val="left"/>
      <w:pPr>
        <w:ind w:left="4268" w:hanging="360"/>
      </w:pPr>
      <w:rPr>
        <w:rFonts w:hint="default"/>
        <w:lang w:val="en-gb" w:eastAsia="en-gb" w:bidi="en-gb"/>
      </w:rPr>
    </w:lvl>
    <w:lvl w:ilvl="5">
      <w:start w:val="0"/>
      <w:numFmt w:val="bullet"/>
      <w:lvlText w:val="•"/>
      <w:lvlJc w:val="left"/>
      <w:pPr>
        <w:ind w:left="5221" w:hanging="360"/>
      </w:pPr>
      <w:rPr>
        <w:rFonts w:hint="default"/>
        <w:lang w:val="en-gb" w:eastAsia="en-gb" w:bidi="en-gb"/>
      </w:rPr>
    </w:lvl>
    <w:lvl w:ilvl="6">
      <w:start w:val="0"/>
      <w:numFmt w:val="bullet"/>
      <w:lvlText w:val="•"/>
      <w:lvlJc w:val="left"/>
      <w:pPr>
        <w:ind w:left="6173" w:hanging="360"/>
      </w:pPr>
      <w:rPr>
        <w:rFonts w:hint="default"/>
        <w:lang w:val="en-gb" w:eastAsia="en-gb" w:bidi="en-gb"/>
      </w:rPr>
    </w:lvl>
    <w:lvl w:ilvl="7">
      <w:start w:val="0"/>
      <w:numFmt w:val="bullet"/>
      <w:lvlText w:val="•"/>
      <w:lvlJc w:val="left"/>
      <w:pPr>
        <w:ind w:left="7125" w:hanging="360"/>
      </w:pPr>
      <w:rPr>
        <w:rFonts w:hint="default"/>
        <w:lang w:val="en-gb" w:eastAsia="en-gb" w:bidi="en-gb"/>
      </w:rPr>
    </w:lvl>
    <w:lvl w:ilvl="8">
      <w:start w:val="0"/>
      <w:numFmt w:val="bullet"/>
      <w:lvlText w:val="•"/>
      <w:lvlJc w:val="left"/>
      <w:pPr>
        <w:ind w:left="8077" w:hanging="360"/>
      </w:pPr>
      <w:rPr>
        <w:rFonts w:hint="default"/>
        <w:lang w:val="en-gb" w:eastAsia="en-gb" w:bidi="en-gb"/>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Wholesale Distribution Steering Group minutes April 2020</dc:title>
  <dcterms:created xsi:type="dcterms:W3CDTF">2020-06-01T02:21:41Z</dcterms:created>
  <dcterms:modified xsi:type="dcterms:W3CDTF">2020-06-01T02:21:41Z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2020-05-27T00:00:00Z</vt:filetime>
  </property>
  <property fmtid="{D5CDD505-2E9C-101B-9397-08002B2CF9AE}" pid="3" name="LastSaved">
    <vt:filetime>2020-06-01T00:00:00Z</vt:filetime>
  </property>
</Properties>
</file>