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88"/>
        <w:ind w:left="116" w:right="0" w:firstLine="0"/>
        <w:jc w:val="left"/>
        <w:rPr>
          <w:sz w:val="41"/>
        </w:rPr>
      </w:pPr>
      <w:r>
        <w:rPr>
          <w:sz w:val="41"/>
        </w:rPr>
        <w:t>Minutes</w:t>
      </w:r>
    </w:p>
    <w:p>
      <w:pPr>
        <w:spacing w:before="326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Wholesale Distribution Steering Group (WDSG)</w:t>
      </w:r>
    </w:p>
    <w:p>
      <w:pPr>
        <w:spacing w:before="45"/>
        <w:ind w:left="116" w:right="0" w:firstLine="0"/>
        <w:jc w:val="left"/>
        <w:rPr>
          <w:sz w:val="22"/>
        </w:rPr>
      </w:pPr>
      <w:r>
        <w:rPr>
          <w:sz w:val="22"/>
        </w:rPr>
        <w:t>16 December 2019</w:t>
      </w:r>
    </w:p>
    <w:p>
      <w:pPr>
        <w:pStyle w:val="BodyText"/>
        <w:spacing w:before="9"/>
      </w:pPr>
      <w:r>
        <w:rPr/>
        <w:pict>
          <v:shape style="position:absolute;margin-left:48.840004pt;margin-top:12.970326pt;width:513.85pt;height:.1pt;mso-position-horizontal-relative:page;mso-position-vertical-relative:paragraph;z-index:-251658240;mso-wrap-distance-left:0;mso-wrap-distance-right:0" coordorigin="977,259" coordsize="10277,0" path="m977,259l11254,259e" filled="false" stroked="true" strokeweight=".360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Heading1"/>
        <w:spacing w:before="100"/>
        <w:ind w:left="116" w:firstLine="0"/>
      </w:pPr>
      <w:r>
        <w:rPr>
          <w:b w:val="0"/>
          <w:w w:val="105"/>
        </w:rPr>
        <w:t>Location: </w:t>
      </w:r>
      <w:r>
        <w:rPr>
          <w:w w:val="105"/>
        </w:rPr>
        <w:t>Bank of England, Threadneedle St, London EC2R 8AH (Room 1X)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6"/>
      </w:pPr>
      <w:r>
        <w:rPr>
          <w:w w:val="105"/>
        </w:rPr>
        <w:t>Attendees: </w:t>
      </w:r>
      <w:r>
        <w:rPr>
          <w:b/>
          <w:w w:val="105"/>
        </w:rPr>
        <w:t>Bank of England</w:t>
      </w:r>
      <w:r>
        <w:rPr>
          <w:w w:val="105"/>
        </w:rPr>
        <w:t>: Sarah John (Chair), Martin Etheridge, Mark McLintock, Ronan McClintock</w:t>
      </w:r>
    </w:p>
    <w:p>
      <w:pPr>
        <w:pStyle w:val="BodyText"/>
        <w:spacing w:before="40"/>
        <w:ind w:left="1066"/>
      </w:pPr>
      <w:r>
        <w:rPr>
          <w:b/>
          <w:w w:val="105"/>
        </w:rPr>
        <w:t>UK Finance</w:t>
      </w:r>
      <w:r>
        <w:rPr>
          <w:w w:val="105"/>
        </w:rPr>
        <w:t>: Russell Saunders, Eric Leenders, Philip Mind</w:t>
      </w:r>
    </w:p>
    <w:p>
      <w:pPr>
        <w:spacing w:before="43"/>
        <w:ind w:left="1066" w:right="0" w:firstLine="0"/>
        <w:jc w:val="left"/>
        <w:rPr>
          <w:sz w:val="18"/>
        </w:rPr>
      </w:pPr>
      <w:r>
        <w:rPr>
          <w:b/>
          <w:w w:val="105"/>
          <w:sz w:val="18"/>
        </w:rPr>
        <w:t>Barclays: </w:t>
      </w:r>
      <w:r>
        <w:rPr>
          <w:w w:val="105"/>
          <w:sz w:val="18"/>
        </w:rPr>
        <w:t>Tim Leydon (Alternate)</w:t>
      </w:r>
    </w:p>
    <w:p>
      <w:pPr>
        <w:spacing w:before="42"/>
        <w:ind w:left="1066" w:right="0" w:firstLine="0"/>
        <w:jc w:val="left"/>
        <w:rPr>
          <w:sz w:val="18"/>
        </w:rPr>
      </w:pPr>
      <w:r>
        <w:rPr>
          <w:b/>
          <w:w w:val="105"/>
          <w:sz w:val="18"/>
        </w:rPr>
        <w:t>Lloyds Banking Group: </w:t>
      </w:r>
      <w:r>
        <w:rPr>
          <w:w w:val="105"/>
          <w:sz w:val="18"/>
        </w:rPr>
        <w:t>Otto Benz</w:t>
      </w:r>
    </w:p>
    <w:p>
      <w:pPr>
        <w:spacing w:line="288" w:lineRule="auto" w:before="40"/>
        <w:ind w:left="1067" w:right="5010" w:firstLine="0"/>
        <w:jc w:val="left"/>
        <w:rPr>
          <w:sz w:val="18"/>
        </w:rPr>
      </w:pPr>
      <w:r>
        <w:rPr>
          <w:b/>
          <w:w w:val="105"/>
          <w:sz w:val="18"/>
        </w:rPr>
        <w:t>Virgin Money UK: </w:t>
      </w:r>
      <w:r>
        <w:rPr>
          <w:w w:val="105"/>
          <w:sz w:val="18"/>
        </w:rPr>
        <w:t>Dougie Belmore (by phone) </w:t>
      </w:r>
      <w:r>
        <w:rPr>
          <w:b/>
          <w:w w:val="105"/>
          <w:sz w:val="18"/>
        </w:rPr>
        <w:t>Royal Bank of Scotland: </w:t>
      </w:r>
      <w:r>
        <w:rPr>
          <w:w w:val="105"/>
          <w:sz w:val="18"/>
        </w:rPr>
        <w:t>Richard Talbot </w:t>
      </w:r>
      <w:r>
        <w:rPr>
          <w:b/>
          <w:w w:val="105"/>
          <w:sz w:val="18"/>
        </w:rPr>
        <w:t>Santander: </w:t>
      </w:r>
      <w:r>
        <w:rPr>
          <w:w w:val="105"/>
          <w:sz w:val="18"/>
        </w:rPr>
        <w:t>Robert White</w:t>
      </w:r>
    </w:p>
    <w:p>
      <w:pPr>
        <w:spacing w:before="2"/>
        <w:ind w:left="1067" w:right="0" w:firstLine="0"/>
        <w:jc w:val="left"/>
        <w:rPr>
          <w:sz w:val="18"/>
        </w:rPr>
      </w:pPr>
      <w:r>
        <w:rPr>
          <w:b/>
          <w:w w:val="105"/>
          <w:sz w:val="18"/>
        </w:rPr>
        <w:t>Post Office: </w:t>
      </w:r>
      <w:r>
        <w:rPr>
          <w:w w:val="105"/>
          <w:sz w:val="18"/>
        </w:rPr>
        <w:t>Russell Hancock (by phone)</w:t>
      </w:r>
    </w:p>
    <w:p>
      <w:pPr>
        <w:spacing w:before="42"/>
        <w:ind w:left="1067" w:right="0" w:firstLine="0"/>
        <w:jc w:val="left"/>
        <w:rPr>
          <w:sz w:val="18"/>
        </w:rPr>
      </w:pPr>
      <w:r>
        <w:rPr>
          <w:b/>
          <w:w w:val="105"/>
          <w:sz w:val="18"/>
        </w:rPr>
        <w:t>HM Treasury: </w:t>
      </w:r>
      <w:r>
        <w:rPr>
          <w:w w:val="105"/>
          <w:sz w:val="18"/>
        </w:rPr>
        <w:t>Derek Dunne (Alternate)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066"/>
      </w:pPr>
      <w:r>
        <w:rPr>
          <w:b/>
          <w:w w:val="105"/>
        </w:rPr>
        <w:t>KPMG: </w:t>
      </w:r>
      <w:r>
        <w:rPr>
          <w:w w:val="105"/>
        </w:rPr>
        <w:t>Simon Walker, Oliver Kirby-Johnson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92" w:lineRule="auto"/>
        <w:ind w:left="1014" w:hanging="898"/>
      </w:pPr>
      <w:r>
        <w:rPr>
          <w:w w:val="105"/>
        </w:rPr>
        <w:t>Apologies: Tim Allen (Barclays) Kevin McMullan (Danske Bank), Mario Pisani (HMT), Sue Yarham (HSBC), John Garrett (First Trust Bank), Julie Fitzgibbon (Bank of Ireland)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Heading1"/>
        <w:ind w:left="215" w:firstLine="0"/>
      </w:pPr>
      <w:r>
        <w:rPr>
          <w:w w:val="105"/>
        </w:rPr>
        <w:t>Item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15" w:val="left" w:leader="none"/>
          <w:tab w:pos="1116" w:val="left" w:leader="none"/>
        </w:tabs>
        <w:spacing w:line="240" w:lineRule="auto" w:before="0" w:after="0"/>
        <w:ind w:left="1115" w:right="0" w:hanging="901"/>
        <w:jc w:val="left"/>
        <w:rPr>
          <w:b/>
          <w:sz w:val="18"/>
        </w:rPr>
      </w:pPr>
      <w:r>
        <w:rPr>
          <w:b/>
          <w:w w:val="105"/>
          <w:sz w:val="18"/>
        </w:rPr>
        <w:t>Standing agenda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items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446" w:val="left" w:leader="none"/>
          <w:tab w:pos="1447" w:val="left" w:leader="none"/>
        </w:tabs>
        <w:spacing w:line="240" w:lineRule="auto" w:before="0" w:after="0"/>
        <w:ind w:left="1446" w:right="0" w:hanging="340"/>
        <w:jc w:val="left"/>
        <w:rPr>
          <w:b/>
          <w:sz w:val="18"/>
        </w:rPr>
      </w:pPr>
      <w:r>
        <w:rPr>
          <w:b/>
          <w:w w:val="105"/>
          <w:sz w:val="18"/>
        </w:rPr>
        <w:t>November 2019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minutes: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before="1"/>
        <w:ind w:left="1115"/>
      </w:pPr>
      <w:r>
        <w:rPr>
          <w:w w:val="105"/>
        </w:rPr>
        <w:t>The group agreed the November 2019 minutes, and approved their publication.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numPr>
          <w:ilvl w:val="1"/>
          <w:numId w:val="1"/>
        </w:numPr>
        <w:tabs>
          <w:tab w:pos="1446" w:val="left" w:leader="none"/>
          <w:tab w:pos="1447" w:val="left" w:leader="none"/>
        </w:tabs>
        <w:spacing w:line="240" w:lineRule="auto" w:before="0" w:after="0"/>
        <w:ind w:left="1446" w:right="0" w:hanging="340"/>
        <w:jc w:val="left"/>
      </w:pPr>
      <w:r>
        <w:rPr>
          <w:w w:val="105"/>
        </w:rPr>
        <w:t>Sharing information on stakeholder</w:t>
      </w:r>
      <w:r>
        <w:rPr>
          <w:spacing w:val="-4"/>
          <w:w w:val="105"/>
        </w:rPr>
        <w:t> </w:t>
      </w:r>
      <w:r>
        <w:rPr>
          <w:w w:val="105"/>
        </w:rPr>
        <w:t>engagement: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115"/>
      </w:pPr>
      <w:r>
        <w:rPr>
          <w:w w:val="105"/>
        </w:rPr>
        <w:t>No updates were noted.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1115" w:val="left" w:leader="none"/>
          <w:tab w:pos="1116" w:val="left" w:leader="none"/>
        </w:tabs>
        <w:spacing w:line="240" w:lineRule="auto" w:before="1" w:after="0"/>
        <w:ind w:left="1115" w:right="0" w:hanging="901"/>
        <w:jc w:val="left"/>
      </w:pPr>
      <w:r>
        <w:rPr>
          <w:w w:val="105"/>
        </w:rPr>
        <w:t>Industry</w:t>
      </w:r>
      <w:r>
        <w:rPr>
          <w:spacing w:val="-4"/>
          <w:w w:val="105"/>
        </w:rPr>
        <w:t> </w:t>
      </w:r>
      <w:r>
        <w:rPr>
          <w:w w:val="105"/>
        </w:rPr>
        <w:t>Forum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49" w:lineRule="auto"/>
        <w:ind w:left="1115" w:right="1529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Bank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England</w:t>
      </w:r>
      <w:r>
        <w:rPr>
          <w:spacing w:val="-16"/>
          <w:w w:val="105"/>
        </w:rPr>
        <w:t> </w:t>
      </w:r>
      <w:r>
        <w:rPr>
          <w:w w:val="105"/>
        </w:rPr>
        <w:t>hosted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industry</w:t>
      </w:r>
      <w:r>
        <w:rPr>
          <w:spacing w:val="-16"/>
          <w:w w:val="105"/>
        </w:rPr>
        <w:t> </w:t>
      </w:r>
      <w:r>
        <w:rPr>
          <w:w w:val="105"/>
        </w:rPr>
        <w:t>forum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18</w:t>
      </w:r>
      <w:r>
        <w:rPr>
          <w:spacing w:val="-16"/>
          <w:w w:val="105"/>
        </w:rPr>
        <w:t> </w:t>
      </w:r>
      <w:r>
        <w:rPr>
          <w:w w:val="105"/>
        </w:rPr>
        <w:t>November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opportunity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present the</w:t>
      </w:r>
      <w:r>
        <w:rPr>
          <w:spacing w:val="-9"/>
          <w:w w:val="105"/>
        </w:rPr>
        <w:t> </w:t>
      </w:r>
      <w:r>
        <w:rPr>
          <w:w w:val="105"/>
        </w:rPr>
        <w:t>Wholesale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Distribution</w:t>
      </w:r>
      <w:r>
        <w:rPr>
          <w:spacing w:val="-8"/>
          <w:w w:val="105"/>
        </w:rPr>
        <w:t> </w:t>
      </w:r>
      <w:r>
        <w:rPr>
          <w:w w:val="105"/>
        </w:rPr>
        <w:t>(WCD)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undertaken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wider</w:t>
      </w:r>
      <w:r>
        <w:rPr>
          <w:spacing w:val="-5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stakeholder community. The presentations</w:t>
      </w:r>
      <w:r>
        <w:rPr>
          <w:spacing w:val="-5"/>
          <w:w w:val="105"/>
        </w:rPr>
        <w:t> </w:t>
      </w:r>
      <w:r>
        <w:rPr>
          <w:w w:val="105"/>
        </w:rPr>
        <w:t>included: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792" w:val="left" w:leader="none"/>
        </w:tabs>
        <w:spacing w:line="252" w:lineRule="auto" w:before="0" w:after="0"/>
        <w:ind w:left="1792" w:right="1529" w:hanging="339"/>
        <w:jc w:val="both"/>
        <w:rPr>
          <w:sz w:val="18"/>
        </w:rPr>
      </w:pPr>
      <w:r>
        <w:rPr>
          <w:w w:val="105"/>
          <w:sz w:val="18"/>
        </w:rPr>
        <w:t>Response to the Access to Cash Review (ACR) published in February 2019,</w:t>
      </w:r>
      <w:r>
        <w:rPr>
          <w:spacing w:val="-32"/>
          <w:w w:val="105"/>
          <w:sz w:val="18"/>
        </w:rPr>
        <w:t> </w:t>
      </w:r>
      <w:r>
        <w:rPr>
          <w:w w:val="105"/>
          <w:sz w:val="18"/>
        </w:rPr>
        <w:t>including the formation of the Joint Authorities Cash Strategy group (JACS), the Wholesale Distribution Steering Group (WDSG) and the Industry Steering Group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(ISG).</w:t>
      </w:r>
    </w:p>
    <w:p>
      <w:pPr>
        <w:spacing w:after="0" w:line="252" w:lineRule="auto"/>
        <w:jc w:val="both"/>
        <w:rPr>
          <w:sz w:val="18"/>
        </w:rPr>
        <w:sectPr>
          <w:type w:val="continuous"/>
          <w:pgSz w:w="12240" w:h="15840"/>
          <w:pgMar w:top="1500" w:bottom="280" w:left="860" w:right="880"/>
        </w:sectPr>
      </w:pPr>
    </w:p>
    <w:p>
      <w:pPr>
        <w:pStyle w:val="BodyText"/>
        <w:spacing w:before="76"/>
        <w:ind w:right="826"/>
        <w:jc w:val="right"/>
      </w:pPr>
      <w:r>
        <w:rPr>
          <w:w w:val="103"/>
        </w:rPr>
        <w:t>2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792" w:val="left" w:leader="none"/>
        </w:tabs>
        <w:spacing w:line="249" w:lineRule="auto" w:before="101" w:after="0"/>
        <w:ind w:left="1792" w:right="1531" w:hanging="339"/>
        <w:jc w:val="left"/>
        <w:rPr>
          <w:sz w:val="18"/>
        </w:rPr>
      </w:pPr>
      <w:r>
        <w:rPr>
          <w:w w:val="105"/>
          <w:sz w:val="18"/>
        </w:rPr>
        <w:t>The design work led by the ISG with KPMG as lead consultants to develop a more effective, resilient and sustainable end-state cash distribution model for the</w:t>
      </w:r>
      <w:r>
        <w:rPr>
          <w:spacing w:val="-33"/>
          <w:w w:val="105"/>
          <w:sz w:val="18"/>
        </w:rPr>
        <w:t> </w:t>
      </w:r>
      <w:r>
        <w:rPr>
          <w:w w:val="105"/>
          <w:sz w:val="18"/>
        </w:rPr>
        <w:t>UK.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792" w:val="left" w:leader="none"/>
        </w:tabs>
        <w:spacing w:line="249" w:lineRule="auto" w:before="0" w:after="0"/>
        <w:ind w:left="1792" w:right="1530" w:hanging="339"/>
        <w:jc w:val="left"/>
        <w:rPr>
          <w:sz w:val="18"/>
        </w:rPr>
      </w:pPr>
      <w:r>
        <w:rPr>
          <w:w w:val="105"/>
          <w:sz w:val="18"/>
        </w:rPr>
        <w:t>A review of the success criteria against which all potential end-state models will be assessed.</w:t>
      </w:r>
    </w:p>
    <w:p>
      <w:pPr>
        <w:pStyle w:val="BodyText"/>
        <w:spacing w:before="10"/>
      </w:pPr>
    </w:p>
    <w:p>
      <w:pPr>
        <w:pStyle w:val="BodyText"/>
        <w:spacing w:line="249" w:lineRule="auto" w:before="1"/>
        <w:ind w:left="1115" w:right="1528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Bank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England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attendees</w:t>
      </w:r>
      <w:r>
        <w:rPr>
          <w:spacing w:val="-6"/>
          <w:w w:val="105"/>
        </w:rPr>
        <w:t> </w:t>
      </w:r>
      <w:r>
        <w:rPr>
          <w:w w:val="105"/>
        </w:rPr>
        <w:t>reported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6"/>
          <w:w w:val="105"/>
        </w:rPr>
        <w:t> </w:t>
      </w:r>
      <w:r>
        <w:rPr>
          <w:w w:val="105"/>
        </w:rPr>
        <w:t>positive</w:t>
      </w:r>
      <w:r>
        <w:rPr>
          <w:spacing w:val="-7"/>
          <w:w w:val="105"/>
        </w:rPr>
        <w:t> </w:t>
      </w:r>
      <w:r>
        <w:rPr>
          <w:w w:val="105"/>
        </w:rPr>
        <w:t>feedback</w:t>
      </w:r>
      <w:r>
        <w:rPr>
          <w:spacing w:val="-2"/>
          <w:w w:val="105"/>
        </w:rPr>
        <w:t> </w:t>
      </w:r>
      <w:r>
        <w:rPr>
          <w:w w:val="105"/>
        </w:rPr>
        <w:t>received</w:t>
      </w:r>
      <w:r>
        <w:rPr>
          <w:spacing w:val="-4"/>
          <w:w w:val="105"/>
        </w:rPr>
        <w:t> </w:t>
      </w:r>
      <w:r>
        <w:rPr>
          <w:w w:val="105"/>
        </w:rPr>
        <w:t>from a number of participants. Members agreed to assess the value of holding another forum event in due</w:t>
      </w:r>
      <w:r>
        <w:rPr>
          <w:spacing w:val="-2"/>
          <w:w w:val="105"/>
        </w:rPr>
        <w:t> </w:t>
      </w:r>
      <w:r>
        <w:rPr>
          <w:w w:val="105"/>
        </w:rPr>
        <w:t>course.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3"/>
        </w:numPr>
        <w:tabs>
          <w:tab w:pos="1115" w:val="left" w:leader="none"/>
          <w:tab w:pos="1116" w:val="left" w:leader="none"/>
        </w:tabs>
        <w:spacing w:line="240" w:lineRule="auto" w:before="100" w:after="0"/>
        <w:ind w:left="1115" w:right="0" w:hanging="901"/>
        <w:jc w:val="left"/>
      </w:pPr>
      <w:r>
        <w:rPr>
          <w:w w:val="105"/>
        </w:rPr>
        <w:t>Project</w:t>
      </w:r>
      <w:r>
        <w:rPr>
          <w:spacing w:val="-2"/>
          <w:w w:val="105"/>
        </w:rPr>
        <w:t> </w:t>
      </w:r>
      <w:r>
        <w:rPr>
          <w:w w:val="105"/>
        </w:rPr>
        <w:t>Progress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249" w:lineRule="auto"/>
        <w:ind w:left="1115" w:right="1529"/>
        <w:jc w:val="both"/>
      </w:pPr>
      <w:r>
        <w:rPr>
          <w:w w:val="105"/>
        </w:rPr>
        <w:t>KPMG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progress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developing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5"/>
          <w:w w:val="105"/>
        </w:rPr>
        <w:t> </w:t>
      </w:r>
      <w:r>
        <w:rPr>
          <w:w w:val="105"/>
        </w:rPr>
        <w:t>cash</w:t>
      </w:r>
      <w:r>
        <w:rPr>
          <w:spacing w:val="-5"/>
          <w:w w:val="105"/>
        </w:rPr>
        <w:t> </w:t>
      </w:r>
      <w:r>
        <w:rPr>
          <w:w w:val="105"/>
        </w:rPr>
        <w:t>distribution model. This included a preliminary results of their financial and commercial modelling. The following points were</w:t>
      </w:r>
      <w:r>
        <w:rPr>
          <w:spacing w:val="-7"/>
          <w:w w:val="105"/>
        </w:rPr>
        <w:t> </w:t>
      </w:r>
      <w:r>
        <w:rPr>
          <w:w w:val="105"/>
        </w:rPr>
        <w:t>covered: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792" w:val="left" w:leader="none"/>
        </w:tabs>
        <w:spacing w:line="249" w:lineRule="auto" w:before="0" w:after="0"/>
        <w:ind w:left="1792" w:right="1582" w:hanging="339"/>
        <w:jc w:val="left"/>
        <w:rPr>
          <w:sz w:val="18"/>
        </w:rPr>
      </w:pPr>
      <w:r>
        <w:rPr>
          <w:w w:val="105"/>
          <w:sz w:val="18"/>
        </w:rPr>
        <w:t>A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successful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ISG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meeting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had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been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held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previous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week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which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had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helped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identify some gaps in the data analysis. ISG would continue to guide KPMG to refine their analysis over the coming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weeks.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792" w:val="left" w:leader="none"/>
        </w:tabs>
        <w:spacing w:line="252" w:lineRule="auto" w:before="0" w:after="0"/>
        <w:ind w:left="1792" w:right="1733" w:hanging="339"/>
        <w:jc w:val="left"/>
        <w:rPr>
          <w:sz w:val="18"/>
        </w:rPr>
      </w:pPr>
      <w:r>
        <w:rPr>
          <w:w w:val="105"/>
          <w:sz w:val="18"/>
        </w:rPr>
        <w:t>The group noted the importance of the assumptions about the overall size of the operation of any utility, and sought assurances of the appropriate geographical distribution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cash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centres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deliver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resilience.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could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also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affect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number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of retail CiT journeys (out of scope) and thus the environmental impact of cash distribution.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3"/>
        </w:numPr>
        <w:tabs>
          <w:tab w:pos="1792" w:val="left" w:leader="none"/>
        </w:tabs>
        <w:spacing w:line="252" w:lineRule="auto" w:before="0" w:after="0"/>
        <w:ind w:left="1792" w:right="1729" w:hanging="339"/>
        <w:jc w:val="left"/>
        <w:rPr>
          <w:sz w:val="18"/>
        </w:rPr>
      </w:pPr>
      <w:r>
        <w:rPr>
          <w:w w:val="105"/>
          <w:sz w:val="18"/>
        </w:rPr>
        <w:t>The group noted that it would be important to have a consensus view on the appropriate counterfactual models against which the end-state models should be assessed.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Members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agreed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their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subject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matter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expertise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support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KPMG’s analysis of relevant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counterfactuals.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3"/>
        </w:numPr>
        <w:tabs>
          <w:tab w:pos="1792" w:val="left" w:leader="none"/>
        </w:tabs>
        <w:spacing w:line="249" w:lineRule="auto" w:before="0" w:after="0"/>
        <w:ind w:left="1792" w:right="1741" w:hanging="339"/>
        <w:jc w:val="left"/>
        <w:rPr>
          <w:sz w:val="18"/>
        </w:rPr>
      </w:pPr>
      <w:r>
        <w:rPr>
          <w:w w:val="105"/>
          <w:sz w:val="18"/>
        </w:rPr>
        <w:t>The group discussed the need to make realistic assumptions regarding the time period over which consolidation could occur, noting the operational complexity of doing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so.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was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agreed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period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analysis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could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extended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would take longer 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consolidate.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792" w:val="left" w:leader="none"/>
        </w:tabs>
        <w:spacing w:line="249" w:lineRule="auto" w:before="0" w:after="0"/>
        <w:ind w:left="1792" w:right="1552" w:hanging="339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group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discussed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need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make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assumptions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efficiency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gains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possible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in a utility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model.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49" w:lineRule="auto"/>
        <w:ind w:left="1115" w:right="1431"/>
      </w:pPr>
      <w:r>
        <w:rPr>
          <w:w w:val="105"/>
        </w:rPr>
        <w:t>It was agreed KPMG should present further progress to WDSG in January 2020, acknowledging that not all of the data analysis will be complete by then.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1"/>
        <w:numPr>
          <w:ilvl w:val="0"/>
          <w:numId w:val="3"/>
        </w:numPr>
        <w:tabs>
          <w:tab w:pos="1115" w:val="left" w:leader="none"/>
          <w:tab w:pos="1116" w:val="left" w:leader="none"/>
        </w:tabs>
        <w:spacing w:line="240" w:lineRule="auto" w:before="0" w:after="0"/>
        <w:ind w:left="1115" w:right="0" w:hanging="901"/>
        <w:jc w:val="left"/>
      </w:pPr>
      <w:r>
        <w:rPr>
          <w:w w:val="105"/>
        </w:rPr>
        <w:t>Review outstanding</w:t>
      </w:r>
      <w:r>
        <w:rPr>
          <w:spacing w:val="6"/>
          <w:w w:val="105"/>
        </w:rPr>
        <w:t> </w:t>
      </w:r>
      <w:r>
        <w:rPr>
          <w:w w:val="105"/>
        </w:rPr>
        <w:t>actions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ind w:left="1115"/>
      </w:pPr>
      <w:r>
        <w:rPr>
          <w:w w:val="105"/>
        </w:rPr>
        <w:t>Actions were reviewed and closed where applicable.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numPr>
          <w:ilvl w:val="0"/>
          <w:numId w:val="3"/>
        </w:numPr>
        <w:tabs>
          <w:tab w:pos="1115" w:val="left" w:leader="none"/>
          <w:tab w:pos="1116" w:val="left" w:leader="none"/>
        </w:tabs>
        <w:spacing w:line="240" w:lineRule="auto" w:before="0" w:after="0"/>
        <w:ind w:left="1115" w:right="0" w:hanging="901"/>
        <w:jc w:val="left"/>
      </w:pPr>
      <w:r>
        <w:rPr>
          <w:w w:val="105"/>
        </w:rPr>
        <w:t>AOB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ind w:left="1115"/>
        <w:rPr>
          <w:i/>
        </w:rPr>
      </w:pPr>
      <w:r>
        <w:rPr>
          <w:w w:val="105"/>
        </w:rPr>
        <w:t>None</w:t>
      </w:r>
      <w:r>
        <w:rPr>
          <w:i/>
          <w:w w:val="105"/>
        </w:rPr>
        <w:t>.</w:t>
      </w:r>
    </w:p>
    <w:sectPr>
      <w:pgSz w:w="12240" w:h="15840"/>
      <w:pgMar w:top="460" w:bottom="280" w:left="8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."/>
      <w:lvlJc w:val="left"/>
      <w:pPr>
        <w:ind w:left="1115" w:hanging="900"/>
        <w:jc w:val="left"/>
      </w:pPr>
      <w:rPr>
        <w:rFonts w:hint="default" w:ascii="Arial" w:hAnsi="Arial" w:eastAsia="Arial" w:cs="Arial"/>
        <w:b/>
        <w:bCs/>
        <w:spacing w:val="-1"/>
        <w:w w:val="103"/>
        <w:sz w:val="18"/>
        <w:szCs w:val="18"/>
      </w:rPr>
    </w:lvl>
    <w:lvl w:ilvl="1">
      <w:start w:val="1"/>
      <w:numFmt w:val="decimal"/>
      <w:lvlText w:val="%2."/>
      <w:lvlJc w:val="left"/>
      <w:pPr>
        <w:ind w:left="1792" w:hanging="339"/>
        <w:jc w:val="left"/>
      </w:pPr>
      <w:rPr>
        <w:rFonts w:hint="default" w:ascii="Arial" w:hAnsi="Arial" w:eastAsia="Arial" w:cs="Arial"/>
        <w:spacing w:val="0"/>
        <w:w w:val="103"/>
        <w:sz w:val="18"/>
        <w:szCs w:val="18"/>
      </w:rPr>
    </w:lvl>
    <w:lvl w:ilvl="2">
      <w:start w:val="0"/>
      <w:numFmt w:val="bullet"/>
      <w:lvlText w:val="•"/>
      <w:lvlJc w:val="left"/>
      <w:pPr>
        <w:ind w:left="2766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33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00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66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3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00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66" w:hanging="33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792" w:hanging="339"/>
        <w:jc w:val="left"/>
      </w:pPr>
      <w:rPr>
        <w:rFonts w:hint="default" w:ascii="Arial" w:hAnsi="Arial" w:eastAsia="Arial" w:cs="Arial"/>
        <w:spacing w:val="0"/>
        <w:w w:val="103"/>
        <w:sz w:val="18"/>
        <w:szCs w:val="18"/>
      </w:rPr>
    </w:lvl>
    <w:lvl w:ilvl="1">
      <w:start w:val="0"/>
      <w:numFmt w:val="bullet"/>
      <w:lvlText w:val="•"/>
      <w:lvlJc w:val="left"/>
      <w:pPr>
        <w:ind w:left="2670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40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10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80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5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20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90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0" w:hanging="33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15" w:hanging="900"/>
        <w:jc w:val="left"/>
      </w:pPr>
      <w:rPr>
        <w:rFonts w:hint="default" w:ascii="Arial" w:hAnsi="Arial" w:eastAsia="Arial" w:cs="Arial"/>
        <w:b/>
        <w:bCs/>
        <w:spacing w:val="-1"/>
        <w:w w:val="103"/>
        <w:sz w:val="18"/>
        <w:szCs w:val="18"/>
      </w:rPr>
    </w:lvl>
    <w:lvl w:ilvl="1">
      <w:start w:val="0"/>
      <w:numFmt w:val="bullet"/>
      <w:lvlText w:val="-"/>
      <w:lvlJc w:val="left"/>
      <w:pPr>
        <w:ind w:left="1446" w:hanging="339"/>
      </w:pPr>
      <w:rPr>
        <w:rFonts w:hint="default" w:ascii="Arial" w:hAnsi="Arial" w:eastAsia="Arial" w:cs="Arial"/>
        <w:w w:val="103"/>
        <w:sz w:val="18"/>
        <w:szCs w:val="18"/>
      </w:rPr>
    </w:lvl>
    <w:lvl w:ilvl="2">
      <w:start w:val="0"/>
      <w:numFmt w:val="bullet"/>
      <w:lvlText w:val="•"/>
      <w:lvlJc w:val="left"/>
      <w:pPr>
        <w:ind w:left="2446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3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0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6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73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0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6" w:hanging="339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15" w:hanging="901"/>
      <w:outlineLvl w:val="1"/>
    </w:pPr>
    <w:rPr>
      <w:rFonts w:ascii="Arial" w:hAnsi="Arial" w:eastAsia="Arial" w:cs="Arial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1792" w:hanging="339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Wholesale Distribution Steering Group - December 2019</dc:subject>
  <dc:title>Wholesale Distribution Steering Group - December 2019</dc:title>
  <dcterms:created xsi:type="dcterms:W3CDTF">2020-06-01T02:21:44Z</dcterms:created>
  <dcterms:modified xsi:type="dcterms:W3CDTF">2020-06-01T02:21:44Z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2020-01-20T00:00:00Z</vt:filetime>
  </property>
  <property fmtid="{D5CDD505-2E9C-101B-9397-08002B2CF9AE}" pid="3" name="LastSaved">
    <vt:filetime>2020-06-01T00:00:00Z</vt:filetime>
  </property>
</Properties>
</file>