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24"/>
        </w:rPr>
      </w:pPr>
    </w:p>
    <w:p>
      <w:pPr>
        <w:pStyle w:val="Title"/>
      </w:pPr>
      <w:r>
        <w:rPr/>
        <w:t>Minutes</w:t>
      </w:r>
    </w:p>
    <w:p>
      <w:pPr>
        <w:spacing w:before="326"/>
        <w:ind w:left="116" w:right="0" w:firstLine="0"/>
        <w:jc w:val="left"/>
        <w:rPr>
          <w:b/>
          <w:sz w:val="22"/>
        </w:rPr>
      </w:pPr>
      <w:r>
        <w:rPr>
          <w:b/>
          <w:sz w:val="22"/>
        </w:rPr>
        <w:t>Wholesale Distribution Steering Group (WDSG)</w:t>
      </w:r>
    </w:p>
    <w:p>
      <w:pPr>
        <w:spacing w:before="45"/>
        <w:ind w:left="116" w:right="0" w:firstLine="0"/>
        <w:jc w:val="left"/>
        <w:rPr>
          <w:sz w:val="22"/>
        </w:rPr>
      </w:pPr>
      <w:r>
        <w:rPr>
          <w:sz w:val="22"/>
        </w:rPr>
        <w:t>17 February 2020</w:t>
      </w:r>
    </w:p>
    <w:p>
      <w:pPr>
        <w:pStyle w:val="BodyText"/>
        <w:spacing w:before="9"/>
      </w:pPr>
      <w:r>
        <w:rPr/>
        <w:pict>
          <v:rect style="position:absolute;margin-left:48.84pt;margin-top:12.790322pt;width:513.84pt;height:.36pt;mso-position-horizontal-relative:page;mso-position-vertical-relative:paragraph;z-index:-15728640;mso-wrap-distance-left:0;mso-wrap-distance-right:0" filled="true" fillcolor="#000000" stroked="false">
            <v:fill type="solid"/>
            <w10:wrap type="topAndBottom"/>
          </v:rect>
        </w:pict>
      </w:r>
    </w:p>
    <w:p>
      <w:pPr>
        <w:pStyle w:val="BodyText"/>
        <w:rPr>
          <w:sz w:val="7"/>
        </w:rPr>
      </w:pPr>
    </w:p>
    <w:p>
      <w:pPr>
        <w:pStyle w:val="Heading1"/>
        <w:spacing w:before="101"/>
        <w:ind w:left="116" w:firstLine="0"/>
      </w:pPr>
      <w:r>
        <w:rPr>
          <w:b w:val="0"/>
          <w:w w:val="105"/>
        </w:rPr>
        <w:t>Location: </w:t>
      </w:r>
      <w:r>
        <w:rPr>
          <w:w w:val="105"/>
        </w:rPr>
        <w:t>Bank of England, Threadneedle St, London EC2R 8AH (Room 1X)</w:t>
      </w:r>
    </w:p>
    <w:p>
      <w:pPr>
        <w:pStyle w:val="BodyText"/>
        <w:spacing w:before="5"/>
        <w:rPr>
          <w:b/>
          <w:sz w:val="22"/>
        </w:rPr>
      </w:pPr>
    </w:p>
    <w:p>
      <w:pPr>
        <w:pStyle w:val="BodyText"/>
        <w:spacing w:line="285" w:lineRule="auto"/>
        <w:ind w:left="1066" w:right="215" w:hanging="950"/>
      </w:pPr>
      <w:r>
        <w:rPr>
          <w:w w:val="105"/>
        </w:rPr>
        <w:t>Attendees: </w:t>
      </w:r>
      <w:r>
        <w:rPr>
          <w:b/>
          <w:w w:val="105"/>
        </w:rPr>
        <w:t>Bank of England</w:t>
      </w:r>
      <w:r>
        <w:rPr>
          <w:w w:val="105"/>
        </w:rPr>
        <w:t>: Sarah John (Chair), Martin Etheridge, Mark McLintock, Ronan McClintock (by phone), Kevin Finan</w:t>
      </w:r>
    </w:p>
    <w:p>
      <w:pPr>
        <w:pStyle w:val="BodyText"/>
        <w:spacing w:before="4"/>
        <w:ind w:left="1066"/>
      </w:pPr>
      <w:r>
        <w:rPr>
          <w:b/>
          <w:w w:val="105"/>
        </w:rPr>
        <w:t>UK Finance</w:t>
      </w:r>
      <w:r>
        <w:rPr>
          <w:w w:val="105"/>
        </w:rPr>
        <w:t>: Russell Saunders, Eric Leenders, Philip Mind</w:t>
      </w:r>
    </w:p>
    <w:p>
      <w:pPr>
        <w:spacing w:before="43"/>
        <w:ind w:left="1066" w:right="0" w:firstLine="0"/>
        <w:jc w:val="left"/>
        <w:rPr>
          <w:sz w:val="18"/>
        </w:rPr>
      </w:pPr>
      <w:r>
        <w:rPr>
          <w:b/>
          <w:w w:val="105"/>
          <w:sz w:val="18"/>
        </w:rPr>
        <w:t>Barclays: </w:t>
      </w:r>
      <w:r>
        <w:rPr>
          <w:w w:val="105"/>
          <w:sz w:val="18"/>
        </w:rPr>
        <w:t>Tim Allen</w:t>
      </w:r>
    </w:p>
    <w:p>
      <w:pPr>
        <w:spacing w:before="40"/>
        <w:ind w:left="1066" w:right="0" w:firstLine="0"/>
        <w:jc w:val="left"/>
        <w:rPr>
          <w:sz w:val="18"/>
        </w:rPr>
      </w:pPr>
      <w:r>
        <w:rPr>
          <w:b/>
          <w:w w:val="105"/>
          <w:sz w:val="18"/>
        </w:rPr>
        <w:t>Lloyds Banking Group: </w:t>
      </w:r>
      <w:r>
        <w:rPr>
          <w:w w:val="105"/>
          <w:sz w:val="18"/>
        </w:rPr>
        <w:t>Otto Benz</w:t>
      </w:r>
    </w:p>
    <w:p>
      <w:pPr>
        <w:spacing w:before="43"/>
        <w:ind w:left="1066" w:right="0" w:firstLine="0"/>
        <w:jc w:val="left"/>
        <w:rPr>
          <w:sz w:val="18"/>
        </w:rPr>
      </w:pPr>
      <w:r>
        <w:rPr>
          <w:b/>
          <w:w w:val="105"/>
          <w:sz w:val="18"/>
        </w:rPr>
        <w:t>HSBC</w:t>
      </w:r>
      <w:r>
        <w:rPr>
          <w:w w:val="105"/>
          <w:sz w:val="18"/>
        </w:rPr>
        <w:t>: Sue Yarham</w:t>
      </w:r>
    </w:p>
    <w:p>
      <w:pPr>
        <w:spacing w:line="290" w:lineRule="auto" w:before="40"/>
        <w:ind w:left="1067" w:right="5010" w:hanging="1"/>
        <w:jc w:val="left"/>
        <w:rPr>
          <w:sz w:val="18"/>
        </w:rPr>
      </w:pPr>
      <w:r>
        <w:rPr>
          <w:b/>
          <w:w w:val="105"/>
          <w:sz w:val="18"/>
        </w:rPr>
        <w:t>Virgin Money UK: </w:t>
      </w:r>
      <w:r>
        <w:rPr>
          <w:w w:val="105"/>
          <w:sz w:val="18"/>
        </w:rPr>
        <w:t>Dougie Belmore (by phone) </w:t>
      </w:r>
      <w:r>
        <w:rPr>
          <w:b/>
          <w:w w:val="105"/>
          <w:sz w:val="18"/>
        </w:rPr>
        <w:t>Royal Bank of Scotland: </w:t>
      </w:r>
      <w:r>
        <w:rPr>
          <w:w w:val="105"/>
          <w:sz w:val="18"/>
        </w:rPr>
        <w:t>Richard Talbot </w:t>
      </w:r>
      <w:r>
        <w:rPr>
          <w:b/>
          <w:w w:val="105"/>
          <w:sz w:val="18"/>
        </w:rPr>
        <w:t>Santander: </w:t>
      </w:r>
      <w:r>
        <w:rPr>
          <w:w w:val="105"/>
          <w:sz w:val="18"/>
        </w:rPr>
        <w:t>Robert White (by phone)</w:t>
      </w:r>
    </w:p>
    <w:p>
      <w:pPr>
        <w:spacing w:line="202" w:lineRule="exact" w:before="0"/>
        <w:ind w:left="1067" w:right="0" w:firstLine="0"/>
        <w:jc w:val="left"/>
        <w:rPr>
          <w:sz w:val="18"/>
        </w:rPr>
      </w:pPr>
      <w:r>
        <w:rPr>
          <w:b/>
          <w:w w:val="105"/>
          <w:sz w:val="18"/>
        </w:rPr>
        <w:t>Post Office: </w:t>
      </w:r>
      <w:r>
        <w:rPr>
          <w:w w:val="105"/>
          <w:sz w:val="18"/>
        </w:rPr>
        <w:t>Russell Hancock (by phone)</w:t>
      </w:r>
    </w:p>
    <w:p>
      <w:pPr>
        <w:spacing w:before="43"/>
        <w:ind w:left="1067" w:right="0" w:firstLine="0"/>
        <w:jc w:val="left"/>
        <w:rPr>
          <w:sz w:val="18"/>
        </w:rPr>
      </w:pPr>
      <w:r>
        <w:rPr>
          <w:b/>
          <w:w w:val="105"/>
          <w:sz w:val="18"/>
        </w:rPr>
        <w:t>HM Treasury: </w:t>
      </w:r>
      <w:r>
        <w:rPr>
          <w:w w:val="105"/>
          <w:sz w:val="18"/>
        </w:rPr>
        <w:t>Derek Dunne (Alternate)</w:t>
      </w:r>
    </w:p>
    <w:p>
      <w:pPr>
        <w:pStyle w:val="BodyText"/>
        <w:spacing w:before="2"/>
        <w:rPr>
          <w:sz w:val="25"/>
        </w:rPr>
      </w:pPr>
    </w:p>
    <w:p>
      <w:pPr>
        <w:pStyle w:val="BodyText"/>
        <w:ind w:left="1066"/>
      </w:pPr>
      <w:r>
        <w:rPr>
          <w:b/>
          <w:w w:val="105"/>
        </w:rPr>
        <w:t>KPMG: </w:t>
      </w:r>
      <w:r>
        <w:rPr>
          <w:w w:val="105"/>
        </w:rPr>
        <w:t>Simon Walker, Oliver Kirby-Johnson</w:t>
      </w:r>
    </w:p>
    <w:p>
      <w:pPr>
        <w:pStyle w:val="BodyText"/>
        <w:rPr>
          <w:sz w:val="20"/>
        </w:rPr>
      </w:pPr>
    </w:p>
    <w:p>
      <w:pPr>
        <w:pStyle w:val="BodyText"/>
        <w:spacing w:before="2"/>
        <w:rPr>
          <w:sz w:val="24"/>
        </w:rPr>
      </w:pPr>
    </w:p>
    <w:p>
      <w:pPr>
        <w:pStyle w:val="BodyText"/>
        <w:spacing w:line="285" w:lineRule="auto"/>
        <w:ind w:left="1014" w:hanging="898"/>
      </w:pPr>
      <w:r>
        <w:rPr>
          <w:w w:val="105"/>
        </w:rPr>
        <w:t>Apologies: Kevin McMullan (Danske Bank), Mario Pisani (HMT), John Garrett (First Trust Bank), Julie Fitzgibbon (Bank of Ireland)</w:t>
      </w:r>
    </w:p>
    <w:p>
      <w:pPr>
        <w:pStyle w:val="BodyText"/>
        <w:rPr>
          <w:sz w:val="20"/>
        </w:rPr>
      </w:pPr>
    </w:p>
    <w:p>
      <w:pPr>
        <w:pStyle w:val="BodyText"/>
        <w:rPr>
          <w:sz w:val="20"/>
        </w:rPr>
      </w:pPr>
    </w:p>
    <w:p>
      <w:pPr>
        <w:pStyle w:val="BodyText"/>
        <w:spacing w:before="3"/>
        <w:rPr>
          <w:sz w:val="19"/>
        </w:rPr>
      </w:pPr>
    </w:p>
    <w:p>
      <w:pPr>
        <w:pStyle w:val="Heading1"/>
        <w:ind w:left="215" w:firstLine="0"/>
      </w:pPr>
      <w:r>
        <w:rPr>
          <w:w w:val="105"/>
        </w:rPr>
        <w:t>Item</w:t>
      </w:r>
    </w:p>
    <w:p>
      <w:pPr>
        <w:pStyle w:val="BodyText"/>
        <w:rPr>
          <w:b/>
          <w:sz w:val="20"/>
        </w:rPr>
      </w:pPr>
    </w:p>
    <w:p>
      <w:pPr>
        <w:pStyle w:val="BodyText"/>
        <w:rPr>
          <w:b/>
          <w:sz w:val="21"/>
        </w:rPr>
      </w:pPr>
    </w:p>
    <w:p>
      <w:pPr>
        <w:pStyle w:val="ListParagraph"/>
        <w:numPr>
          <w:ilvl w:val="0"/>
          <w:numId w:val="1"/>
        </w:numPr>
        <w:tabs>
          <w:tab w:pos="1115" w:val="left" w:leader="none"/>
          <w:tab w:pos="1116" w:val="left" w:leader="none"/>
        </w:tabs>
        <w:spacing w:line="240" w:lineRule="auto" w:before="1" w:after="0"/>
        <w:ind w:left="1115" w:right="0" w:hanging="901"/>
        <w:jc w:val="left"/>
        <w:rPr>
          <w:b/>
          <w:sz w:val="18"/>
        </w:rPr>
      </w:pPr>
      <w:r>
        <w:rPr>
          <w:b/>
          <w:w w:val="105"/>
          <w:sz w:val="18"/>
        </w:rPr>
        <w:t>Standing agenda</w:t>
      </w:r>
      <w:r>
        <w:rPr>
          <w:b/>
          <w:spacing w:val="-1"/>
          <w:w w:val="105"/>
          <w:sz w:val="18"/>
        </w:rPr>
        <w:t> </w:t>
      </w:r>
      <w:r>
        <w:rPr>
          <w:b/>
          <w:w w:val="105"/>
          <w:sz w:val="18"/>
        </w:rPr>
        <w:t>items</w:t>
      </w:r>
    </w:p>
    <w:p>
      <w:pPr>
        <w:pStyle w:val="BodyText"/>
        <w:spacing w:before="8"/>
        <w:rPr>
          <w:b/>
          <w:sz w:val="19"/>
        </w:rPr>
      </w:pPr>
    </w:p>
    <w:p>
      <w:pPr>
        <w:pStyle w:val="ListParagraph"/>
        <w:numPr>
          <w:ilvl w:val="1"/>
          <w:numId w:val="1"/>
        </w:numPr>
        <w:tabs>
          <w:tab w:pos="1446" w:val="left" w:leader="none"/>
          <w:tab w:pos="1447" w:val="left" w:leader="none"/>
        </w:tabs>
        <w:spacing w:line="240" w:lineRule="auto" w:before="1" w:after="0"/>
        <w:ind w:left="1446" w:right="0" w:hanging="340"/>
        <w:jc w:val="left"/>
        <w:rPr>
          <w:b/>
          <w:sz w:val="18"/>
        </w:rPr>
      </w:pPr>
      <w:r>
        <w:rPr>
          <w:b/>
          <w:w w:val="105"/>
          <w:sz w:val="18"/>
        </w:rPr>
        <w:t>January 2020</w:t>
      </w:r>
      <w:r>
        <w:rPr>
          <w:b/>
          <w:spacing w:val="-3"/>
          <w:w w:val="105"/>
          <w:sz w:val="18"/>
        </w:rPr>
        <w:t> </w:t>
      </w:r>
      <w:r>
        <w:rPr>
          <w:b/>
          <w:w w:val="105"/>
          <w:sz w:val="18"/>
        </w:rPr>
        <w:t>minutes:</w:t>
      </w:r>
    </w:p>
    <w:p>
      <w:pPr>
        <w:pStyle w:val="BodyText"/>
        <w:spacing w:before="3"/>
        <w:rPr>
          <w:b/>
          <w:sz w:val="19"/>
        </w:rPr>
      </w:pPr>
    </w:p>
    <w:p>
      <w:pPr>
        <w:pStyle w:val="BodyText"/>
        <w:spacing w:before="1"/>
        <w:ind w:left="1115"/>
      </w:pPr>
      <w:r>
        <w:rPr>
          <w:w w:val="105"/>
        </w:rPr>
        <w:t>The group agreed the January 2020 minutes, and approved their publication.</w:t>
      </w:r>
    </w:p>
    <w:p>
      <w:pPr>
        <w:pStyle w:val="BodyText"/>
        <w:spacing w:before="8"/>
        <w:rPr>
          <w:sz w:val="19"/>
        </w:rPr>
      </w:pPr>
    </w:p>
    <w:p>
      <w:pPr>
        <w:pStyle w:val="Heading1"/>
        <w:numPr>
          <w:ilvl w:val="1"/>
          <w:numId w:val="1"/>
        </w:numPr>
        <w:tabs>
          <w:tab w:pos="1446" w:val="left" w:leader="none"/>
          <w:tab w:pos="1447" w:val="left" w:leader="none"/>
        </w:tabs>
        <w:spacing w:line="240" w:lineRule="auto" w:before="1" w:after="0"/>
        <w:ind w:left="1446" w:right="0" w:hanging="340"/>
        <w:jc w:val="left"/>
      </w:pPr>
      <w:r>
        <w:rPr>
          <w:w w:val="105"/>
        </w:rPr>
        <w:t>Sharing information on stakeholder</w:t>
      </w:r>
      <w:r>
        <w:rPr>
          <w:spacing w:val="-4"/>
          <w:w w:val="105"/>
        </w:rPr>
        <w:t> </w:t>
      </w:r>
      <w:r>
        <w:rPr>
          <w:w w:val="105"/>
        </w:rPr>
        <w:t>engagement:</w:t>
      </w:r>
    </w:p>
    <w:p>
      <w:pPr>
        <w:pStyle w:val="BodyText"/>
        <w:spacing w:before="6"/>
        <w:rPr>
          <w:b/>
          <w:sz w:val="19"/>
        </w:rPr>
      </w:pPr>
    </w:p>
    <w:p>
      <w:pPr>
        <w:pStyle w:val="BodyText"/>
        <w:ind w:left="1115"/>
      </w:pPr>
      <w:r>
        <w:rPr>
          <w:w w:val="105"/>
        </w:rPr>
        <w:t>No updates were noted.</w:t>
      </w:r>
    </w:p>
    <w:p>
      <w:pPr>
        <w:pStyle w:val="BodyText"/>
        <w:rPr>
          <w:sz w:val="20"/>
        </w:rPr>
      </w:pPr>
    </w:p>
    <w:p>
      <w:pPr>
        <w:pStyle w:val="BodyText"/>
        <w:rPr>
          <w:sz w:val="20"/>
        </w:rPr>
      </w:pPr>
    </w:p>
    <w:p>
      <w:pPr>
        <w:pStyle w:val="BodyText"/>
        <w:rPr>
          <w:sz w:val="20"/>
        </w:rPr>
      </w:pPr>
    </w:p>
    <w:p>
      <w:pPr>
        <w:pStyle w:val="BodyText"/>
        <w:spacing w:before="4"/>
        <w:rPr>
          <w:sz w:val="17"/>
        </w:rPr>
      </w:pPr>
    </w:p>
    <w:p>
      <w:pPr>
        <w:pStyle w:val="Heading1"/>
        <w:numPr>
          <w:ilvl w:val="0"/>
          <w:numId w:val="1"/>
        </w:numPr>
        <w:tabs>
          <w:tab w:pos="1115" w:val="left" w:leader="none"/>
          <w:tab w:pos="1116" w:val="left" w:leader="none"/>
        </w:tabs>
        <w:spacing w:line="240" w:lineRule="auto" w:before="1" w:after="0"/>
        <w:ind w:left="1115" w:right="0" w:hanging="901"/>
        <w:jc w:val="left"/>
      </w:pPr>
      <w:r>
        <w:rPr>
          <w:w w:val="105"/>
        </w:rPr>
        <w:t>Project</w:t>
      </w:r>
      <w:r>
        <w:rPr>
          <w:spacing w:val="-2"/>
          <w:w w:val="105"/>
        </w:rPr>
        <w:t> </w:t>
      </w:r>
      <w:r>
        <w:rPr>
          <w:w w:val="105"/>
        </w:rPr>
        <w:t>Progress</w:t>
      </w:r>
    </w:p>
    <w:p>
      <w:pPr>
        <w:pStyle w:val="BodyText"/>
        <w:spacing w:before="8"/>
        <w:rPr>
          <w:b/>
          <w:sz w:val="19"/>
        </w:rPr>
      </w:pPr>
    </w:p>
    <w:p>
      <w:pPr>
        <w:pStyle w:val="BodyText"/>
        <w:spacing w:line="249" w:lineRule="auto"/>
        <w:ind w:left="1115" w:right="1262"/>
      </w:pPr>
      <w:r>
        <w:rPr>
          <w:w w:val="105"/>
        </w:rPr>
        <w:t>KPMG provided a progress report on their work plan for developing the future cash distribution model. The following points were covered:</w:t>
      </w:r>
    </w:p>
    <w:p>
      <w:pPr>
        <w:pStyle w:val="BodyText"/>
        <w:spacing w:before="8"/>
      </w:pPr>
    </w:p>
    <w:p>
      <w:pPr>
        <w:pStyle w:val="ListParagraph"/>
        <w:numPr>
          <w:ilvl w:val="0"/>
          <w:numId w:val="2"/>
        </w:numPr>
        <w:tabs>
          <w:tab w:pos="1792" w:val="left" w:leader="none"/>
        </w:tabs>
        <w:spacing w:line="254" w:lineRule="auto" w:before="1" w:after="0"/>
        <w:ind w:left="1792" w:right="2105" w:hanging="339"/>
        <w:jc w:val="left"/>
        <w:rPr>
          <w:sz w:val="18"/>
        </w:rPr>
      </w:pPr>
      <w:r>
        <w:rPr>
          <w:w w:val="105"/>
          <w:sz w:val="18"/>
        </w:rPr>
        <w:t>The</w:t>
      </w:r>
      <w:r>
        <w:rPr>
          <w:spacing w:val="-7"/>
          <w:w w:val="105"/>
          <w:sz w:val="18"/>
        </w:rPr>
        <w:t> </w:t>
      </w:r>
      <w:r>
        <w:rPr>
          <w:w w:val="105"/>
          <w:sz w:val="18"/>
        </w:rPr>
        <w:t>sprint</w:t>
      </w:r>
      <w:r>
        <w:rPr>
          <w:spacing w:val="-4"/>
          <w:w w:val="105"/>
          <w:sz w:val="18"/>
        </w:rPr>
        <w:t> </w:t>
      </w:r>
      <w:r>
        <w:rPr>
          <w:w w:val="105"/>
          <w:sz w:val="18"/>
        </w:rPr>
        <w:t>workshops</w:t>
      </w:r>
      <w:r>
        <w:rPr>
          <w:spacing w:val="-7"/>
          <w:w w:val="105"/>
          <w:sz w:val="18"/>
        </w:rPr>
        <w:t> </w:t>
      </w:r>
      <w:r>
        <w:rPr>
          <w:w w:val="105"/>
          <w:sz w:val="18"/>
        </w:rPr>
        <w:t>conducted</w:t>
      </w:r>
      <w:r>
        <w:rPr>
          <w:spacing w:val="-4"/>
          <w:w w:val="105"/>
          <w:sz w:val="18"/>
        </w:rPr>
        <w:t> </w:t>
      </w:r>
      <w:r>
        <w:rPr>
          <w:w w:val="105"/>
          <w:sz w:val="18"/>
        </w:rPr>
        <w:t>in</w:t>
      </w:r>
      <w:r>
        <w:rPr>
          <w:spacing w:val="-7"/>
          <w:w w:val="105"/>
          <w:sz w:val="18"/>
        </w:rPr>
        <w:t> </w:t>
      </w:r>
      <w:r>
        <w:rPr>
          <w:w w:val="105"/>
          <w:sz w:val="18"/>
        </w:rPr>
        <w:t>February</w:t>
      </w:r>
      <w:r>
        <w:rPr>
          <w:spacing w:val="-10"/>
          <w:w w:val="105"/>
          <w:sz w:val="18"/>
        </w:rPr>
        <w:t> </w:t>
      </w:r>
      <w:r>
        <w:rPr>
          <w:w w:val="105"/>
          <w:sz w:val="18"/>
        </w:rPr>
        <w:t>were</w:t>
      </w:r>
      <w:r>
        <w:rPr>
          <w:spacing w:val="-8"/>
          <w:w w:val="105"/>
          <w:sz w:val="18"/>
        </w:rPr>
        <w:t> </w:t>
      </w:r>
      <w:r>
        <w:rPr>
          <w:w w:val="105"/>
          <w:sz w:val="18"/>
        </w:rPr>
        <w:t>useful</w:t>
      </w:r>
      <w:r>
        <w:rPr>
          <w:spacing w:val="-6"/>
          <w:w w:val="105"/>
          <w:sz w:val="18"/>
        </w:rPr>
        <w:t> </w:t>
      </w:r>
      <w:r>
        <w:rPr>
          <w:w w:val="105"/>
          <w:sz w:val="18"/>
        </w:rPr>
        <w:t>in</w:t>
      </w:r>
      <w:r>
        <w:rPr>
          <w:spacing w:val="-5"/>
          <w:w w:val="105"/>
          <w:sz w:val="18"/>
        </w:rPr>
        <w:t> </w:t>
      </w:r>
      <w:r>
        <w:rPr>
          <w:w w:val="105"/>
          <w:sz w:val="18"/>
        </w:rPr>
        <w:t>confirming</w:t>
      </w:r>
      <w:r>
        <w:rPr>
          <w:spacing w:val="-5"/>
          <w:w w:val="105"/>
          <w:sz w:val="18"/>
        </w:rPr>
        <w:t> </w:t>
      </w:r>
      <w:r>
        <w:rPr>
          <w:w w:val="105"/>
          <w:sz w:val="18"/>
        </w:rPr>
        <w:t>potential operational details of a utility model,</w:t>
      </w:r>
      <w:r>
        <w:rPr>
          <w:spacing w:val="-8"/>
          <w:w w:val="105"/>
          <w:sz w:val="18"/>
        </w:rPr>
        <w:t> </w:t>
      </w:r>
      <w:r>
        <w:rPr>
          <w:w w:val="105"/>
          <w:sz w:val="18"/>
        </w:rPr>
        <w:t>including:</w:t>
      </w:r>
    </w:p>
    <w:p>
      <w:pPr>
        <w:pStyle w:val="ListParagraph"/>
        <w:numPr>
          <w:ilvl w:val="1"/>
          <w:numId w:val="2"/>
        </w:numPr>
        <w:tabs>
          <w:tab w:pos="2469" w:val="left" w:leader="none"/>
        </w:tabs>
        <w:spacing w:line="203" w:lineRule="exact" w:before="0" w:after="0"/>
        <w:ind w:left="2468" w:right="0" w:hanging="339"/>
        <w:jc w:val="left"/>
        <w:rPr>
          <w:sz w:val="18"/>
        </w:rPr>
      </w:pPr>
      <w:r>
        <w:rPr>
          <w:w w:val="105"/>
          <w:sz w:val="18"/>
        </w:rPr>
        <w:t>Any direct relationship that a utility operator might have with</w:t>
      </w:r>
      <w:r>
        <w:rPr>
          <w:spacing w:val="-24"/>
          <w:w w:val="105"/>
          <w:sz w:val="18"/>
        </w:rPr>
        <w:t> </w:t>
      </w:r>
      <w:r>
        <w:rPr>
          <w:w w:val="105"/>
          <w:sz w:val="18"/>
        </w:rPr>
        <w:t>businesses;</w:t>
      </w:r>
    </w:p>
    <w:p>
      <w:pPr>
        <w:spacing w:after="0" w:line="203" w:lineRule="exact"/>
        <w:jc w:val="left"/>
        <w:rPr>
          <w:sz w:val="18"/>
        </w:rPr>
        <w:sectPr>
          <w:type w:val="continuous"/>
          <w:pgSz w:w="12240" w:h="15840"/>
          <w:pgMar w:top="1500" w:bottom="280" w:left="860" w:right="880"/>
        </w:sectPr>
      </w:pPr>
    </w:p>
    <w:p>
      <w:pPr>
        <w:pStyle w:val="BodyText"/>
        <w:spacing w:before="76"/>
        <w:ind w:right="826"/>
        <w:jc w:val="right"/>
      </w:pPr>
      <w:r>
        <w:rPr>
          <w:w w:val="103"/>
        </w:rPr>
        <w:t>2</w:t>
      </w:r>
    </w:p>
    <w:p>
      <w:pPr>
        <w:pStyle w:val="BodyText"/>
        <w:spacing w:before="7"/>
        <w:rPr>
          <w:sz w:val="19"/>
        </w:rPr>
      </w:pPr>
    </w:p>
    <w:p>
      <w:pPr>
        <w:pStyle w:val="ListParagraph"/>
        <w:numPr>
          <w:ilvl w:val="1"/>
          <w:numId w:val="2"/>
        </w:numPr>
        <w:tabs>
          <w:tab w:pos="2469" w:val="left" w:leader="none"/>
        </w:tabs>
        <w:spacing w:line="240" w:lineRule="auto" w:before="101" w:after="0"/>
        <w:ind w:left="2468" w:right="0" w:hanging="339"/>
        <w:jc w:val="left"/>
        <w:rPr>
          <w:sz w:val="18"/>
        </w:rPr>
      </w:pPr>
      <w:r>
        <w:rPr>
          <w:w w:val="105"/>
          <w:sz w:val="18"/>
        </w:rPr>
        <w:t>The implications of common operating standards across a utility</w:t>
      </w:r>
      <w:r>
        <w:rPr>
          <w:spacing w:val="-18"/>
          <w:w w:val="105"/>
          <w:sz w:val="18"/>
        </w:rPr>
        <w:t> </w:t>
      </w:r>
      <w:r>
        <w:rPr>
          <w:w w:val="105"/>
          <w:sz w:val="18"/>
        </w:rPr>
        <w:t>operator</w:t>
      </w:r>
    </w:p>
    <w:p>
      <w:pPr>
        <w:pStyle w:val="ListParagraph"/>
        <w:numPr>
          <w:ilvl w:val="1"/>
          <w:numId w:val="2"/>
        </w:numPr>
        <w:tabs>
          <w:tab w:pos="2469" w:val="left" w:leader="none"/>
        </w:tabs>
        <w:spacing w:line="504" w:lineRule="auto" w:before="9" w:after="0"/>
        <w:ind w:left="1115" w:right="1690" w:firstLine="1015"/>
        <w:jc w:val="left"/>
        <w:rPr>
          <w:sz w:val="18"/>
        </w:rPr>
      </w:pPr>
      <w:r>
        <w:rPr>
          <w:w w:val="105"/>
          <w:sz w:val="18"/>
        </w:rPr>
        <w:t>The</w:t>
      </w:r>
      <w:r>
        <w:rPr>
          <w:spacing w:val="-7"/>
          <w:w w:val="105"/>
          <w:sz w:val="18"/>
        </w:rPr>
        <w:t> </w:t>
      </w:r>
      <w:r>
        <w:rPr>
          <w:w w:val="105"/>
          <w:sz w:val="18"/>
        </w:rPr>
        <w:t>interaction</w:t>
      </w:r>
      <w:r>
        <w:rPr>
          <w:spacing w:val="-5"/>
          <w:w w:val="105"/>
          <w:sz w:val="18"/>
        </w:rPr>
        <w:t> </w:t>
      </w:r>
      <w:r>
        <w:rPr>
          <w:w w:val="105"/>
          <w:sz w:val="18"/>
        </w:rPr>
        <w:t>between</w:t>
      </w:r>
      <w:r>
        <w:rPr>
          <w:spacing w:val="-5"/>
          <w:w w:val="105"/>
          <w:sz w:val="18"/>
        </w:rPr>
        <w:t> </w:t>
      </w:r>
      <w:r>
        <w:rPr>
          <w:w w:val="105"/>
          <w:sz w:val="18"/>
        </w:rPr>
        <w:t>a</w:t>
      </w:r>
      <w:r>
        <w:rPr>
          <w:spacing w:val="-7"/>
          <w:w w:val="105"/>
          <w:sz w:val="18"/>
        </w:rPr>
        <w:t> </w:t>
      </w:r>
      <w:r>
        <w:rPr>
          <w:w w:val="105"/>
          <w:sz w:val="18"/>
        </w:rPr>
        <w:t>utility</w:t>
      </w:r>
      <w:r>
        <w:rPr>
          <w:spacing w:val="-8"/>
          <w:w w:val="105"/>
          <w:sz w:val="18"/>
        </w:rPr>
        <w:t> </w:t>
      </w:r>
      <w:r>
        <w:rPr>
          <w:w w:val="105"/>
          <w:sz w:val="18"/>
        </w:rPr>
        <w:t>operator</w:t>
      </w:r>
      <w:r>
        <w:rPr>
          <w:spacing w:val="-4"/>
          <w:w w:val="105"/>
          <w:sz w:val="18"/>
        </w:rPr>
        <w:t> </w:t>
      </w:r>
      <w:r>
        <w:rPr>
          <w:w w:val="105"/>
          <w:sz w:val="18"/>
        </w:rPr>
        <w:t>and</w:t>
      </w:r>
      <w:r>
        <w:rPr>
          <w:spacing w:val="-8"/>
          <w:w w:val="105"/>
          <w:sz w:val="18"/>
        </w:rPr>
        <w:t> </w:t>
      </w:r>
      <w:r>
        <w:rPr>
          <w:w w:val="105"/>
          <w:sz w:val="18"/>
        </w:rPr>
        <w:t>Cash</w:t>
      </w:r>
      <w:r>
        <w:rPr>
          <w:spacing w:val="-4"/>
          <w:w w:val="105"/>
          <w:sz w:val="18"/>
        </w:rPr>
        <w:t> </w:t>
      </w:r>
      <w:r>
        <w:rPr>
          <w:w w:val="105"/>
          <w:sz w:val="18"/>
        </w:rPr>
        <w:t>in</w:t>
      </w:r>
      <w:r>
        <w:rPr>
          <w:spacing w:val="-4"/>
          <w:w w:val="105"/>
          <w:sz w:val="18"/>
        </w:rPr>
        <w:t> </w:t>
      </w:r>
      <w:r>
        <w:rPr>
          <w:w w:val="105"/>
          <w:sz w:val="18"/>
        </w:rPr>
        <w:t>Transit</w:t>
      </w:r>
      <w:r>
        <w:rPr>
          <w:spacing w:val="-7"/>
          <w:w w:val="105"/>
          <w:sz w:val="18"/>
        </w:rPr>
        <w:t> </w:t>
      </w:r>
      <w:r>
        <w:rPr>
          <w:w w:val="105"/>
          <w:sz w:val="18"/>
        </w:rPr>
        <w:t>arrangements; KPMG will be delivering their final report to ISG </w:t>
      </w:r>
      <w:r>
        <w:rPr>
          <w:spacing w:val="3"/>
          <w:w w:val="105"/>
          <w:sz w:val="18"/>
        </w:rPr>
        <w:t>by</w:t>
      </w:r>
      <w:r>
        <w:rPr>
          <w:spacing w:val="-20"/>
          <w:w w:val="105"/>
          <w:sz w:val="18"/>
        </w:rPr>
        <w:t> </w:t>
      </w:r>
      <w:r>
        <w:rPr>
          <w:w w:val="105"/>
          <w:sz w:val="18"/>
        </w:rPr>
        <w:t>end-March.</w:t>
      </w:r>
    </w:p>
    <w:p>
      <w:pPr>
        <w:pStyle w:val="Heading1"/>
        <w:numPr>
          <w:ilvl w:val="0"/>
          <w:numId w:val="1"/>
        </w:numPr>
        <w:tabs>
          <w:tab w:pos="1115" w:val="left" w:leader="none"/>
          <w:tab w:pos="1116" w:val="left" w:leader="none"/>
        </w:tabs>
        <w:spacing w:line="202" w:lineRule="exact" w:before="0" w:after="0"/>
        <w:ind w:left="1115" w:right="0" w:hanging="901"/>
        <w:jc w:val="left"/>
      </w:pPr>
      <w:r>
        <w:rPr>
          <w:w w:val="105"/>
        </w:rPr>
        <w:t>Criteria for ending Current</w:t>
      </w:r>
      <w:r>
        <w:rPr>
          <w:spacing w:val="-7"/>
          <w:w w:val="105"/>
        </w:rPr>
        <w:t> </w:t>
      </w:r>
      <w:r>
        <w:rPr>
          <w:w w:val="105"/>
        </w:rPr>
        <w:t>Phase</w:t>
      </w:r>
    </w:p>
    <w:p>
      <w:pPr>
        <w:pStyle w:val="BodyText"/>
        <w:spacing w:before="8"/>
        <w:rPr>
          <w:b/>
          <w:sz w:val="19"/>
        </w:rPr>
      </w:pPr>
    </w:p>
    <w:p>
      <w:pPr>
        <w:pStyle w:val="BodyText"/>
        <w:spacing w:line="249" w:lineRule="auto" w:before="1"/>
        <w:ind w:left="1115" w:right="1262"/>
      </w:pPr>
      <w:r>
        <w:rPr>
          <w:w w:val="105"/>
        </w:rPr>
        <w:t>The group discussed the need to plan for the next phase of detailed work after public consultation. Members noted:</w:t>
      </w:r>
    </w:p>
    <w:p>
      <w:pPr>
        <w:pStyle w:val="BodyText"/>
        <w:spacing w:before="1"/>
        <w:rPr>
          <w:sz w:val="19"/>
        </w:rPr>
      </w:pPr>
    </w:p>
    <w:p>
      <w:pPr>
        <w:pStyle w:val="ListParagraph"/>
        <w:numPr>
          <w:ilvl w:val="1"/>
          <w:numId w:val="1"/>
        </w:numPr>
        <w:tabs>
          <w:tab w:pos="1791" w:val="left" w:leader="none"/>
          <w:tab w:pos="1792" w:val="left" w:leader="none"/>
        </w:tabs>
        <w:spacing w:line="247" w:lineRule="auto" w:before="0" w:after="0"/>
        <w:ind w:left="1792" w:right="1736" w:hanging="339"/>
        <w:jc w:val="left"/>
        <w:rPr>
          <w:sz w:val="18"/>
        </w:rPr>
      </w:pPr>
      <w:r>
        <w:rPr>
          <w:w w:val="105"/>
          <w:sz w:val="18"/>
        </w:rPr>
        <w:t>That</w:t>
      </w:r>
      <w:r>
        <w:rPr>
          <w:spacing w:val="-7"/>
          <w:w w:val="105"/>
          <w:sz w:val="18"/>
        </w:rPr>
        <w:t> </w:t>
      </w:r>
      <w:r>
        <w:rPr>
          <w:w w:val="105"/>
          <w:sz w:val="18"/>
        </w:rPr>
        <w:t>agreement</w:t>
      </w:r>
      <w:r>
        <w:rPr>
          <w:spacing w:val="-2"/>
          <w:w w:val="105"/>
          <w:sz w:val="18"/>
        </w:rPr>
        <w:t> </w:t>
      </w:r>
      <w:r>
        <w:rPr>
          <w:w w:val="105"/>
          <w:sz w:val="18"/>
        </w:rPr>
        <w:t>to</w:t>
      </w:r>
      <w:r>
        <w:rPr>
          <w:spacing w:val="-4"/>
          <w:w w:val="105"/>
          <w:sz w:val="18"/>
        </w:rPr>
        <w:t> </w:t>
      </w:r>
      <w:r>
        <w:rPr>
          <w:w w:val="105"/>
          <w:sz w:val="18"/>
        </w:rPr>
        <w:t>progress</w:t>
      </w:r>
      <w:r>
        <w:rPr>
          <w:spacing w:val="-7"/>
          <w:w w:val="105"/>
          <w:sz w:val="18"/>
        </w:rPr>
        <w:t> </w:t>
      </w:r>
      <w:r>
        <w:rPr>
          <w:w w:val="105"/>
          <w:sz w:val="18"/>
        </w:rPr>
        <w:t>to</w:t>
      </w:r>
      <w:r>
        <w:rPr>
          <w:spacing w:val="-4"/>
          <w:w w:val="105"/>
          <w:sz w:val="18"/>
        </w:rPr>
        <w:t> </w:t>
      </w:r>
      <w:r>
        <w:rPr>
          <w:w w:val="105"/>
          <w:sz w:val="18"/>
        </w:rPr>
        <w:t>the</w:t>
      </w:r>
      <w:r>
        <w:rPr>
          <w:spacing w:val="-8"/>
          <w:w w:val="105"/>
          <w:sz w:val="18"/>
        </w:rPr>
        <w:t> </w:t>
      </w:r>
      <w:r>
        <w:rPr>
          <w:w w:val="105"/>
          <w:sz w:val="18"/>
        </w:rPr>
        <w:t>next</w:t>
      </w:r>
      <w:r>
        <w:rPr>
          <w:spacing w:val="-4"/>
          <w:w w:val="105"/>
          <w:sz w:val="18"/>
        </w:rPr>
        <w:t> </w:t>
      </w:r>
      <w:r>
        <w:rPr>
          <w:w w:val="105"/>
          <w:sz w:val="18"/>
        </w:rPr>
        <w:t>phase</w:t>
      </w:r>
      <w:r>
        <w:rPr>
          <w:spacing w:val="-7"/>
          <w:w w:val="105"/>
          <w:sz w:val="18"/>
        </w:rPr>
        <w:t> </w:t>
      </w:r>
      <w:r>
        <w:rPr>
          <w:w w:val="105"/>
          <w:sz w:val="18"/>
        </w:rPr>
        <w:t>would</w:t>
      </w:r>
      <w:r>
        <w:rPr>
          <w:spacing w:val="-5"/>
          <w:w w:val="105"/>
          <w:sz w:val="18"/>
        </w:rPr>
        <w:t> </w:t>
      </w:r>
      <w:r>
        <w:rPr>
          <w:w w:val="105"/>
          <w:sz w:val="18"/>
        </w:rPr>
        <w:t>not</w:t>
      </w:r>
      <w:r>
        <w:rPr>
          <w:spacing w:val="-4"/>
          <w:w w:val="105"/>
          <w:sz w:val="18"/>
        </w:rPr>
        <w:t> </w:t>
      </w:r>
      <w:r>
        <w:rPr>
          <w:w w:val="105"/>
          <w:sz w:val="18"/>
        </w:rPr>
        <w:t>constitute</w:t>
      </w:r>
      <w:r>
        <w:rPr>
          <w:spacing w:val="-4"/>
          <w:w w:val="105"/>
          <w:sz w:val="18"/>
        </w:rPr>
        <w:t> </w:t>
      </w:r>
      <w:r>
        <w:rPr>
          <w:w w:val="105"/>
          <w:sz w:val="18"/>
        </w:rPr>
        <w:t>a</w:t>
      </w:r>
      <w:r>
        <w:rPr>
          <w:spacing w:val="-4"/>
          <w:w w:val="105"/>
          <w:sz w:val="18"/>
        </w:rPr>
        <w:t> </w:t>
      </w:r>
      <w:r>
        <w:rPr>
          <w:w w:val="105"/>
          <w:sz w:val="18"/>
        </w:rPr>
        <w:t>commitment</w:t>
      </w:r>
      <w:r>
        <w:rPr>
          <w:spacing w:val="-4"/>
          <w:w w:val="105"/>
          <w:sz w:val="18"/>
        </w:rPr>
        <w:t> </w:t>
      </w:r>
      <w:r>
        <w:rPr>
          <w:w w:val="105"/>
          <w:sz w:val="18"/>
        </w:rPr>
        <w:t>to move a new wholesale distribution</w:t>
      </w:r>
      <w:r>
        <w:rPr>
          <w:spacing w:val="-3"/>
          <w:w w:val="105"/>
          <w:sz w:val="18"/>
        </w:rPr>
        <w:t> </w:t>
      </w:r>
      <w:r>
        <w:rPr>
          <w:w w:val="105"/>
          <w:sz w:val="18"/>
        </w:rPr>
        <w:t>model;</w:t>
      </w:r>
    </w:p>
    <w:p>
      <w:pPr>
        <w:pStyle w:val="BodyText"/>
        <w:spacing w:before="1"/>
        <w:rPr>
          <w:sz w:val="19"/>
        </w:rPr>
      </w:pPr>
    </w:p>
    <w:p>
      <w:pPr>
        <w:pStyle w:val="ListParagraph"/>
        <w:numPr>
          <w:ilvl w:val="1"/>
          <w:numId w:val="1"/>
        </w:numPr>
        <w:tabs>
          <w:tab w:pos="1791" w:val="left" w:leader="none"/>
          <w:tab w:pos="1792" w:val="left" w:leader="none"/>
        </w:tabs>
        <w:spacing w:line="254" w:lineRule="auto" w:before="0" w:after="0"/>
        <w:ind w:left="1792" w:right="1949" w:hanging="339"/>
        <w:jc w:val="left"/>
        <w:rPr>
          <w:sz w:val="18"/>
        </w:rPr>
      </w:pPr>
      <w:r>
        <w:rPr>
          <w:w w:val="105"/>
          <w:sz w:val="18"/>
        </w:rPr>
        <w:t>That</w:t>
      </w:r>
      <w:r>
        <w:rPr>
          <w:spacing w:val="-8"/>
          <w:w w:val="105"/>
          <w:sz w:val="18"/>
        </w:rPr>
        <w:t> </w:t>
      </w:r>
      <w:r>
        <w:rPr>
          <w:w w:val="105"/>
          <w:sz w:val="18"/>
        </w:rPr>
        <w:t>appropriate</w:t>
      </w:r>
      <w:r>
        <w:rPr>
          <w:spacing w:val="-8"/>
          <w:w w:val="105"/>
          <w:sz w:val="18"/>
        </w:rPr>
        <w:t> </w:t>
      </w:r>
      <w:r>
        <w:rPr>
          <w:w w:val="105"/>
          <w:sz w:val="18"/>
        </w:rPr>
        <w:t>governance</w:t>
      </w:r>
      <w:r>
        <w:rPr>
          <w:spacing w:val="-5"/>
          <w:w w:val="105"/>
          <w:sz w:val="18"/>
        </w:rPr>
        <w:t> </w:t>
      </w:r>
      <w:r>
        <w:rPr>
          <w:w w:val="105"/>
          <w:sz w:val="18"/>
        </w:rPr>
        <w:t>arrangements</w:t>
      </w:r>
      <w:r>
        <w:rPr>
          <w:spacing w:val="-7"/>
          <w:w w:val="105"/>
          <w:sz w:val="18"/>
        </w:rPr>
        <w:t> </w:t>
      </w:r>
      <w:r>
        <w:rPr>
          <w:w w:val="105"/>
          <w:sz w:val="18"/>
        </w:rPr>
        <w:t>would</w:t>
      </w:r>
      <w:r>
        <w:rPr>
          <w:spacing w:val="-6"/>
          <w:w w:val="105"/>
          <w:sz w:val="18"/>
        </w:rPr>
        <w:t> </w:t>
      </w:r>
      <w:r>
        <w:rPr>
          <w:w w:val="105"/>
          <w:sz w:val="18"/>
        </w:rPr>
        <w:t>be</w:t>
      </w:r>
      <w:r>
        <w:rPr>
          <w:spacing w:val="-4"/>
          <w:w w:val="105"/>
          <w:sz w:val="18"/>
        </w:rPr>
        <w:t> </w:t>
      </w:r>
      <w:r>
        <w:rPr>
          <w:w w:val="105"/>
          <w:sz w:val="18"/>
        </w:rPr>
        <w:t>needed</w:t>
      </w:r>
      <w:r>
        <w:rPr>
          <w:spacing w:val="-9"/>
          <w:w w:val="105"/>
          <w:sz w:val="18"/>
        </w:rPr>
        <w:t> </w:t>
      </w:r>
      <w:r>
        <w:rPr>
          <w:w w:val="105"/>
          <w:sz w:val="18"/>
        </w:rPr>
        <w:t>to</w:t>
      </w:r>
      <w:r>
        <w:rPr>
          <w:spacing w:val="-9"/>
          <w:w w:val="105"/>
          <w:sz w:val="18"/>
        </w:rPr>
        <w:t> </w:t>
      </w:r>
      <w:r>
        <w:rPr>
          <w:w w:val="105"/>
          <w:sz w:val="18"/>
        </w:rPr>
        <w:t>oversee</w:t>
      </w:r>
      <w:r>
        <w:rPr>
          <w:spacing w:val="-5"/>
          <w:w w:val="105"/>
          <w:sz w:val="18"/>
        </w:rPr>
        <w:t> </w:t>
      </w:r>
      <w:r>
        <w:rPr>
          <w:w w:val="105"/>
          <w:sz w:val="18"/>
        </w:rPr>
        <w:t>the</w:t>
      </w:r>
      <w:r>
        <w:rPr>
          <w:spacing w:val="-5"/>
          <w:w w:val="105"/>
          <w:sz w:val="18"/>
        </w:rPr>
        <w:t> </w:t>
      </w:r>
      <w:r>
        <w:rPr>
          <w:w w:val="105"/>
          <w:sz w:val="18"/>
        </w:rPr>
        <w:t>next phase;</w:t>
      </w:r>
    </w:p>
    <w:p>
      <w:pPr>
        <w:pStyle w:val="BodyText"/>
        <w:spacing w:before="4"/>
      </w:pPr>
    </w:p>
    <w:p>
      <w:pPr>
        <w:pStyle w:val="ListParagraph"/>
        <w:numPr>
          <w:ilvl w:val="1"/>
          <w:numId w:val="1"/>
        </w:numPr>
        <w:tabs>
          <w:tab w:pos="1791" w:val="left" w:leader="none"/>
          <w:tab w:pos="1792" w:val="left" w:leader="none"/>
        </w:tabs>
        <w:spacing w:line="247" w:lineRule="auto" w:before="0" w:after="0"/>
        <w:ind w:left="1792" w:right="1555" w:hanging="339"/>
        <w:jc w:val="left"/>
        <w:rPr>
          <w:sz w:val="18"/>
        </w:rPr>
      </w:pPr>
      <w:r>
        <w:rPr>
          <w:w w:val="105"/>
          <w:sz w:val="18"/>
        </w:rPr>
        <w:t>That</w:t>
      </w:r>
      <w:r>
        <w:rPr>
          <w:spacing w:val="-7"/>
          <w:w w:val="105"/>
          <w:sz w:val="18"/>
        </w:rPr>
        <w:t> </w:t>
      </w:r>
      <w:r>
        <w:rPr>
          <w:w w:val="105"/>
          <w:sz w:val="18"/>
        </w:rPr>
        <w:t>it</w:t>
      </w:r>
      <w:r>
        <w:rPr>
          <w:spacing w:val="-5"/>
          <w:w w:val="105"/>
          <w:sz w:val="18"/>
        </w:rPr>
        <w:t> </w:t>
      </w:r>
      <w:r>
        <w:rPr>
          <w:w w:val="105"/>
          <w:sz w:val="18"/>
        </w:rPr>
        <w:t>would</w:t>
      </w:r>
      <w:r>
        <w:rPr>
          <w:spacing w:val="-3"/>
          <w:w w:val="105"/>
          <w:sz w:val="18"/>
        </w:rPr>
        <w:t> </w:t>
      </w:r>
      <w:r>
        <w:rPr>
          <w:w w:val="105"/>
          <w:sz w:val="18"/>
        </w:rPr>
        <w:t>be</w:t>
      </w:r>
      <w:r>
        <w:rPr>
          <w:spacing w:val="-3"/>
          <w:w w:val="105"/>
          <w:sz w:val="18"/>
        </w:rPr>
        <w:t> </w:t>
      </w:r>
      <w:r>
        <w:rPr>
          <w:w w:val="105"/>
          <w:sz w:val="18"/>
        </w:rPr>
        <w:t>important</w:t>
      </w:r>
      <w:r>
        <w:rPr>
          <w:spacing w:val="-7"/>
          <w:w w:val="105"/>
          <w:sz w:val="18"/>
        </w:rPr>
        <w:t> </w:t>
      </w:r>
      <w:r>
        <w:rPr>
          <w:w w:val="105"/>
          <w:sz w:val="18"/>
        </w:rPr>
        <w:t>to</w:t>
      </w:r>
      <w:r>
        <w:rPr>
          <w:spacing w:val="-7"/>
          <w:w w:val="105"/>
          <w:sz w:val="18"/>
        </w:rPr>
        <w:t> </w:t>
      </w:r>
      <w:r>
        <w:rPr>
          <w:w w:val="105"/>
          <w:sz w:val="18"/>
        </w:rPr>
        <w:t>reflect</w:t>
      </w:r>
      <w:r>
        <w:rPr>
          <w:spacing w:val="-4"/>
          <w:w w:val="105"/>
          <w:sz w:val="18"/>
        </w:rPr>
        <w:t> </w:t>
      </w:r>
      <w:r>
        <w:rPr>
          <w:w w:val="105"/>
          <w:sz w:val="18"/>
        </w:rPr>
        <w:t>on</w:t>
      </w:r>
      <w:r>
        <w:rPr>
          <w:spacing w:val="-7"/>
          <w:w w:val="105"/>
          <w:sz w:val="18"/>
        </w:rPr>
        <w:t> </w:t>
      </w:r>
      <w:r>
        <w:rPr>
          <w:w w:val="105"/>
          <w:sz w:val="18"/>
        </w:rPr>
        <w:t>responses</w:t>
      </w:r>
      <w:r>
        <w:rPr>
          <w:spacing w:val="-5"/>
          <w:w w:val="105"/>
          <w:sz w:val="18"/>
        </w:rPr>
        <w:t> </w:t>
      </w:r>
      <w:r>
        <w:rPr>
          <w:w w:val="105"/>
          <w:sz w:val="18"/>
        </w:rPr>
        <w:t>to</w:t>
      </w:r>
      <w:r>
        <w:rPr>
          <w:spacing w:val="-4"/>
          <w:w w:val="105"/>
          <w:sz w:val="18"/>
        </w:rPr>
        <w:t> </w:t>
      </w:r>
      <w:r>
        <w:rPr>
          <w:w w:val="105"/>
          <w:sz w:val="18"/>
        </w:rPr>
        <w:t>the</w:t>
      </w:r>
      <w:r>
        <w:rPr>
          <w:spacing w:val="-4"/>
          <w:w w:val="105"/>
          <w:sz w:val="18"/>
        </w:rPr>
        <w:t> </w:t>
      </w:r>
      <w:r>
        <w:rPr>
          <w:w w:val="105"/>
          <w:sz w:val="18"/>
        </w:rPr>
        <w:t>public</w:t>
      </w:r>
      <w:r>
        <w:rPr>
          <w:spacing w:val="-6"/>
          <w:w w:val="105"/>
          <w:sz w:val="18"/>
        </w:rPr>
        <w:t> </w:t>
      </w:r>
      <w:r>
        <w:rPr>
          <w:w w:val="105"/>
          <w:sz w:val="18"/>
        </w:rPr>
        <w:t>consultation</w:t>
      </w:r>
      <w:r>
        <w:rPr>
          <w:spacing w:val="-3"/>
          <w:w w:val="105"/>
          <w:sz w:val="18"/>
        </w:rPr>
        <w:t> </w:t>
      </w:r>
      <w:r>
        <w:rPr>
          <w:w w:val="105"/>
          <w:sz w:val="18"/>
        </w:rPr>
        <w:t>in</w:t>
      </w:r>
      <w:r>
        <w:rPr>
          <w:spacing w:val="-2"/>
          <w:w w:val="105"/>
          <w:sz w:val="18"/>
        </w:rPr>
        <w:t> </w:t>
      </w:r>
      <w:r>
        <w:rPr>
          <w:w w:val="105"/>
          <w:sz w:val="18"/>
        </w:rPr>
        <w:t>the</w:t>
      </w:r>
      <w:r>
        <w:rPr>
          <w:spacing w:val="-7"/>
          <w:w w:val="105"/>
          <w:sz w:val="18"/>
        </w:rPr>
        <w:t> </w:t>
      </w:r>
      <w:r>
        <w:rPr>
          <w:w w:val="105"/>
          <w:sz w:val="18"/>
        </w:rPr>
        <w:t>next phase.</w:t>
      </w:r>
    </w:p>
    <w:p>
      <w:pPr>
        <w:pStyle w:val="BodyText"/>
        <w:spacing w:before="3"/>
        <w:rPr>
          <w:sz w:val="19"/>
        </w:rPr>
      </w:pPr>
    </w:p>
    <w:p>
      <w:pPr>
        <w:pStyle w:val="BodyText"/>
        <w:spacing w:before="1"/>
        <w:ind w:left="1115"/>
      </w:pPr>
      <w:r>
        <w:rPr>
          <w:w w:val="105"/>
        </w:rPr>
        <w:t>Members were content that detailed plans be made for the next phase of work.</w:t>
      </w:r>
    </w:p>
    <w:p>
      <w:pPr>
        <w:pStyle w:val="BodyText"/>
        <w:rPr>
          <w:sz w:val="20"/>
        </w:rPr>
      </w:pPr>
    </w:p>
    <w:p>
      <w:pPr>
        <w:pStyle w:val="BodyText"/>
        <w:rPr>
          <w:sz w:val="20"/>
        </w:rPr>
      </w:pPr>
    </w:p>
    <w:p>
      <w:pPr>
        <w:pStyle w:val="BodyText"/>
        <w:spacing w:before="1"/>
        <w:rPr>
          <w:sz w:val="17"/>
        </w:rPr>
      </w:pPr>
    </w:p>
    <w:p>
      <w:pPr>
        <w:pStyle w:val="Heading1"/>
        <w:numPr>
          <w:ilvl w:val="0"/>
          <w:numId w:val="1"/>
        </w:numPr>
        <w:tabs>
          <w:tab w:pos="1115" w:val="left" w:leader="none"/>
          <w:tab w:pos="1116" w:val="left" w:leader="none"/>
        </w:tabs>
        <w:spacing w:line="240" w:lineRule="auto" w:before="0" w:after="0"/>
        <w:ind w:left="1115" w:right="0" w:hanging="901"/>
        <w:jc w:val="left"/>
      </w:pPr>
      <w:r>
        <w:rPr>
          <w:w w:val="105"/>
        </w:rPr>
        <w:t>Public</w:t>
      </w:r>
      <w:r>
        <w:rPr>
          <w:spacing w:val="-2"/>
          <w:w w:val="105"/>
        </w:rPr>
        <w:t> </w:t>
      </w:r>
      <w:r>
        <w:rPr>
          <w:w w:val="105"/>
        </w:rPr>
        <w:t>Consultation</w:t>
      </w:r>
    </w:p>
    <w:p>
      <w:pPr>
        <w:pStyle w:val="BodyText"/>
        <w:spacing w:before="6"/>
        <w:rPr>
          <w:b/>
          <w:sz w:val="19"/>
        </w:rPr>
      </w:pPr>
    </w:p>
    <w:p>
      <w:pPr>
        <w:pStyle w:val="BodyText"/>
        <w:spacing w:line="249" w:lineRule="auto" w:before="1"/>
        <w:ind w:left="1115" w:right="1506"/>
      </w:pPr>
      <w:r>
        <w:rPr>
          <w:w w:val="105"/>
        </w:rPr>
        <w:t>Members discussed the aims of the public consultation. Members agreed that the consultation is an important step in communicating whether a utility model meets the WDSG success criteria, and also provides the opportunity for all relevant stakeholders, including the wider cash industry, to submit feedback on the implications of a move to any new model.</w:t>
      </w:r>
    </w:p>
    <w:p>
      <w:pPr>
        <w:pStyle w:val="BodyText"/>
        <w:rPr>
          <w:sz w:val="20"/>
        </w:rPr>
      </w:pPr>
    </w:p>
    <w:p>
      <w:pPr>
        <w:pStyle w:val="BodyText"/>
      </w:pPr>
    </w:p>
    <w:p>
      <w:pPr>
        <w:pStyle w:val="BodyText"/>
        <w:spacing w:line="249" w:lineRule="auto"/>
        <w:ind w:left="1115" w:right="1590"/>
      </w:pPr>
      <w:r>
        <w:rPr>
          <w:w w:val="105"/>
        </w:rPr>
        <w:t>Members discussed the appropriate timing of the consultation and agreed the end of phase 2 remained the appropriate time to conduct the public consultation. At this point the work would be sufficiently progressed that a clear picture of a potential future model could be presented, but would allow any feedback for the consultation to be incorporated into relevant decision making processes. Members indicated an expectation to publish for the consultation in late April / Early May 2020 with an appropriate consultation period.</w:t>
      </w:r>
    </w:p>
    <w:p>
      <w:pPr>
        <w:pStyle w:val="BodyText"/>
        <w:spacing w:before="4"/>
        <w:rPr>
          <w:sz w:val="19"/>
        </w:rPr>
      </w:pPr>
    </w:p>
    <w:p>
      <w:pPr>
        <w:pStyle w:val="BodyText"/>
        <w:spacing w:line="249" w:lineRule="auto"/>
        <w:ind w:left="1115" w:right="2325"/>
      </w:pPr>
      <w:r>
        <w:rPr>
          <w:w w:val="105"/>
        </w:rPr>
        <w:t>Members agreed to make plans to host a second wider stakeholder event during the consultation period.</w:t>
      </w:r>
    </w:p>
    <w:p>
      <w:pPr>
        <w:pStyle w:val="BodyText"/>
        <w:rPr>
          <w:sz w:val="20"/>
        </w:rPr>
      </w:pPr>
    </w:p>
    <w:p>
      <w:pPr>
        <w:pStyle w:val="BodyText"/>
        <w:spacing w:before="8"/>
        <w:rPr>
          <w:sz w:val="17"/>
        </w:rPr>
      </w:pPr>
    </w:p>
    <w:p>
      <w:pPr>
        <w:pStyle w:val="Heading1"/>
        <w:numPr>
          <w:ilvl w:val="0"/>
          <w:numId w:val="1"/>
        </w:numPr>
        <w:tabs>
          <w:tab w:pos="1115" w:val="left" w:leader="none"/>
          <w:tab w:pos="1116" w:val="left" w:leader="none"/>
        </w:tabs>
        <w:spacing w:line="240" w:lineRule="auto" w:before="0" w:after="0"/>
        <w:ind w:left="1115" w:right="0" w:hanging="901"/>
        <w:jc w:val="left"/>
      </w:pPr>
      <w:r>
        <w:rPr>
          <w:w w:val="105"/>
        </w:rPr>
        <w:t>Review Action</w:t>
      </w:r>
      <w:r>
        <w:rPr>
          <w:spacing w:val="10"/>
          <w:w w:val="105"/>
        </w:rPr>
        <w:t> </w:t>
      </w:r>
      <w:r>
        <w:rPr>
          <w:w w:val="105"/>
        </w:rPr>
        <w:t>Log</w:t>
      </w:r>
    </w:p>
    <w:p>
      <w:pPr>
        <w:pStyle w:val="BodyText"/>
        <w:spacing w:before="7"/>
        <w:rPr>
          <w:b/>
          <w:sz w:val="19"/>
        </w:rPr>
      </w:pPr>
    </w:p>
    <w:p>
      <w:pPr>
        <w:pStyle w:val="BodyText"/>
        <w:ind w:left="1115"/>
      </w:pPr>
      <w:r>
        <w:rPr>
          <w:w w:val="105"/>
        </w:rPr>
        <w:t>Actions were reviewed and closed where applicable.</w:t>
      </w:r>
    </w:p>
    <w:p>
      <w:pPr>
        <w:pStyle w:val="BodyText"/>
        <w:rPr>
          <w:sz w:val="20"/>
        </w:rPr>
      </w:pPr>
    </w:p>
    <w:p>
      <w:pPr>
        <w:pStyle w:val="BodyText"/>
        <w:spacing w:before="4"/>
      </w:pPr>
    </w:p>
    <w:p>
      <w:pPr>
        <w:pStyle w:val="Heading1"/>
        <w:numPr>
          <w:ilvl w:val="0"/>
          <w:numId w:val="1"/>
        </w:numPr>
        <w:tabs>
          <w:tab w:pos="1115" w:val="left" w:leader="none"/>
          <w:tab w:pos="1116" w:val="left" w:leader="none"/>
        </w:tabs>
        <w:spacing w:line="240" w:lineRule="auto" w:before="0" w:after="0"/>
        <w:ind w:left="1115" w:right="0" w:hanging="901"/>
        <w:jc w:val="left"/>
      </w:pPr>
      <w:r>
        <w:rPr>
          <w:w w:val="105"/>
        </w:rPr>
        <w:t>AOB</w:t>
      </w:r>
    </w:p>
    <w:p>
      <w:pPr>
        <w:pStyle w:val="BodyText"/>
        <w:spacing w:before="9"/>
        <w:ind w:left="1115"/>
        <w:rPr>
          <w:i/>
        </w:rPr>
      </w:pPr>
      <w:r>
        <w:rPr>
          <w:w w:val="105"/>
        </w:rPr>
        <w:t>None</w:t>
      </w:r>
      <w:r>
        <w:rPr>
          <w:i/>
          <w:w w:val="105"/>
        </w:rPr>
        <w:t>.</w:t>
      </w:r>
    </w:p>
    <w:sectPr>
      <w:pgSz w:w="12240" w:h="15840"/>
      <w:pgMar w:top="46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792" w:hanging="339"/>
        <w:jc w:val="left"/>
      </w:pPr>
      <w:rPr>
        <w:rFonts w:hint="default" w:ascii="Arial" w:hAnsi="Arial" w:eastAsia="Arial" w:cs="Arial"/>
        <w:spacing w:val="0"/>
        <w:w w:val="103"/>
        <w:sz w:val="18"/>
        <w:szCs w:val="18"/>
        <w:lang w:val="en-US" w:eastAsia="en-US" w:bidi="ar-SA"/>
      </w:rPr>
    </w:lvl>
    <w:lvl w:ilvl="1">
      <w:start w:val="1"/>
      <w:numFmt w:val="lowerLetter"/>
      <w:lvlText w:val="%2."/>
      <w:lvlJc w:val="left"/>
      <w:pPr>
        <w:ind w:left="2468" w:hanging="339"/>
        <w:jc w:val="left"/>
      </w:pPr>
      <w:rPr>
        <w:rFonts w:hint="default" w:ascii="Arial" w:hAnsi="Arial" w:eastAsia="Arial" w:cs="Arial"/>
        <w:spacing w:val="0"/>
        <w:w w:val="103"/>
        <w:sz w:val="18"/>
        <w:szCs w:val="18"/>
        <w:lang w:val="en-US" w:eastAsia="en-US" w:bidi="ar-SA"/>
      </w:rPr>
    </w:lvl>
    <w:lvl w:ilvl="2">
      <w:start w:val="0"/>
      <w:numFmt w:val="bullet"/>
      <w:lvlText w:val="•"/>
      <w:lvlJc w:val="left"/>
      <w:pPr>
        <w:ind w:left="3353" w:hanging="339"/>
      </w:pPr>
      <w:rPr>
        <w:rFonts w:hint="default"/>
        <w:lang w:val="en-US" w:eastAsia="en-US" w:bidi="ar-SA"/>
      </w:rPr>
    </w:lvl>
    <w:lvl w:ilvl="3">
      <w:start w:val="0"/>
      <w:numFmt w:val="bullet"/>
      <w:lvlText w:val="•"/>
      <w:lvlJc w:val="left"/>
      <w:pPr>
        <w:ind w:left="4246" w:hanging="339"/>
      </w:pPr>
      <w:rPr>
        <w:rFonts w:hint="default"/>
        <w:lang w:val="en-US" w:eastAsia="en-US" w:bidi="ar-SA"/>
      </w:rPr>
    </w:lvl>
    <w:lvl w:ilvl="4">
      <w:start w:val="0"/>
      <w:numFmt w:val="bullet"/>
      <w:lvlText w:val="•"/>
      <w:lvlJc w:val="left"/>
      <w:pPr>
        <w:ind w:left="5140" w:hanging="339"/>
      </w:pPr>
      <w:rPr>
        <w:rFonts w:hint="default"/>
        <w:lang w:val="en-US" w:eastAsia="en-US" w:bidi="ar-SA"/>
      </w:rPr>
    </w:lvl>
    <w:lvl w:ilvl="5">
      <w:start w:val="0"/>
      <w:numFmt w:val="bullet"/>
      <w:lvlText w:val="•"/>
      <w:lvlJc w:val="left"/>
      <w:pPr>
        <w:ind w:left="6033" w:hanging="339"/>
      </w:pPr>
      <w:rPr>
        <w:rFonts w:hint="default"/>
        <w:lang w:val="en-US" w:eastAsia="en-US" w:bidi="ar-SA"/>
      </w:rPr>
    </w:lvl>
    <w:lvl w:ilvl="6">
      <w:start w:val="0"/>
      <w:numFmt w:val="bullet"/>
      <w:lvlText w:val="•"/>
      <w:lvlJc w:val="left"/>
      <w:pPr>
        <w:ind w:left="6926" w:hanging="339"/>
      </w:pPr>
      <w:rPr>
        <w:rFonts w:hint="default"/>
        <w:lang w:val="en-US" w:eastAsia="en-US" w:bidi="ar-SA"/>
      </w:rPr>
    </w:lvl>
    <w:lvl w:ilvl="7">
      <w:start w:val="0"/>
      <w:numFmt w:val="bullet"/>
      <w:lvlText w:val="•"/>
      <w:lvlJc w:val="left"/>
      <w:pPr>
        <w:ind w:left="7820" w:hanging="339"/>
      </w:pPr>
      <w:rPr>
        <w:rFonts w:hint="default"/>
        <w:lang w:val="en-US" w:eastAsia="en-US" w:bidi="ar-SA"/>
      </w:rPr>
    </w:lvl>
    <w:lvl w:ilvl="8">
      <w:start w:val="0"/>
      <w:numFmt w:val="bullet"/>
      <w:lvlText w:val="•"/>
      <w:lvlJc w:val="left"/>
      <w:pPr>
        <w:ind w:left="8713" w:hanging="339"/>
      </w:pPr>
      <w:rPr>
        <w:rFonts w:hint="default"/>
        <w:lang w:val="en-US" w:eastAsia="en-US" w:bidi="ar-SA"/>
      </w:rPr>
    </w:lvl>
  </w:abstractNum>
  <w:abstractNum w:abstractNumId="0">
    <w:multiLevelType w:val="hybridMultilevel"/>
    <w:lvl w:ilvl="0">
      <w:start w:val="1"/>
      <w:numFmt w:val="decimal"/>
      <w:lvlText w:val="%1."/>
      <w:lvlJc w:val="left"/>
      <w:pPr>
        <w:ind w:left="1115" w:hanging="900"/>
        <w:jc w:val="left"/>
      </w:pPr>
      <w:rPr>
        <w:rFonts w:hint="default" w:ascii="Arial" w:hAnsi="Arial" w:eastAsia="Arial" w:cs="Arial"/>
        <w:b/>
        <w:bCs/>
        <w:spacing w:val="-1"/>
        <w:w w:val="103"/>
        <w:sz w:val="18"/>
        <w:szCs w:val="18"/>
        <w:lang w:val="en-US" w:eastAsia="en-US" w:bidi="ar-SA"/>
      </w:rPr>
    </w:lvl>
    <w:lvl w:ilvl="1">
      <w:start w:val="0"/>
      <w:numFmt w:val="bullet"/>
      <w:lvlText w:val="-"/>
      <w:lvlJc w:val="left"/>
      <w:pPr>
        <w:ind w:left="1446" w:hanging="339"/>
      </w:pPr>
      <w:rPr>
        <w:rFonts w:hint="default" w:ascii="Arial" w:hAnsi="Arial" w:eastAsia="Arial" w:cs="Arial"/>
        <w:w w:val="103"/>
        <w:sz w:val="18"/>
        <w:szCs w:val="18"/>
        <w:lang w:val="en-US" w:eastAsia="en-US" w:bidi="ar-SA"/>
      </w:rPr>
    </w:lvl>
    <w:lvl w:ilvl="2">
      <w:start w:val="0"/>
      <w:numFmt w:val="bullet"/>
      <w:lvlText w:val="•"/>
      <w:lvlJc w:val="left"/>
      <w:pPr>
        <w:ind w:left="1800" w:hanging="339"/>
      </w:pPr>
      <w:rPr>
        <w:rFonts w:hint="default"/>
        <w:lang w:val="en-US" w:eastAsia="en-US" w:bidi="ar-SA"/>
      </w:rPr>
    </w:lvl>
    <w:lvl w:ilvl="3">
      <w:start w:val="0"/>
      <w:numFmt w:val="bullet"/>
      <w:lvlText w:val="•"/>
      <w:lvlJc w:val="left"/>
      <w:pPr>
        <w:ind w:left="2887" w:hanging="339"/>
      </w:pPr>
      <w:rPr>
        <w:rFonts w:hint="default"/>
        <w:lang w:val="en-US" w:eastAsia="en-US" w:bidi="ar-SA"/>
      </w:rPr>
    </w:lvl>
    <w:lvl w:ilvl="4">
      <w:start w:val="0"/>
      <w:numFmt w:val="bullet"/>
      <w:lvlText w:val="•"/>
      <w:lvlJc w:val="left"/>
      <w:pPr>
        <w:ind w:left="3975" w:hanging="339"/>
      </w:pPr>
      <w:rPr>
        <w:rFonts w:hint="default"/>
        <w:lang w:val="en-US" w:eastAsia="en-US" w:bidi="ar-SA"/>
      </w:rPr>
    </w:lvl>
    <w:lvl w:ilvl="5">
      <w:start w:val="0"/>
      <w:numFmt w:val="bullet"/>
      <w:lvlText w:val="•"/>
      <w:lvlJc w:val="left"/>
      <w:pPr>
        <w:ind w:left="5062" w:hanging="339"/>
      </w:pPr>
      <w:rPr>
        <w:rFonts w:hint="default"/>
        <w:lang w:val="en-US" w:eastAsia="en-US" w:bidi="ar-SA"/>
      </w:rPr>
    </w:lvl>
    <w:lvl w:ilvl="6">
      <w:start w:val="0"/>
      <w:numFmt w:val="bullet"/>
      <w:lvlText w:val="•"/>
      <w:lvlJc w:val="left"/>
      <w:pPr>
        <w:ind w:left="6150" w:hanging="339"/>
      </w:pPr>
      <w:rPr>
        <w:rFonts w:hint="default"/>
        <w:lang w:val="en-US" w:eastAsia="en-US" w:bidi="ar-SA"/>
      </w:rPr>
    </w:lvl>
    <w:lvl w:ilvl="7">
      <w:start w:val="0"/>
      <w:numFmt w:val="bullet"/>
      <w:lvlText w:val="•"/>
      <w:lvlJc w:val="left"/>
      <w:pPr>
        <w:ind w:left="7237" w:hanging="339"/>
      </w:pPr>
      <w:rPr>
        <w:rFonts w:hint="default"/>
        <w:lang w:val="en-US" w:eastAsia="en-US" w:bidi="ar-SA"/>
      </w:rPr>
    </w:lvl>
    <w:lvl w:ilvl="8">
      <w:start w:val="0"/>
      <w:numFmt w:val="bullet"/>
      <w:lvlText w:val="•"/>
      <w:lvlJc w:val="left"/>
      <w:pPr>
        <w:ind w:left="8325" w:hanging="33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1115" w:hanging="901"/>
      <w:outlineLvl w:val="1"/>
    </w:pPr>
    <w:rPr>
      <w:rFonts w:ascii="Arial" w:hAnsi="Arial" w:eastAsia="Arial" w:cs="Arial"/>
      <w:b/>
      <w:bCs/>
      <w:sz w:val="18"/>
      <w:szCs w:val="18"/>
      <w:lang w:val="en-US" w:eastAsia="en-US" w:bidi="ar-SA"/>
    </w:rPr>
  </w:style>
  <w:style w:styleId="Title" w:type="paragraph">
    <w:name w:val="Title"/>
    <w:basedOn w:val="Normal"/>
    <w:uiPriority w:val="1"/>
    <w:qFormat/>
    <w:pPr>
      <w:spacing w:before="88"/>
      <w:ind w:left="116"/>
    </w:pPr>
    <w:rPr>
      <w:rFonts w:ascii="Arial" w:hAnsi="Arial" w:eastAsia="Arial" w:cs="Arial"/>
      <w:sz w:val="41"/>
      <w:szCs w:val="41"/>
      <w:lang w:val="en-US" w:eastAsia="en-US" w:bidi="ar-SA"/>
    </w:rPr>
  </w:style>
  <w:style w:styleId="ListParagraph" w:type="paragraph">
    <w:name w:val="List Paragraph"/>
    <w:basedOn w:val="Normal"/>
    <w:uiPriority w:val="1"/>
    <w:qFormat/>
    <w:pPr>
      <w:ind w:left="1115" w:hanging="90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Wholesale Distribution Steering Group Minutes</dc:title>
  <dcterms:created xsi:type="dcterms:W3CDTF">2020-06-02T14:23:15Z</dcterms:created>
  <dcterms:modified xsi:type="dcterms:W3CDTF">2020-06-02T14:23:15Z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2020-03-24T00:00:00Z</vt:filetime>
  </property>
  <property fmtid="{D5CDD505-2E9C-101B-9397-08002B2CF9AE}" pid="3" name="LastSaved">
    <vt:filetime>2020-06-02T00:00:00Z</vt:filetime>
  </property>
</Properties>
</file>