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79"/>
        <w:ind w:right="716"/>
        <w:jc w:val="right"/>
      </w:pPr>
      <w:r>
        <w:rPr/>
        <w:t>24.07.2019</w:t>
      </w:r>
    </w:p>
    <w:p>
      <w:pPr>
        <w:pStyle w:val="BodyText"/>
        <w:rPr>
          <w:sz w:val="20"/>
        </w:rPr>
      </w:pPr>
    </w:p>
    <w:p>
      <w:pPr>
        <w:pStyle w:val="BodyText"/>
        <w:rPr>
          <w:sz w:val="20"/>
        </w:rPr>
      </w:pPr>
    </w:p>
    <w:p>
      <w:pPr>
        <w:pStyle w:val="Title"/>
      </w:pPr>
      <w:r>
        <w:rPr/>
        <w:t>Minutes</w:t>
      </w:r>
    </w:p>
    <w:p>
      <w:pPr>
        <w:spacing w:before="326"/>
        <w:ind w:left="116" w:right="0" w:firstLine="0"/>
        <w:jc w:val="left"/>
        <w:rPr>
          <w:b/>
          <w:sz w:val="22"/>
        </w:rPr>
      </w:pPr>
      <w:r>
        <w:rPr>
          <w:b/>
          <w:sz w:val="22"/>
        </w:rPr>
        <w:t>Wholesale Distribution Steering Group (WDSG)</w:t>
      </w:r>
    </w:p>
    <w:p>
      <w:pPr>
        <w:spacing w:before="45"/>
        <w:ind w:left="116" w:right="0" w:firstLine="0"/>
        <w:jc w:val="left"/>
        <w:rPr>
          <w:sz w:val="22"/>
        </w:rPr>
      </w:pPr>
      <w:r>
        <w:rPr>
          <w:sz w:val="22"/>
        </w:rPr>
        <w:t>24 July 2019</w:t>
      </w:r>
    </w:p>
    <w:p>
      <w:pPr>
        <w:pStyle w:val="BodyText"/>
        <w:spacing w:before="9"/>
      </w:pPr>
      <w:r>
        <w:rPr/>
        <w:pict>
          <v:rect style="position:absolute;margin-left:48.84pt;margin-top:12.791983pt;width:513.84pt;height:.36pt;mso-position-horizontal-relative:page;mso-position-vertical-relative:paragraph;z-index:-15728640;mso-wrap-distance-left:0;mso-wrap-distance-right:0" filled="true" fillcolor="#000000" stroked="false">
            <v:fill type="solid"/>
            <w10:wrap type="topAndBottom"/>
          </v:rect>
        </w:pict>
      </w:r>
    </w:p>
    <w:p>
      <w:pPr>
        <w:pStyle w:val="BodyText"/>
        <w:rPr>
          <w:sz w:val="7"/>
        </w:rPr>
      </w:pPr>
    </w:p>
    <w:p>
      <w:pPr>
        <w:pStyle w:val="Heading1"/>
        <w:spacing w:before="101"/>
        <w:ind w:left="116" w:firstLine="0"/>
      </w:pPr>
      <w:r>
        <w:rPr>
          <w:b w:val="0"/>
          <w:w w:val="105"/>
        </w:rPr>
        <w:t>Location: </w:t>
      </w:r>
      <w:r>
        <w:rPr>
          <w:w w:val="105"/>
        </w:rPr>
        <w:t>Bank of England, Threadneedle St, London EC2R 8AH (Room 1O)</w:t>
      </w:r>
    </w:p>
    <w:p>
      <w:pPr>
        <w:pStyle w:val="BodyText"/>
        <w:spacing w:before="5"/>
        <w:rPr>
          <w:b/>
          <w:sz w:val="22"/>
        </w:rPr>
      </w:pPr>
    </w:p>
    <w:p>
      <w:pPr>
        <w:pStyle w:val="BodyText"/>
        <w:spacing w:line="285" w:lineRule="auto"/>
        <w:ind w:left="1014" w:right="91" w:hanging="898"/>
      </w:pPr>
      <w:r>
        <w:rPr>
          <w:w w:val="105"/>
        </w:rPr>
        <w:t>Attendees: </w:t>
      </w:r>
      <w:r>
        <w:rPr>
          <w:b/>
          <w:w w:val="105"/>
        </w:rPr>
        <w:t>Bank of England</w:t>
      </w:r>
      <w:r>
        <w:rPr>
          <w:w w:val="105"/>
        </w:rPr>
        <w:t>: Sarah John (Chair), Martin Etheridge, Mark McLintock, Ronan Mcclintock, Tina Harris, Kirsty Woodgate</w:t>
      </w:r>
    </w:p>
    <w:p>
      <w:pPr>
        <w:spacing w:before="4"/>
        <w:ind w:left="1066" w:right="0" w:firstLine="0"/>
        <w:jc w:val="left"/>
        <w:rPr>
          <w:sz w:val="18"/>
        </w:rPr>
      </w:pPr>
      <w:r>
        <w:rPr>
          <w:b/>
          <w:w w:val="105"/>
          <w:sz w:val="18"/>
        </w:rPr>
        <w:t>UK Finance</w:t>
      </w:r>
      <w:r>
        <w:rPr>
          <w:w w:val="105"/>
          <w:sz w:val="18"/>
        </w:rPr>
        <w:t>: Rebecca Clements (alternate)</w:t>
      </w:r>
    </w:p>
    <w:p>
      <w:pPr>
        <w:spacing w:before="43"/>
        <w:ind w:left="1066" w:right="0" w:firstLine="0"/>
        <w:jc w:val="left"/>
        <w:rPr>
          <w:sz w:val="18"/>
        </w:rPr>
      </w:pPr>
      <w:r>
        <w:rPr>
          <w:b/>
          <w:w w:val="105"/>
          <w:sz w:val="18"/>
        </w:rPr>
        <w:t>Barclays: </w:t>
      </w:r>
      <w:r>
        <w:rPr>
          <w:w w:val="105"/>
          <w:sz w:val="18"/>
        </w:rPr>
        <w:t>No attendee</w:t>
      </w:r>
    </w:p>
    <w:p>
      <w:pPr>
        <w:spacing w:line="288" w:lineRule="auto" w:before="40"/>
        <w:ind w:left="1067" w:right="4505" w:hanging="1"/>
        <w:jc w:val="left"/>
        <w:rPr>
          <w:sz w:val="18"/>
        </w:rPr>
      </w:pPr>
      <w:r>
        <w:rPr>
          <w:b/>
          <w:w w:val="105"/>
          <w:sz w:val="18"/>
        </w:rPr>
        <w:t>Lloyds Banking Group: </w:t>
      </w:r>
      <w:r>
        <w:rPr>
          <w:w w:val="105"/>
          <w:sz w:val="18"/>
        </w:rPr>
        <w:t>Otto Benz </w:t>
      </w:r>
      <w:r>
        <w:rPr>
          <w:b/>
          <w:w w:val="105"/>
          <w:sz w:val="18"/>
        </w:rPr>
        <w:t>Clydesdale/Yorkshire: </w:t>
      </w:r>
      <w:r>
        <w:rPr>
          <w:w w:val="105"/>
          <w:sz w:val="18"/>
        </w:rPr>
        <w:t>Dougie Belmore (by phone) </w:t>
      </w:r>
      <w:r>
        <w:rPr>
          <w:b/>
          <w:w w:val="105"/>
          <w:sz w:val="18"/>
        </w:rPr>
        <w:t>HSBC: </w:t>
      </w:r>
      <w:r>
        <w:rPr>
          <w:w w:val="105"/>
          <w:sz w:val="18"/>
        </w:rPr>
        <w:t>Tom Wood</w:t>
      </w:r>
    </w:p>
    <w:p>
      <w:pPr>
        <w:spacing w:before="1"/>
        <w:ind w:left="1067" w:right="0" w:firstLine="0"/>
        <w:jc w:val="left"/>
        <w:rPr>
          <w:sz w:val="18"/>
        </w:rPr>
      </w:pPr>
      <w:r>
        <w:rPr>
          <w:b/>
          <w:w w:val="105"/>
          <w:sz w:val="18"/>
        </w:rPr>
        <w:t>Royal Bank of Scotland: </w:t>
      </w:r>
      <w:r>
        <w:rPr>
          <w:w w:val="105"/>
          <w:sz w:val="18"/>
        </w:rPr>
        <w:t>Richard Talbot (by phone)</w:t>
      </w:r>
    </w:p>
    <w:p>
      <w:pPr>
        <w:spacing w:before="43"/>
        <w:ind w:left="1067" w:right="0" w:firstLine="0"/>
        <w:jc w:val="left"/>
        <w:rPr>
          <w:sz w:val="18"/>
        </w:rPr>
      </w:pPr>
      <w:r>
        <w:rPr>
          <w:b/>
          <w:w w:val="105"/>
          <w:sz w:val="18"/>
        </w:rPr>
        <w:t>Santander: </w:t>
      </w:r>
      <w:r>
        <w:rPr>
          <w:w w:val="105"/>
          <w:sz w:val="18"/>
        </w:rPr>
        <w:t>Dave Wilson (alternate, by phone)</w:t>
      </w:r>
    </w:p>
    <w:p>
      <w:pPr>
        <w:spacing w:before="40"/>
        <w:ind w:left="1067" w:right="0" w:firstLine="0"/>
        <w:jc w:val="left"/>
        <w:rPr>
          <w:sz w:val="18"/>
        </w:rPr>
      </w:pPr>
      <w:r>
        <w:rPr>
          <w:b/>
          <w:w w:val="105"/>
          <w:sz w:val="18"/>
        </w:rPr>
        <w:t>Post Office: </w:t>
      </w:r>
      <w:r>
        <w:rPr>
          <w:w w:val="105"/>
          <w:sz w:val="18"/>
        </w:rPr>
        <w:t>Russell Hancock (by phone)</w:t>
      </w:r>
    </w:p>
    <w:p>
      <w:pPr>
        <w:spacing w:before="43"/>
        <w:ind w:left="1067" w:right="0" w:firstLine="0"/>
        <w:jc w:val="left"/>
        <w:rPr>
          <w:sz w:val="18"/>
        </w:rPr>
      </w:pPr>
      <w:r>
        <w:rPr>
          <w:b/>
          <w:w w:val="105"/>
          <w:sz w:val="18"/>
        </w:rPr>
        <w:t>HM Treasury: </w:t>
      </w:r>
      <w:r>
        <w:rPr>
          <w:w w:val="105"/>
          <w:sz w:val="18"/>
        </w:rPr>
        <w:t>Mario Pisani (by phone)</w:t>
      </w:r>
    </w:p>
    <w:p>
      <w:pPr>
        <w:pStyle w:val="BodyText"/>
        <w:spacing w:before="2"/>
        <w:rPr>
          <w:sz w:val="25"/>
        </w:rPr>
      </w:pPr>
    </w:p>
    <w:p>
      <w:pPr>
        <w:spacing w:before="0"/>
        <w:ind w:left="1014" w:right="0" w:firstLine="0"/>
        <w:jc w:val="left"/>
        <w:rPr>
          <w:sz w:val="18"/>
        </w:rPr>
      </w:pPr>
      <w:r>
        <w:rPr>
          <w:b/>
          <w:w w:val="105"/>
          <w:sz w:val="18"/>
        </w:rPr>
        <w:t>KPMG: </w:t>
      </w:r>
      <w:r>
        <w:rPr>
          <w:w w:val="105"/>
          <w:sz w:val="18"/>
        </w:rPr>
        <w:t>Simon Walker</w:t>
      </w:r>
    </w:p>
    <w:p>
      <w:pPr>
        <w:spacing w:before="43"/>
        <w:ind w:left="1014" w:right="0" w:firstLine="0"/>
        <w:jc w:val="left"/>
        <w:rPr>
          <w:sz w:val="18"/>
        </w:rPr>
      </w:pPr>
      <w:r>
        <w:rPr>
          <w:b/>
          <w:w w:val="105"/>
          <w:sz w:val="18"/>
        </w:rPr>
        <w:t>KPMG: </w:t>
      </w:r>
      <w:r>
        <w:rPr>
          <w:w w:val="105"/>
          <w:sz w:val="18"/>
        </w:rPr>
        <w:t>Oliver Kirby-Johnson</w:t>
      </w:r>
    </w:p>
    <w:p>
      <w:pPr>
        <w:pStyle w:val="BodyText"/>
        <w:spacing w:before="5"/>
        <w:rPr>
          <w:sz w:val="22"/>
        </w:rPr>
      </w:pPr>
    </w:p>
    <w:p>
      <w:pPr>
        <w:pStyle w:val="BodyText"/>
        <w:spacing w:before="1"/>
        <w:ind w:left="116"/>
      </w:pPr>
      <w:r>
        <w:rPr>
          <w:w w:val="105"/>
        </w:rPr>
        <w:t>Apologies: Eric Leenders (UK Finance), Russell Saunders (UK Finance), Tim Allen (Barclays), Robert White (Santander)</w:t>
      </w:r>
    </w:p>
    <w:p>
      <w:pPr>
        <w:pStyle w:val="BodyText"/>
        <w:rPr>
          <w:sz w:val="20"/>
        </w:rPr>
      </w:pPr>
    </w:p>
    <w:p>
      <w:pPr>
        <w:pStyle w:val="BodyText"/>
        <w:rPr>
          <w:sz w:val="20"/>
        </w:rPr>
      </w:pPr>
    </w:p>
    <w:p>
      <w:pPr>
        <w:pStyle w:val="BodyText"/>
        <w:rPr>
          <w:sz w:val="20"/>
        </w:rPr>
      </w:pPr>
    </w:p>
    <w:p>
      <w:pPr>
        <w:pStyle w:val="BodyText"/>
        <w:rPr>
          <w:sz w:val="24"/>
        </w:rPr>
      </w:pPr>
    </w:p>
    <w:p>
      <w:pPr>
        <w:pStyle w:val="Heading1"/>
        <w:ind w:left="215" w:firstLine="0"/>
      </w:pPr>
      <w:r>
        <w:rPr>
          <w:w w:val="105"/>
        </w:rPr>
        <w:t>Item</w:t>
      </w:r>
    </w:p>
    <w:p>
      <w:pPr>
        <w:pStyle w:val="BodyText"/>
        <w:rPr>
          <w:b/>
          <w:sz w:val="20"/>
        </w:rPr>
      </w:pPr>
    </w:p>
    <w:p>
      <w:pPr>
        <w:pStyle w:val="BodyText"/>
        <w:spacing w:before="1"/>
        <w:rPr>
          <w:b/>
          <w:sz w:val="21"/>
        </w:rPr>
      </w:pPr>
    </w:p>
    <w:p>
      <w:pPr>
        <w:pStyle w:val="ListParagraph"/>
        <w:numPr>
          <w:ilvl w:val="0"/>
          <w:numId w:val="1"/>
        </w:numPr>
        <w:tabs>
          <w:tab w:pos="899" w:val="left" w:leader="none"/>
          <w:tab w:pos="900" w:val="left" w:leader="none"/>
        </w:tabs>
        <w:spacing w:line="240" w:lineRule="auto" w:before="0" w:after="0"/>
        <w:ind w:left="1115" w:right="7329" w:hanging="1116"/>
        <w:jc w:val="right"/>
        <w:rPr>
          <w:b/>
          <w:sz w:val="18"/>
        </w:rPr>
      </w:pPr>
      <w:r>
        <w:rPr>
          <w:b/>
          <w:w w:val="105"/>
          <w:sz w:val="18"/>
        </w:rPr>
        <w:t>Standing agenda</w:t>
      </w:r>
      <w:r>
        <w:rPr>
          <w:b/>
          <w:spacing w:val="-21"/>
          <w:w w:val="105"/>
          <w:sz w:val="18"/>
        </w:rPr>
        <w:t> </w:t>
      </w:r>
      <w:r>
        <w:rPr>
          <w:b/>
          <w:w w:val="105"/>
          <w:sz w:val="18"/>
        </w:rPr>
        <w:t>items</w:t>
      </w:r>
    </w:p>
    <w:p>
      <w:pPr>
        <w:pStyle w:val="BodyText"/>
        <w:rPr>
          <w:b/>
          <w:sz w:val="20"/>
        </w:rPr>
      </w:pPr>
    </w:p>
    <w:p>
      <w:pPr>
        <w:pStyle w:val="BodyText"/>
        <w:spacing w:before="6"/>
        <w:rPr>
          <w:b/>
        </w:rPr>
      </w:pPr>
    </w:p>
    <w:p>
      <w:pPr>
        <w:pStyle w:val="ListParagraph"/>
        <w:numPr>
          <w:ilvl w:val="1"/>
          <w:numId w:val="1"/>
        </w:numPr>
        <w:tabs>
          <w:tab w:pos="338" w:val="left" w:leader="none"/>
          <w:tab w:pos="339" w:val="left" w:leader="none"/>
        </w:tabs>
        <w:spacing w:line="240" w:lineRule="auto" w:before="0" w:after="0"/>
        <w:ind w:left="1446" w:right="7308" w:hanging="1447"/>
        <w:jc w:val="right"/>
        <w:rPr>
          <w:b/>
          <w:sz w:val="18"/>
        </w:rPr>
      </w:pPr>
      <w:r>
        <w:rPr>
          <w:b/>
          <w:w w:val="105"/>
          <w:sz w:val="18"/>
        </w:rPr>
        <w:t>June 2019</w:t>
      </w:r>
      <w:r>
        <w:rPr>
          <w:b/>
          <w:spacing w:val="-17"/>
          <w:w w:val="105"/>
          <w:sz w:val="18"/>
        </w:rPr>
        <w:t> </w:t>
      </w:r>
      <w:r>
        <w:rPr>
          <w:b/>
          <w:w w:val="105"/>
          <w:sz w:val="18"/>
        </w:rPr>
        <w:t>minutes:</w:t>
      </w:r>
    </w:p>
    <w:p>
      <w:pPr>
        <w:pStyle w:val="BodyText"/>
        <w:spacing w:before="7"/>
        <w:rPr>
          <w:b/>
          <w:sz w:val="19"/>
        </w:rPr>
      </w:pPr>
    </w:p>
    <w:p>
      <w:pPr>
        <w:pStyle w:val="BodyText"/>
        <w:ind w:left="1115"/>
      </w:pPr>
      <w:r>
        <w:rPr>
          <w:w w:val="105"/>
        </w:rPr>
        <w:t>The group agreed the June 2019 minutes subject to some minor amendments.</w:t>
      </w:r>
    </w:p>
    <w:p>
      <w:pPr>
        <w:pStyle w:val="BodyText"/>
        <w:spacing w:before="6"/>
        <w:rPr>
          <w:sz w:val="19"/>
        </w:rPr>
      </w:pPr>
    </w:p>
    <w:p>
      <w:pPr>
        <w:pStyle w:val="Heading1"/>
        <w:numPr>
          <w:ilvl w:val="1"/>
          <w:numId w:val="1"/>
        </w:numPr>
        <w:tabs>
          <w:tab w:pos="1446" w:val="left" w:leader="none"/>
          <w:tab w:pos="1447" w:val="left" w:leader="none"/>
        </w:tabs>
        <w:spacing w:line="240" w:lineRule="auto" w:before="1" w:after="0"/>
        <w:ind w:left="1446" w:right="0" w:hanging="340"/>
        <w:jc w:val="left"/>
      </w:pPr>
      <w:r>
        <w:rPr>
          <w:w w:val="105"/>
        </w:rPr>
        <w:t>Sharing information on stakeholder</w:t>
      </w:r>
      <w:r>
        <w:rPr>
          <w:spacing w:val="-3"/>
          <w:w w:val="105"/>
        </w:rPr>
        <w:t> </w:t>
      </w:r>
      <w:r>
        <w:rPr>
          <w:w w:val="105"/>
        </w:rPr>
        <w:t>engagement:</w:t>
      </w:r>
    </w:p>
    <w:p>
      <w:pPr>
        <w:pStyle w:val="BodyText"/>
        <w:spacing w:before="8"/>
        <w:rPr>
          <w:b/>
          <w:sz w:val="19"/>
        </w:rPr>
      </w:pPr>
    </w:p>
    <w:p>
      <w:pPr>
        <w:pStyle w:val="BodyText"/>
        <w:spacing w:line="247" w:lineRule="auto"/>
        <w:ind w:left="1115" w:right="1915"/>
      </w:pPr>
      <w:r>
        <w:rPr>
          <w:w w:val="105"/>
        </w:rPr>
        <w:t>A new standing item was added to the agenda to facilitate appropriate sharing of relevant information from member engagement with stakeholders not participating in WDSG.</w:t>
      </w:r>
    </w:p>
    <w:p>
      <w:pPr>
        <w:pStyle w:val="BodyText"/>
        <w:spacing w:before="1"/>
        <w:rPr>
          <w:sz w:val="19"/>
        </w:rPr>
      </w:pPr>
    </w:p>
    <w:p>
      <w:pPr>
        <w:pStyle w:val="BodyText"/>
        <w:spacing w:line="252" w:lineRule="auto"/>
        <w:ind w:left="1115" w:right="1549"/>
      </w:pPr>
      <w:r>
        <w:rPr>
          <w:w w:val="105"/>
        </w:rPr>
        <w:t>Recognising the confidentiality of the contents of bilateral discussions, the Bank of England noted interest from a range of stakeholders from the wider cash industry following publication of the May 2019 minutes. Areas of particular interest from stakeholders at this stage included:</w:t>
      </w:r>
    </w:p>
    <w:p>
      <w:pPr>
        <w:pStyle w:val="ListParagraph"/>
        <w:numPr>
          <w:ilvl w:val="2"/>
          <w:numId w:val="1"/>
        </w:numPr>
        <w:tabs>
          <w:tab w:pos="1791" w:val="left" w:leader="none"/>
          <w:tab w:pos="1792" w:val="left" w:leader="none"/>
        </w:tabs>
        <w:spacing w:line="205" w:lineRule="exact" w:before="0" w:after="0"/>
        <w:ind w:left="1791" w:right="0" w:hanging="339"/>
        <w:jc w:val="left"/>
        <w:rPr>
          <w:sz w:val="18"/>
        </w:rPr>
      </w:pPr>
      <w:r>
        <w:rPr>
          <w:w w:val="105"/>
          <w:sz w:val="18"/>
        </w:rPr>
        <w:t>membership of the steering group;</w:t>
      </w:r>
      <w:r>
        <w:rPr>
          <w:spacing w:val="-8"/>
          <w:w w:val="105"/>
          <w:sz w:val="18"/>
        </w:rPr>
        <w:t> </w:t>
      </w:r>
      <w:r>
        <w:rPr>
          <w:w w:val="105"/>
          <w:sz w:val="18"/>
        </w:rPr>
        <w:t>and</w:t>
      </w:r>
    </w:p>
    <w:p>
      <w:pPr>
        <w:pStyle w:val="ListParagraph"/>
        <w:numPr>
          <w:ilvl w:val="2"/>
          <w:numId w:val="1"/>
        </w:numPr>
        <w:tabs>
          <w:tab w:pos="1791" w:val="left" w:leader="none"/>
          <w:tab w:pos="1792" w:val="left" w:leader="none"/>
        </w:tabs>
        <w:spacing w:line="240" w:lineRule="auto" w:before="7" w:after="0"/>
        <w:ind w:left="1791" w:right="0" w:hanging="339"/>
        <w:jc w:val="left"/>
        <w:rPr>
          <w:sz w:val="18"/>
        </w:rPr>
      </w:pPr>
      <w:r>
        <w:rPr>
          <w:w w:val="105"/>
          <w:sz w:val="18"/>
        </w:rPr>
        <w:t>plans for wider stakeholder engagement throughout the</w:t>
      </w:r>
      <w:r>
        <w:rPr>
          <w:spacing w:val="-7"/>
          <w:w w:val="105"/>
          <w:sz w:val="18"/>
        </w:rPr>
        <w:t> </w:t>
      </w:r>
      <w:r>
        <w:rPr>
          <w:w w:val="105"/>
          <w:sz w:val="18"/>
        </w:rPr>
        <w:t>process.</w:t>
      </w:r>
    </w:p>
    <w:p>
      <w:pPr>
        <w:pStyle w:val="BodyText"/>
        <w:spacing w:before="9"/>
        <w:rPr>
          <w:sz w:val="19"/>
        </w:rPr>
      </w:pPr>
    </w:p>
    <w:p>
      <w:pPr>
        <w:pStyle w:val="BodyText"/>
        <w:ind w:left="1115"/>
      </w:pPr>
      <w:r>
        <w:rPr>
          <w:w w:val="105"/>
        </w:rPr>
        <w:t>No further updates were noted.</w:t>
      </w:r>
    </w:p>
    <w:p>
      <w:pPr>
        <w:spacing w:after="0"/>
        <w:sectPr>
          <w:type w:val="continuous"/>
          <w:pgSz w:w="12240" w:h="15840"/>
          <w:pgMar w:top="880" w:bottom="280" w:left="860" w:right="880"/>
        </w:sectPr>
      </w:pPr>
    </w:p>
    <w:p>
      <w:pPr>
        <w:pStyle w:val="BodyText"/>
        <w:spacing w:before="76"/>
        <w:ind w:right="826"/>
        <w:jc w:val="right"/>
      </w:pPr>
      <w:r>
        <w:rPr>
          <w:w w:val="103"/>
        </w:rPr>
        <w:t>2</w:t>
      </w:r>
    </w:p>
    <w:p>
      <w:pPr>
        <w:pStyle w:val="BodyText"/>
        <w:spacing w:before="7"/>
        <w:rPr>
          <w:sz w:val="19"/>
        </w:rPr>
      </w:pPr>
    </w:p>
    <w:p>
      <w:pPr>
        <w:pStyle w:val="Heading1"/>
        <w:numPr>
          <w:ilvl w:val="0"/>
          <w:numId w:val="1"/>
        </w:numPr>
        <w:tabs>
          <w:tab w:pos="1115" w:val="left" w:leader="none"/>
          <w:tab w:pos="1116" w:val="left" w:leader="none"/>
        </w:tabs>
        <w:spacing w:line="240" w:lineRule="auto" w:before="101" w:after="0"/>
        <w:ind w:left="1115" w:right="0" w:hanging="901"/>
        <w:jc w:val="left"/>
      </w:pPr>
      <w:r>
        <w:rPr>
          <w:w w:val="105"/>
        </w:rPr>
        <w:t>Update from UK Finance and</w:t>
      </w:r>
      <w:r>
        <w:rPr>
          <w:spacing w:val="-4"/>
          <w:w w:val="105"/>
        </w:rPr>
        <w:t> </w:t>
      </w:r>
      <w:r>
        <w:rPr>
          <w:w w:val="105"/>
        </w:rPr>
        <w:t>KPMG</w:t>
      </w:r>
    </w:p>
    <w:p>
      <w:pPr>
        <w:pStyle w:val="BodyText"/>
        <w:spacing w:before="9"/>
        <w:rPr>
          <w:b/>
          <w:sz w:val="19"/>
        </w:rPr>
      </w:pPr>
    </w:p>
    <w:p>
      <w:pPr>
        <w:pStyle w:val="BodyText"/>
        <w:spacing w:line="249" w:lineRule="auto"/>
        <w:ind w:left="1115" w:right="1915"/>
      </w:pPr>
      <w:r>
        <w:rPr>
          <w:w w:val="105"/>
        </w:rPr>
        <w:t>KPMG provided a summary of their work-plan to help inform the future cash distribution model.</w:t>
      </w:r>
    </w:p>
    <w:p>
      <w:pPr>
        <w:pStyle w:val="BodyText"/>
        <w:spacing w:before="1"/>
        <w:ind w:left="1115"/>
      </w:pPr>
      <w:r>
        <w:rPr>
          <w:w w:val="105"/>
        </w:rPr>
        <w:t>This will consist of:</w:t>
      </w:r>
    </w:p>
    <w:p>
      <w:pPr>
        <w:pStyle w:val="BodyText"/>
        <w:spacing w:before="7"/>
        <w:rPr>
          <w:sz w:val="19"/>
        </w:rPr>
      </w:pPr>
    </w:p>
    <w:p>
      <w:pPr>
        <w:pStyle w:val="ListParagraph"/>
        <w:numPr>
          <w:ilvl w:val="0"/>
          <w:numId w:val="2"/>
        </w:numPr>
        <w:tabs>
          <w:tab w:pos="1850" w:val="left" w:leader="none"/>
        </w:tabs>
        <w:spacing w:line="249" w:lineRule="auto" w:before="0" w:after="0"/>
        <w:ind w:left="1849" w:right="2154" w:hanging="339"/>
        <w:jc w:val="left"/>
        <w:rPr>
          <w:sz w:val="18"/>
        </w:rPr>
      </w:pPr>
      <w:r>
        <w:rPr>
          <w:w w:val="105"/>
          <w:sz w:val="18"/>
        </w:rPr>
        <w:t>An</w:t>
      </w:r>
      <w:r>
        <w:rPr>
          <w:spacing w:val="-8"/>
          <w:w w:val="105"/>
          <w:sz w:val="18"/>
        </w:rPr>
        <w:t> </w:t>
      </w:r>
      <w:r>
        <w:rPr>
          <w:w w:val="105"/>
          <w:sz w:val="18"/>
        </w:rPr>
        <w:t>assessment</w:t>
      </w:r>
      <w:r>
        <w:rPr>
          <w:spacing w:val="-6"/>
          <w:w w:val="105"/>
          <w:sz w:val="18"/>
        </w:rPr>
        <w:t> </w:t>
      </w:r>
      <w:r>
        <w:rPr>
          <w:w w:val="105"/>
          <w:sz w:val="18"/>
        </w:rPr>
        <w:t>of</w:t>
      </w:r>
      <w:r>
        <w:rPr>
          <w:spacing w:val="-3"/>
          <w:w w:val="105"/>
          <w:sz w:val="18"/>
        </w:rPr>
        <w:t> </w:t>
      </w:r>
      <w:r>
        <w:rPr>
          <w:w w:val="105"/>
          <w:sz w:val="18"/>
        </w:rPr>
        <w:t>the</w:t>
      </w:r>
      <w:r>
        <w:rPr>
          <w:spacing w:val="-7"/>
          <w:w w:val="105"/>
          <w:sz w:val="18"/>
        </w:rPr>
        <w:t> </w:t>
      </w:r>
      <w:r>
        <w:rPr>
          <w:w w:val="105"/>
          <w:sz w:val="18"/>
        </w:rPr>
        <w:t>potential</w:t>
      </w:r>
      <w:r>
        <w:rPr>
          <w:spacing w:val="-6"/>
          <w:w w:val="105"/>
          <w:sz w:val="18"/>
        </w:rPr>
        <w:t> </w:t>
      </w:r>
      <w:r>
        <w:rPr>
          <w:w w:val="105"/>
          <w:sz w:val="18"/>
        </w:rPr>
        <w:t>viable</w:t>
      </w:r>
      <w:r>
        <w:rPr>
          <w:spacing w:val="-5"/>
          <w:w w:val="105"/>
          <w:sz w:val="18"/>
        </w:rPr>
        <w:t> </w:t>
      </w:r>
      <w:r>
        <w:rPr>
          <w:w w:val="105"/>
          <w:sz w:val="18"/>
        </w:rPr>
        <w:t>end-state</w:t>
      </w:r>
      <w:r>
        <w:rPr>
          <w:spacing w:val="-7"/>
          <w:w w:val="105"/>
          <w:sz w:val="18"/>
        </w:rPr>
        <w:t> </w:t>
      </w:r>
      <w:r>
        <w:rPr>
          <w:w w:val="105"/>
          <w:sz w:val="18"/>
        </w:rPr>
        <w:t>models</w:t>
      </w:r>
      <w:r>
        <w:rPr>
          <w:spacing w:val="-7"/>
          <w:w w:val="105"/>
          <w:sz w:val="18"/>
        </w:rPr>
        <w:t> </w:t>
      </w:r>
      <w:r>
        <w:rPr>
          <w:w w:val="105"/>
          <w:sz w:val="18"/>
        </w:rPr>
        <w:t>informed</w:t>
      </w:r>
      <w:r>
        <w:rPr>
          <w:spacing w:val="-7"/>
          <w:w w:val="105"/>
          <w:sz w:val="18"/>
        </w:rPr>
        <w:t> </w:t>
      </w:r>
      <w:r>
        <w:rPr>
          <w:w w:val="105"/>
          <w:sz w:val="18"/>
        </w:rPr>
        <w:t>through</w:t>
      </w:r>
      <w:r>
        <w:rPr>
          <w:spacing w:val="-7"/>
          <w:w w:val="105"/>
          <w:sz w:val="18"/>
        </w:rPr>
        <w:t> </w:t>
      </w:r>
      <w:r>
        <w:rPr>
          <w:w w:val="105"/>
          <w:sz w:val="18"/>
        </w:rPr>
        <w:t>data analysis and stakeholder</w:t>
      </w:r>
      <w:r>
        <w:rPr>
          <w:spacing w:val="-2"/>
          <w:w w:val="105"/>
          <w:sz w:val="18"/>
        </w:rPr>
        <w:t> </w:t>
      </w:r>
      <w:r>
        <w:rPr>
          <w:w w:val="105"/>
          <w:sz w:val="18"/>
        </w:rPr>
        <w:t>engagement.</w:t>
      </w:r>
    </w:p>
    <w:p>
      <w:pPr>
        <w:pStyle w:val="ListParagraph"/>
        <w:numPr>
          <w:ilvl w:val="0"/>
          <w:numId w:val="2"/>
        </w:numPr>
        <w:tabs>
          <w:tab w:pos="1850" w:val="left" w:leader="none"/>
        </w:tabs>
        <w:spacing w:line="240" w:lineRule="auto" w:before="1" w:after="0"/>
        <w:ind w:left="1849" w:right="0" w:hanging="339"/>
        <w:jc w:val="left"/>
        <w:rPr>
          <w:sz w:val="18"/>
        </w:rPr>
      </w:pPr>
      <w:r>
        <w:rPr>
          <w:w w:val="105"/>
          <w:sz w:val="18"/>
        </w:rPr>
        <w:t>A detailed blueprint setting out the operational structure and</w:t>
      </w:r>
      <w:r>
        <w:rPr>
          <w:spacing w:val="-15"/>
          <w:w w:val="105"/>
          <w:sz w:val="18"/>
        </w:rPr>
        <w:t> </w:t>
      </w:r>
      <w:r>
        <w:rPr>
          <w:w w:val="105"/>
          <w:sz w:val="18"/>
        </w:rPr>
        <w:t>governance.</w:t>
      </w:r>
    </w:p>
    <w:p>
      <w:pPr>
        <w:pStyle w:val="ListParagraph"/>
        <w:numPr>
          <w:ilvl w:val="0"/>
          <w:numId w:val="2"/>
        </w:numPr>
        <w:tabs>
          <w:tab w:pos="1850" w:val="left" w:leader="none"/>
        </w:tabs>
        <w:spacing w:line="240" w:lineRule="auto" w:before="9" w:after="0"/>
        <w:ind w:left="1849" w:right="0" w:hanging="339"/>
        <w:jc w:val="left"/>
        <w:rPr>
          <w:sz w:val="18"/>
        </w:rPr>
      </w:pPr>
      <w:r>
        <w:rPr>
          <w:w w:val="105"/>
          <w:sz w:val="18"/>
        </w:rPr>
        <w:t>A transition</w:t>
      </w:r>
      <w:r>
        <w:rPr>
          <w:spacing w:val="-6"/>
          <w:w w:val="105"/>
          <w:sz w:val="18"/>
        </w:rPr>
        <w:t> </w:t>
      </w:r>
      <w:r>
        <w:rPr>
          <w:w w:val="105"/>
          <w:sz w:val="18"/>
        </w:rPr>
        <w:t>plan.</w:t>
      </w:r>
    </w:p>
    <w:p>
      <w:pPr>
        <w:pStyle w:val="ListParagraph"/>
        <w:numPr>
          <w:ilvl w:val="0"/>
          <w:numId w:val="2"/>
        </w:numPr>
        <w:tabs>
          <w:tab w:pos="1850" w:val="left" w:leader="none"/>
        </w:tabs>
        <w:spacing w:line="240" w:lineRule="auto" w:before="12" w:after="0"/>
        <w:ind w:left="1849" w:right="0" w:hanging="339"/>
        <w:jc w:val="left"/>
        <w:rPr>
          <w:sz w:val="18"/>
        </w:rPr>
      </w:pPr>
      <w:r>
        <w:rPr>
          <w:w w:val="105"/>
          <w:sz w:val="18"/>
        </w:rPr>
        <w:t>An industry approved business case. Indicatively scheduled to complete</w:t>
      </w:r>
      <w:r>
        <w:rPr>
          <w:spacing w:val="-24"/>
          <w:w w:val="105"/>
          <w:sz w:val="18"/>
        </w:rPr>
        <w:t> </w:t>
      </w:r>
      <w:r>
        <w:rPr>
          <w:w w:val="105"/>
          <w:sz w:val="18"/>
        </w:rPr>
        <w:t>Q2-2020.</w:t>
      </w:r>
    </w:p>
    <w:p>
      <w:pPr>
        <w:pStyle w:val="BodyText"/>
        <w:spacing w:before="4"/>
        <w:rPr>
          <w:sz w:val="19"/>
        </w:rPr>
      </w:pPr>
    </w:p>
    <w:p>
      <w:pPr>
        <w:pStyle w:val="BodyText"/>
        <w:spacing w:line="249" w:lineRule="auto"/>
        <w:ind w:left="1115" w:right="1684"/>
      </w:pPr>
      <w:r>
        <w:rPr>
          <w:w w:val="105"/>
        </w:rPr>
        <w:t>The public consultation, previously agreed by the group, is expected to run at the end of this process when a sufficient level of detail on the proposed model(s) can be provided.</w:t>
      </w:r>
    </w:p>
    <w:p>
      <w:pPr>
        <w:pStyle w:val="BodyText"/>
        <w:rPr>
          <w:sz w:val="20"/>
        </w:rPr>
      </w:pPr>
    </w:p>
    <w:p>
      <w:pPr>
        <w:pStyle w:val="BodyText"/>
        <w:spacing w:before="10"/>
        <w:rPr>
          <w:sz w:val="17"/>
        </w:rPr>
      </w:pPr>
    </w:p>
    <w:p>
      <w:pPr>
        <w:pStyle w:val="Heading1"/>
        <w:numPr>
          <w:ilvl w:val="0"/>
          <w:numId w:val="3"/>
        </w:numPr>
        <w:tabs>
          <w:tab w:pos="1115" w:val="left" w:leader="none"/>
          <w:tab w:pos="1116" w:val="left" w:leader="none"/>
        </w:tabs>
        <w:spacing w:line="240" w:lineRule="auto" w:before="0" w:after="0"/>
        <w:ind w:left="1115" w:right="0" w:hanging="901"/>
        <w:jc w:val="left"/>
      </w:pPr>
      <w:r>
        <w:rPr>
          <w:w w:val="105"/>
        </w:rPr>
        <w:t>Review outstanding</w:t>
      </w:r>
      <w:r>
        <w:rPr>
          <w:spacing w:val="6"/>
          <w:w w:val="105"/>
        </w:rPr>
        <w:t> </w:t>
      </w:r>
      <w:r>
        <w:rPr>
          <w:w w:val="105"/>
        </w:rPr>
        <w:t>actions</w:t>
      </w:r>
    </w:p>
    <w:p>
      <w:pPr>
        <w:pStyle w:val="BodyText"/>
        <w:spacing w:before="7"/>
        <w:rPr>
          <w:b/>
          <w:sz w:val="19"/>
        </w:rPr>
      </w:pPr>
    </w:p>
    <w:p>
      <w:pPr>
        <w:pStyle w:val="BodyText"/>
        <w:ind w:left="1115"/>
      </w:pPr>
      <w:r>
        <w:rPr>
          <w:w w:val="105"/>
        </w:rPr>
        <w:t>Actions were reviewed and closed where applicable.</w:t>
      </w:r>
    </w:p>
    <w:p>
      <w:pPr>
        <w:pStyle w:val="BodyText"/>
        <w:spacing w:before="6"/>
        <w:rPr>
          <w:sz w:val="19"/>
        </w:rPr>
      </w:pPr>
    </w:p>
    <w:p>
      <w:pPr>
        <w:pStyle w:val="Heading1"/>
        <w:numPr>
          <w:ilvl w:val="0"/>
          <w:numId w:val="3"/>
        </w:numPr>
        <w:tabs>
          <w:tab w:pos="1115" w:val="left" w:leader="none"/>
          <w:tab w:pos="1116" w:val="left" w:leader="none"/>
        </w:tabs>
        <w:spacing w:line="240" w:lineRule="auto" w:before="0" w:after="0"/>
        <w:ind w:left="1115" w:right="0" w:hanging="901"/>
        <w:jc w:val="left"/>
      </w:pPr>
      <w:r>
        <w:rPr>
          <w:w w:val="105"/>
        </w:rPr>
        <w:t>AOB</w:t>
      </w:r>
    </w:p>
    <w:p>
      <w:pPr>
        <w:pStyle w:val="BodyText"/>
        <w:spacing w:before="7"/>
        <w:rPr>
          <w:b/>
          <w:sz w:val="19"/>
        </w:rPr>
      </w:pPr>
    </w:p>
    <w:p>
      <w:pPr>
        <w:pStyle w:val="BodyText"/>
        <w:spacing w:line="252" w:lineRule="auto"/>
        <w:ind w:left="1115" w:right="1580"/>
      </w:pPr>
      <w:r>
        <w:rPr>
          <w:w w:val="105"/>
        </w:rPr>
        <w:t>The group discussed whether there would be any impact on the work of the WDSG from the Future of Finance (FoF) report actions, which had been announced by the Governor at the Mansion House in June. The Bank of England commented that the FoF actions were focused on the broader payments landscape and did not change the conclusion that the work of the WDSG was necessary to ensure the future viability of cash within that landscape. The work should therefore continue as envisaged.</w:t>
      </w:r>
    </w:p>
    <w:sectPr>
      <w:pgSz w:w="12240" w:h="15840"/>
      <w:pgMar w:top="460" w:bottom="280" w:left="86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3"/>
      <w:numFmt w:val="decimal"/>
      <w:lvlText w:val="%1."/>
      <w:lvlJc w:val="left"/>
      <w:pPr>
        <w:ind w:left="1115" w:hanging="900"/>
        <w:jc w:val="left"/>
      </w:pPr>
      <w:rPr>
        <w:rFonts w:hint="default" w:ascii="Arial" w:hAnsi="Arial" w:eastAsia="Arial" w:cs="Arial"/>
        <w:b/>
        <w:bCs/>
        <w:spacing w:val="-2"/>
        <w:w w:val="103"/>
        <w:sz w:val="18"/>
        <w:szCs w:val="18"/>
        <w:lang w:val="en-US" w:eastAsia="en-US" w:bidi="ar-SA"/>
      </w:rPr>
    </w:lvl>
    <w:lvl w:ilvl="1">
      <w:start w:val="0"/>
      <w:numFmt w:val="bullet"/>
      <w:lvlText w:val="•"/>
      <w:lvlJc w:val="left"/>
      <w:pPr>
        <w:ind w:left="2058" w:hanging="900"/>
      </w:pPr>
      <w:rPr>
        <w:rFonts w:hint="default"/>
        <w:lang w:val="en-US" w:eastAsia="en-US" w:bidi="ar-SA"/>
      </w:rPr>
    </w:lvl>
    <w:lvl w:ilvl="2">
      <w:start w:val="0"/>
      <w:numFmt w:val="bullet"/>
      <w:lvlText w:val="•"/>
      <w:lvlJc w:val="left"/>
      <w:pPr>
        <w:ind w:left="2996" w:hanging="900"/>
      </w:pPr>
      <w:rPr>
        <w:rFonts w:hint="default"/>
        <w:lang w:val="en-US" w:eastAsia="en-US" w:bidi="ar-SA"/>
      </w:rPr>
    </w:lvl>
    <w:lvl w:ilvl="3">
      <w:start w:val="0"/>
      <w:numFmt w:val="bullet"/>
      <w:lvlText w:val="•"/>
      <w:lvlJc w:val="left"/>
      <w:pPr>
        <w:ind w:left="3934" w:hanging="900"/>
      </w:pPr>
      <w:rPr>
        <w:rFonts w:hint="default"/>
        <w:lang w:val="en-US" w:eastAsia="en-US" w:bidi="ar-SA"/>
      </w:rPr>
    </w:lvl>
    <w:lvl w:ilvl="4">
      <w:start w:val="0"/>
      <w:numFmt w:val="bullet"/>
      <w:lvlText w:val="•"/>
      <w:lvlJc w:val="left"/>
      <w:pPr>
        <w:ind w:left="4872" w:hanging="900"/>
      </w:pPr>
      <w:rPr>
        <w:rFonts w:hint="default"/>
        <w:lang w:val="en-US" w:eastAsia="en-US" w:bidi="ar-SA"/>
      </w:rPr>
    </w:lvl>
    <w:lvl w:ilvl="5">
      <w:start w:val="0"/>
      <w:numFmt w:val="bullet"/>
      <w:lvlText w:val="•"/>
      <w:lvlJc w:val="left"/>
      <w:pPr>
        <w:ind w:left="5810" w:hanging="900"/>
      </w:pPr>
      <w:rPr>
        <w:rFonts w:hint="default"/>
        <w:lang w:val="en-US" w:eastAsia="en-US" w:bidi="ar-SA"/>
      </w:rPr>
    </w:lvl>
    <w:lvl w:ilvl="6">
      <w:start w:val="0"/>
      <w:numFmt w:val="bullet"/>
      <w:lvlText w:val="•"/>
      <w:lvlJc w:val="left"/>
      <w:pPr>
        <w:ind w:left="6748" w:hanging="900"/>
      </w:pPr>
      <w:rPr>
        <w:rFonts w:hint="default"/>
        <w:lang w:val="en-US" w:eastAsia="en-US" w:bidi="ar-SA"/>
      </w:rPr>
    </w:lvl>
    <w:lvl w:ilvl="7">
      <w:start w:val="0"/>
      <w:numFmt w:val="bullet"/>
      <w:lvlText w:val="•"/>
      <w:lvlJc w:val="left"/>
      <w:pPr>
        <w:ind w:left="7686" w:hanging="900"/>
      </w:pPr>
      <w:rPr>
        <w:rFonts w:hint="default"/>
        <w:lang w:val="en-US" w:eastAsia="en-US" w:bidi="ar-SA"/>
      </w:rPr>
    </w:lvl>
    <w:lvl w:ilvl="8">
      <w:start w:val="0"/>
      <w:numFmt w:val="bullet"/>
      <w:lvlText w:val="•"/>
      <w:lvlJc w:val="left"/>
      <w:pPr>
        <w:ind w:left="8624" w:hanging="900"/>
      </w:pPr>
      <w:rPr>
        <w:rFonts w:hint="default"/>
        <w:lang w:val="en-US" w:eastAsia="en-US" w:bidi="ar-SA"/>
      </w:rPr>
    </w:lvl>
  </w:abstractNum>
  <w:abstractNum w:abstractNumId="1">
    <w:multiLevelType w:val="hybridMultilevel"/>
    <w:lvl w:ilvl="0">
      <w:start w:val="1"/>
      <w:numFmt w:val="decimal"/>
      <w:lvlText w:val="%1."/>
      <w:lvlJc w:val="left"/>
      <w:pPr>
        <w:ind w:left="1849" w:hanging="338"/>
        <w:jc w:val="left"/>
      </w:pPr>
      <w:rPr>
        <w:rFonts w:hint="default" w:ascii="Arial" w:hAnsi="Arial" w:eastAsia="Arial" w:cs="Arial"/>
        <w:spacing w:val="-2"/>
        <w:w w:val="103"/>
        <w:sz w:val="18"/>
        <w:szCs w:val="18"/>
        <w:lang w:val="en-US" w:eastAsia="en-US" w:bidi="ar-SA"/>
      </w:rPr>
    </w:lvl>
    <w:lvl w:ilvl="1">
      <w:start w:val="0"/>
      <w:numFmt w:val="bullet"/>
      <w:lvlText w:val="•"/>
      <w:lvlJc w:val="left"/>
      <w:pPr>
        <w:ind w:left="2706" w:hanging="338"/>
      </w:pPr>
      <w:rPr>
        <w:rFonts w:hint="default"/>
        <w:lang w:val="en-US" w:eastAsia="en-US" w:bidi="ar-SA"/>
      </w:rPr>
    </w:lvl>
    <w:lvl w:ilvl="2">
      <w:start w:val="0"/>
      <w:numFmt w:val="bullet"/>
      <w:lvlText w:val="•"/>
      <w:lvlJc w:val="left"/>
      <w:pPr>
        <w:ind w:left="3572" w:hanging="338"/>
      </w:pPr>
      <w:rPr>
        <w:rFonts w:hint="default"/>
        <w:lang w:val="en-US" w:eastAsia="en-US" w:bidi="ar-SA"/>
      </w:rPr>
    </w:lvl>
    <w:lvl w:ilvl="3">
      <w:start w:val="0"/>
      <w:numFmt w:val="bullet"/>
      <w:lvlText w:val="•"/>
      <w:lvlJc w:val="left"/>
      <w:pPr>
        <w:ind w:left="4438" w:hanging="338"/>
      </w:pPr>
      <w:rPr>
        <w:rFonts w:hint="default"/>
        <w:lang w:val="en-US" w:eastAsia="en-US" w:bidi="ar-SA"/>
      </w:rPr>
    </w:lvl>
    <w:lvl w:ilvl="4">
      <w:start w:val="0"/>
      <w:numFmt w:val="bullet"/>
      <w:lvlText w:val="•"/>
      <w:lvlJc w:val="left"/>
      <w:pPr>
        <w:ind w:left="5304" w:hanging="338"/>
      </w:pPr>
      <w:rPr>
        <w:rFonts w:hint="default"/>
        <w:lang w:val="en-US" w:eastAsia="en-US" w:bidi="ar-SA"/>
      </w:rPr>
    </w:lvl>
    <w:lvl w:ilvl="5">
      <w:start w:val="0"/>
      <w:numFmt w:val="bullet"/>
      <w:lvlText w:val="•"/>
      <w:lvlJc w:val="left"/>
      <w:pPr>
        <w:ind w:left="6170" w:hanging="338"/>
      </w:pPr>
      <w:rPr>
        <w:rFonts w:hint="default"/>
        <w:lang w:val="en-US" w:eastAsia="en-US" w:bidi="ar-SA"/>
      </w:rPr>
    </w:lvl>
    <w:lvl w:ilvl="6">
      <w:start w:val="0"/>
      <w:numFmt w:val="bullet"/>
      <w:lvlText w:val="•"/>
      <w:lvlJc w:val="left"/>
      <w:pPr>
        <w:ind w:left="7036" w:hanging="338"/>
      </w:pPr>
      <w:rPr>
        <w:rFonts w:hint="default"/>
        <w:lang w:val="en-US" w:eastAsia="en-US" w:bidi="ar-SA"/>
      </w:rPr>
    </w:lvl>
    <w:lvl w:ilvl="7">
      <w:start w:val="0"/>
      <w:numFmt w:val="bullet"/>
      <w:lvlText w:val="•"/>
      <w:lvlJc w:val="left"/>
      <w:pPr>
        <w:ind w:left="7902" w:hanging="338"/>
      </w:pPr>
      <w:rPr>
        <w:rFonts w:hint="default"/>
        <w:lang w:val="en-US" w:eastAsia="en-US" w:bidi="ar-SA"/>
      </w:rPr>
    </w:lvl>
    <w:lvl w:ilvl="8">
      <w:start w:val="0"/>
      <w:numFmt w:val="bullet"/>
      <w:lvlText w:val="•"/>
      <w:lvlJc w:val="left"/>
      <w:pPr>
        <w:ind w:left="8768" w:hanging="338"/>
      </w:pPr>
      <w:rPr>
        <w:rFonts w:hint="default"/>
        <w:lang w:val="en-US" w:eastAsia="en-US" w:bidi="ar-SA"/>
      </w:rPr>
    </w:lvl>
  </w:abstractNum>
  <w:abstractNum w:abstractNumId="0">
    <w:multiLevelType w:val="hybridMultilevel"/>
    <w:lvl w:ilvl="0">
      <w:start w:val="1"/>
      <w:numFmt w:val="decimal"/>
      <w:lvlText w:val="%1."/>
      <w:lvlJc w:val="left"/>
      <w:pPr>
        <w:ind w:left="1115" w:hanging="900"/>
        <w:jc w:val="left"/>
      </w:pPr>
      <w:rPr>
        <w:rFonts w:hint="default" w:ascii="Arial" w:hAnsi="Arial" w:eastAsia="Arial" w:cs="Arial"/>
        <w:b/>
        <w:bCs/>
        <w:spacing w:val="-1"/>
        <w:w w:val="103"/>
        <w:sz w:val="18"/>
        <w:szCs w:val="18"/>
        <w:lang w:val="en-US" w:eastAsia="en-US" w:bidi="ar-SA"/>
      </w:rPr>
    </w:lvl>
    <w:lvl w:ilvl="1">
      <w:start w:val="0"/>
      <w:numFmt w:val="bullet"/>
      <w:lvlText w:val="-"/>
      <w:lvlJc w:val="left"/>
      <w:pPr>
        <w:ind w:left="1446" w:hanging="339"/>
      </w:pPr>
      <w:rPr>
        <w:rFonts w:hint="default" w:ascii="Arial" w:hAnsi="Arial" w:eastAsia="Arial" w:cs="Arial"/>
        <w:w w:val="103"/>
        <w:sz w:val="18"/>
        <w:szCs w:val="18"/>
        <w:lang w:val="en-US" w:eastAsia="en-US" w:bidi="ar-SA"/>
      </w:rPr>
    </w:lvl>
    <w:lvl w:ilvl="2">
      <w:start w:val="0"/>
      <w:numFmt w:val="bullet"/>
      <w:lvlText w:val="-"/>
      <w:lvlJc w:val="left"/>
      <w:pPr>
        <w:ind w:left="1791" w:hanging="339"/>
      </w:pPr>
      <w:rPr>
        <w:rFonts w:hint="default" w:ascii="Arial" w:hAnsi="Arial" w:eastAsia="Arial" w:cs="Arial"/>
        <w:w w:val="103"/>
        <w:sz w:val="18"/>
        <w:szCs w:val="18"/>
        <w:lang w:val="en-US" w:eastAsia="en-US" w:bidi="ar-SA"/>
      </w:rPr>
    </w:lvl>
    <w:lvl w:ilvl="3">
      <w:start w:val="0"/>
      <w:numFmt w:val="bullet"/>
      <w:lvlText w:val="•"/>
      <w:lvlJc w:val="left"/>
      <w:pPr>
        <w:ind w:left="2887" w:hanging="339"/>
      </w:pPr>
      <w:rPr>
        <w:rFonts w:hint="default"/>
        <w:lang w:val="en-US" w:eastAsia="en-US" w:bidi="ar-SA"/>
      </w:rPr>
    </w:lvl>
    <w:lvl w:ilvl="4">
      <w:start w:val="0"/>
      <w:numFmt w:val="bullet"/>
      <w:lvlText w:val="•"/>
      <w:lvlJc w:val="left"/>
      <w:pPr>
        <w:ind w:left="3975" w:hanging="339"/>
      </w:pPr>
      <w:rPr>
        <w:rFonts w:hint="default"/>
        <w:lang w:val="en-US" w:eastAsia="en-US" w:bidi="ar-SA"/>
      </w:rPr>
    </w:lvl>
    <w:lvl w:ilvl="5">
      <w:start w:val="0"/>
      <w:numFmt w:val="bullet"/>
      <w:lvlText w:val="•"/>
      <w:lvlJc w:val="left"/>
      <w:pPr>
        <w:ind w:left="5062" w:hanging="339"/>
      </w:pPr>
      <w:rPr>
        <w:rFonts w:hint="default"/>
        <w:lang w:val="en-US" w:eastAsia="en-US" w:bidi="ar-SA"/>
      </w:rPr>
    </w:lvl>
    <w:lvl w:ilvl="6">
      <w:start w:val="0"/>
      <w:numFmt w:val="bullet"/>
      <w:lvlText w:val="•"/>
      <w:lvlJc w:val="left"/>
      <w:pPr>
        <w:ind w:left="6150" w:hanging="339"/>
      </w:pPr>
      <w:rPr>
        <w:rFonts w:hint="default"/>
        <w:lang w:val="en-US" w:eastAsia="en-US" w:bidi="ar-SA"/>
      </w:rPr>
    </w:lvl>
    <w:lvl w:ilvl="7">
      <w:start w:val="0"/>
      <w:numFmt w:val="bullet"/>
      <w:lvlText w:val="•"/>
      <w:lvlJc w:val="left"/>
      <w:pPr>
        <w:ind w:left="7237" w:hanging="339"/>
      </w:pPr>
      <w:rPr>
        <w:rFonts w:hint="default"/>
        <w:lang w:val="en-US" w:eastAsia="en-US" w:bidi="ar-SA"/>
      </w:rPr>
    </w:lvl>
    <w:lvl w:ilvl="8">
      <w:start w:val="0"/>
      <w:numFmt w:val="bullet"/>
      <w:lvlText w:val="•"/>
      <w:lvlJc w:val="left"/>
      <w:pPr>
        <w:ind w:left="8325" w:hanging="339"/>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18"/>
      <w:szCs w:val="18"/>
      <w:lang w:val="en-US" w:eastAsia="en-US" w:bidi="ar-SA"/>
    </w:rPr>
  </w:style>
  <w:style w:styleId="Heading1" w:type="paragraph">
    <w:name w:val="Heading 1"/>
    <w:basedOn w:val="Normal"/>
    <w:uiPriority w:val="1"/>
    <w:qFormat/>
    <w:pPr>
      <w:ind w:left="1115" w:hanging="901"/>
      <w:outlineLvl w:val="1"/>
    </w:pPr>
    <w:rPr>
      <w:rFonts w:ascii="Arial" w:hAnsi="Arial" w:eastAsia="Arial" w:cs="Arial"/>
      <w:b/>
      <w:bCs/>
      <w:sz w:val="18"/>
      <w:szCs w:val="18"/>
      <w:lang w:val="en-US" w:eastAsia="en-US" w:bidi="ar-SA"/>
    </w:rPr>
  </w:style>
  <w:style w:styleId="Title" w:type="paragraph">
    <w:name w:val="Title"/>
    <w:basedOn w:val="Normal"/>
    <w:uiPriority w:val="1"/>
    <w:qFormat/>
    <w:pPr>
      <w:spacing w:before="245"/>
      <w:ind w:left="116"/>
    </w:pPr>
    <w:rPr>
      <w:rFonts w:ascii="Arial" w:hAnsi="Arial" w:eastAsia="Arial" w:cs="Arial"/>
      <w:sz w:val="41"/>
      <w:szCs w:val="41"/>
      <w:lang w:val="en-US" w:eastAsia="en-US" w:bidi="ar-SA"/>
    </w:rPr>
  </w:style>
  <w:style w:styleId="ListParagraph" w:type="paragraph">
    <w:name w:val="List Paragraph"/>
    <w:basedOn w:val="Normal"/>
    <w:uiPriority w:val="1"/>
    <w:qFormat/>
    <w:pPr>
      <w:ind w:left="1115" w:hanging="339"/>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Wholesale Distribution Steering Group </dc:title>
  <dcterms:created xsi:type="dcterms:W3CDTF">2020-06-02T14:23:06Z</dcterms:created>
  <dcterms:modified xsi:type="dcterms:W3CDTF">2020-06-02T14:23:06Z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2019-07-31T00:00:00Z</vt:filetime>
  </property>
  <property fmtid="{D5CDD505-2E9C-101B-9397-08002B2CF9AE}" pid="3" name="LastSaved">
    <vt:filetime>2020-06-02T00:00:00Z</vt:filetime>
  </property>
</Properties>
</file>