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4"/>
        </w:rPr>
      </w:pPr>
    </w:p>
    <w:p>
      <w:pPr>
        <w:spacing w:before="88"/>
        <w:ind w:left="116" w:right="0" w:firstLine="0"/>
        <w:jc w:val="left"/>
        <w:rPr>
          <w:sz w:val="41"/>
        </w:rPr>
      </w:pPr>
      <w:r>
        <w:rPr>
          <w:sz w:val="41"/>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24 March 2020</w:t>
      </w:r>
    </w:p>
    <w:p>
      <w:pPr>
        <w:pStyle w:val="BodyText"/>
        <w:spacing w:before="9"/>
      </w:pPr>
      <w:r>
        <w:rPr/>
        <w:pict>
          <v:shape style="position:absolute;margin-left:48.840004pt;margin-top:12.970326pt;width:513.85pt;height:.1pt;mso-position-horizontal-relative:page;mso-position-vertical-relative:paragraph;z-index:-251658240;mso-wrap-distance-left:0;mso-wrap-distance-right:0" coordorigin="977,259" coordsize="10277,0" path="m977,259l11254,259e" filled="false" stroked="true" strokeweight=".360008pt" strokecolor="#000000">
            <v:path arrowok="t"/>
            <v:stroke dashstyle="solid"/>
            <w10:wrap type="topAndBottom"/>
          </v:shape>
        </w:pict>
      </w:r>
    </w:p>
    <w:p>
      <w:pPr>
        <w:pStyle w:val="BodyText"/>
        <w:rPr>
          <w:sz w:val="7"/>
        </w:rPr>
      </w:pPr>
    </w:p>
    <w:p>
      <w:pPr>
        <w:spacing w:before="100"/>
        <w:ind w:left="116" w:right="0" w:firstLine="0"/>
        <w:jc w:val="left"/>
        <w:rPr>
          <w:b/>
          <w:sz w:val="18"/>
        </w:rPr>
      </w:pPr>
      <w:r>
        <w:rPr>
          <w:w w:val="105"/>
          <w:sz w:val="18"/>
        </w:rPr>
        <w:t>Location: </w:t>
      </w:r>
      <w:r>
        <w:rPr>
          <w:b/>
          <w:w w:val="105"/>
          <w:sz w:val="18"/>
        </w:rPr>
        <w:t>The Meeting took place via audio link.</w:t>
      </w:r>
    </w:p>
    <w:p>
      <w:pPr>
        <w:pStyle w:val="BodyText"/>
        <w:spacing w:before="6"/>
        <w:rPr>
          <w:b/>
          <w:sz w:val="22"/>
        </w:rPr>
      </w:pPr>
    </w:p>
    <w:p>
      <w:pPr>
        <w:pStyle w:val="BodyText"/>
        <w:spacing w:line="285" w:lineRule="auto"/>
        <w:ind w:left="1066" w:right="1582" w:hanging="950"/>
      </w:pPr>
      <w:r>
        <w:rPr>
          <w:w w:val="105"/>
        </w:rPr>
        <w:t>Attendees: </w:t>
      </w:r>
      <w:r>
        <w:rPr>
          <w:b/>
          <w:w w:val="105"/>
        </w:rPr>
        <w:t>Bank of England</w:t>
      </w:r>
      <w:r>
        <w:rPr>
          <w:w w:val="105"/>
        </w:rPr>
        <w:t>: Sarah John (Chair), Martin Etheridge, Mark McLintock, Menaha Yogendra, Kevin Finan</w:t>
      </w:r>
    </w:p>
    <w:p>
      <w:pPr>
        <w:pStyle w:val="BodyText"/>
        <w:spacing w:before="4"/>
        <w:ind w:left="1066"/>
      </w:pPr>
      <w:r>
        <w:rPr>
          <w:b/>
          <w:w w:val="105"/>
        </w:rPr>
        <w:t>UK Finance</w:t>
      </w:r>
      <w:r>
        <w:rPr>
          <w:w w:val="105"/>
        </w:rPr>
        <w:t>: Russell Saunders, Eric Leenders, Philip Mind</w:t>
      </w:r>
    </w:p>
    <w:p>
      <w:pPr>
        <w:spacing w:before="43"/>
        <w:ind w:left="1066" w:right="0" w:firstLine="0"/>
        <w:jc w:val="left"/>
        <w:rPr>
          <w:sz w:val="18"/>
        </w:rPr>
      </w:pPr>
      <w:r>
        <w:rPr>
          <w:b/>
          <w:w w:val="105"/>
          <w:sz w:val="18"/>
        </w:rPr>
        <w:t>Barclays: </w:t>
      </w:r>
      <w:r>
        <w:rPr>
          <w:w w:val="105"/>
          <w:sz w:val="18"/>
        </w:rPr>
        <w:t>Tim Allen</w:t>
      </w:r>
    </w:p>
    <w:p>
      <w:pPr>
        <w:spacing w:before="40"/>
        <w:ind w:left="1066" w:right="0" w:firstLine="0"/>
        <w:jc w:val="left"/>
        <w:rPr>
          <w:sz w:val="18"/>
        </w:rPr>
      </w:pPr>
      <w:r>
        <w:rPr>
          <w:b/>
          <w:w w:val="105"/>
          <w:sz w:val="18"/>
        </w:rPr>
        <w:t>Lloyds Banking Group: </w:t>
      </w:r>
      <w:r>
        <w:rPr>
          <w:w w:val="105"/>
          <w:sz w:val="18"/>
        </w:rPr>
        <w:t>Otto Benz</w:t>
      </w:r>
    </w:p>
    <w:p>
      <w:pPr>
        <w:spacing w:before="42"/>
        <w:ind w:left="1066" w:right="0" w:firstLine="0"/>
        <w:jc w:val="left"/>
        <w:rPr>
          <w:sz w:val="18"/>
        </w:rPr>
      </w:pPr>
      <w:r>
        <w:rPr>
          <w:b/>
          <w:w w:val="105"/>
          <w:sz w:val="18"/>
        </w:rPr>
        <w:t>HSBC</w:t>
      </w:r>
      <w:r>
        <w:rPr>
          <w:w w:val="105"/>
          <w:sz w:val="18"/>
        </w:rPr>
        <w:t>: Sue Yarham</w:t>
      </w:r>
    </w:p>
    <w:p>
      <w:pPr>
        <w:spacing w:before="41"/>
        <w:ind w:left="1066" w:right="0" w:firstLine="0"/>
        <w:jc w:val="left"/>
        <w:rPr>
          <w:sz w:val="18"/>
        </w:rPr>
      </w:pPr>
      <w:r>
        <w:rPr>
          <w:b/>
          <w:w w:val="105"/>
          <w:sz w:val="18"/>
        </w:rPr>
        <w:t>Royal Bank of Scotland: </w:t>
      </w:r>
      <w:r>
        <w:rPr>
          <w:w w:val="105"/>
          <w:sz w:val="18"/>
        </w:rPr>
        <w:t>Richard Talbot</w:t>
      </w:r>
    </w:p>
    <w:p>
      <w:pPr>
        <w:spacing w:before="42"/>
        <w:ind w:left="1067" w:right="0" w:firstLine="0"/>
        <w:jc w:val="left"/>
        <w:rPr>
          <w:sz w:val="18"/>
        </w:rPr>
      </w:pPr>
      <w:r>
        <w:rPr>
          <w:b/>
          <w:w w:val="105"/>
          <w:sz w:val="18"/>
        </w:rPr>
        <w:t>Santander: </w:t>
      </w:r>
      <w:r>
        <w:rPr>
          <w:w w:val="105"/>
          <w:sz w:val="18"/>
        </w:rPr>
        <w:t>Robert White</w:t>
      </w:r>
    </w:p>
    <w:p>
      <w:pPr>
        <w:spacing w:before="43"/>
        <w:ind w:left="1067" w:right="0" w:firstLine="0"/>
        <w:jc w:val="left"/>
        <w:rPr>
          <w:sz w:val="18"/>
        </w:rPr>
      </w:pPr>
      <w:r>
        <w:rPr>
          <w:b/>
          <w:w w:val="105"/>
          <w:sz w:val="18"/>
        </w:rPr>
        <w:t>HM Treasury: </w:t>
      </w:r>
      <w:r>
        <w:rPr>
          <w:w w:val="105"/>
          <w:sz w:val="18"/>
        </w:rPr>
        <w:t>Derek Dunne (Alternate)</w:t>
      </w:r>
    </w:p>
    <w:p>
      <w:pPr>
        <w:pStyle w:val="BodyText"/>
        <w:spacing w:before="2"/>
        <w:rPr>
          <w:sz w:val="25"/>
        </w:rPr>
      </w:pPr>
    </w:p>
    <w:p>
      <w:pPr>
        <w:spacing w:before="0"/>
        <w:ind w:left="1066" w:right="0" w:firstLine="0"/>
        <w:jc w:val="left"/>
        <w:rPr>
          <w:sz w:val="18"/>
        </w:rPr>
      </w:pPr>
      <w:r>
        <w:rPr>
          <w:b/>
          <w:w w:val="105"/>
          <w:sz w:val="18"/>
        </w:rPr>
        <w:t>KPMG: </w:t>
      </w:r>
      <w:r>
        <w:rPr>
          <w:w w:val="105"/>
          <w:sz w:val="18"/>
        </w:rPr>
        <w:t>Simon Walker</w:t>
      </w:r>
    </w:p>
    <w:p>
      <w:pPr>
        <w:pStyle w:val="BodyText"/>
        <w:rPr>
          <w:sz w:val="20"/>
        </w:rPr>
      </w:pPr>
    </w:p>
    <w:p>
      <w:pPr>
        <w:pStyle w:val="BodyText"/>
        <w:rPr>
          <w:sz w:val="24"/>
        </w:rPr>
      </w:pPr>
    </w:p>
    <w:p>
      <w:pPr>
        <w:pStyle w:val="BodyText"/>
        <w:spacing w:line="285" w:lineRule="auto"/>
        <w:ind w:left="1014" w:hanging="898"/>
      </w:pPr>
      <w:r>
        <w:rPr>
          <w:w w:val="105"/>
        </w:rPr>
        <w:t>Apologies: Kevin McMullan (Danske Bank), Mario Pisani (HMT), John Garrett (First Trust Bank), Julie Fitzgibbon (Bank of Ireland), Dougie Belmore (Virgin Money UK), Russell Hancock (Post Office)</w:t>
      </w:r>
    </w:p>
    <w:p>
      <w:pPr>
        <w:pStyle w:val="BodyText"/>
        <w:rPr>
          <w:sz w:val="20"/>
        </w:rPr>
      </w:pPr>
    </w:p>
    <w:p>
      <w:pPr>
        <w:pStyle w:val="BodyText"/>
        <w:rPr>
          <w:sz w:val="20"/>
        </w:rPr>
      </w:pPr>
    </w:p>
    <w:p>
      <w:pPr>
        <w:pStyle w:val="BodyText"/>
        <w:spacing w:before="5"/>
        <w:rPr>
          <w:sz w:val="19"/>
        </w:rPr>
      </w:pPr>
    </w:p>
    <w:p>
      <w:pPr>
        <w:pStyle w:val="Heading1"/>
        <w:ind w:left="215" w:firstLine="0"/>
      </w:pPr>
      <w:r>
        <w:rPr>
          <w:w w:val="105"/>
        </w:rPr>
        <w:t>Item</w:t>
      </w:r>
    </w:p>
    <w:p>
      <w:pPr>
        <w:pStyle w:val="BodyText"/>
        <w:rPr>
          <w:b/>
          <w:sz w:val="21"/>
        </w:rPr>
      </w:pPr>
    </w:p>
    <w:p>
      <w:pPr>
        <w:pStyle w:val="ListParagraph"/>
        <w:numPr>
          <w:ilvl w:val="0"/>
          <w:numId w:val="1"/>
        </w:numPr>
        <w:tabs>
          <w:tab w:pos="1115" w:val="left" w:leader="none"/>
          <w:tab w:pos="1116" w:val="left" w:leader="none"/>
        </w:tabs>
        <w:spacing w:line="240" w:lineRule="auto" w:before="0" w:after="0"/>
        <w:ind w:left="1115" w:right="0" w:hanging="901"/>
        <w:jc w:val="left"/>
        <w:rPr>
          <w:b/>
          <w:sz w:val="18"/>
        </w:rPr>
      </w:pPr>
      <w:r>
        <w:rPr>
          <w:b/>
          <w:w w:val="105"/>
          <w:sz w:val="18"/>
        </w:rPr>
        <w:t>Standing agenda</w:t>
      </w:r>
      <w:r>
        <w:rPr>
          <w:b/>
          <w:spacing w:val="-1"/>
          <w:w w:val="105"/>
          <w:sz w:val="18"/>
        </w:rPr>
        <w:t> </w:t>
      </w:r>
      <w:r>
        <w:rPr>
          <w:b/>
          <w:w w:val="105"/>
          <w:sz w:val="18"/>
        </w:rPr>
        <w:t>items</w:t>
      </w:r>
    </w:p>
    <w:p>
      <w:pPr>
        <w:pStyle w:val="BodyText"/>
        <w:rPr>
          <w:b/>
          <w:sz w:val="25"/>
        </w:rPr>
      </w:pPr>
    </w:p>
    <w:p>
      <w:pPr>
        <w:pStyle w:val="ListParagraph"/>
        <w:numPr>
          <w:ilvl w:val="1"/>
          <w:numId w:val="1"/>
        </w:numPr>
        <w:tabs>
          <w:tab w:pos="1446" w:val="left" w:leader="none"/>
          <w:tab w:pos="1447" w:val="left" w:leader="none"/>
        </w:tabs>
        <w:spacing w:line="240" w:lineRule="auto" w:before="0" w:after="0"/>
        <w:ind w:left="1446" w:right="0" w:hanging="340"/>
        <w:jc w:val="left"/>
        <w:rPr>
          <w:b/>
          <w:sz w:val="18"/>
        </w:rPr>
      </w:pPr>
      <w:r>
        <w:rPr>
          <w:b/>
          <w:w w:val="105"/>
          <w:sz w:val="18"/>
        </w:rPr>
        <w:t>February 2020</w:t>
      </w:r>
      <w:r>
        <w:rPr>
          <w:b/>
          <w:spacing w:val="1"/>
          <w:w w:val="105"/>
          <w:sz w:val="18"/>
        </w:rPr>
        <w:t> </w:t>
      </w:r>
      <w:r>
        <w:rPr>
          <w:b/>
          <w:w w:val="105"/>
          <w:sz w:val="18"/>
        </w:rPr>
        <w:t>minutes:</w:t>
      </w:r>
    </w:p>
    <w:p>
      <w:pPr>
        <w:pStyle w:val="BodyText"/>
        <w:spacing w:before="45"/>
        <w:ind w:left="1115"/>
      </w:pPr>
      <w:r>
        <w:rPr>
          <w:w w:val="105"/>
        </w:rPr>
        <w:t>The group agreed the February 2020 minutes, and approved their publication.</w:t>
      </w:r>
    </w:p>
    <w:p>
      <w:pPr>
        <w:pStyle w:val="BodyText"/>
        <w:spacing w:before="2"/>
        <w:rPr>
          <w:sz w:val="25"/>
        </w:rPr>
      </w:pPr>
    </w:p>
    <w:p>
      <w:pPr>
        <w:pStyle w:val="Heading1"/>
        <w:numPr>
          <w:ilvl w:val="1"/>
          <w:numId w:val="1"/>
        </w:numPr>
        <w:tabs>
          <w:tab w:pos="1446" w:val="left" w:leader="none"/>
          <w:tab w:pos="1447" w:val="left" w:leader="none"/>
        </w:tabs>
        <w:spacing w:line="240" w:lineRule="auto" w:before="1" w:after="0"/>
        <w:ind w:left="1446" w:right="0" w:hanging="340"/>
        <w:jc w:val="left"/>
      </w:pPr>
      <w:r>
        <w:rPr>
          <w:w w:val="105"/>
        </w:rPr>
        <w:t>Sharing information on stakeholder</w:t>
      </w:r>
      <w:r>
        <w:rPr>
          <w:spacing w:val="-4"/>
          <w:w w:val="105"/>
        </w:rPr>
        <w:t> </w:t>
      </w:r>
      <w:r>
        <w:rPr>
          <w:w w:val="105"/>
        </w:rPr>
        <w:t>engagement:</w:t>
      </w:r>
    </w:p>
    <w:p>
      <w:pPr>
        <w:pStyle w:val="BodyText"/>
        <w:spacing w:before="40"/>
        <w:ind w:left="1115"/>
      </w:pPr>
      <w:r>
        <w:rPr>
          <w:w w:val="105"/>
        </w:rPr>
        <w:t>No updates were noted.</w:t>
      </w:r>
    </w:p>
    <w:p>
      <w:pPr>
        <w:pStyle w:val="BodyText"/>
        <w:spacing w:before="7"/>
        <w:rPr>
          <w:sz w:val="26"/>
        </w:rPr>
      </w:pPr>
    </w:p>
    <w:p>
      <w:pPr>
        <w:pStyle w:val="Heading1"/>
        <w:numPr>
          <w:ilvl w:val="0"/>
          <w:numId w:val="1"/>
        </w:numPr>
        <w:tabs>
          <w:tab w:pos="1115" w:val="left" w:leader="none"/>
          <w:tab w:pos="1116" w:val="left" w:leader="none"/>
        </w:tabs>
        <w:spacing w:line="240" w:lineRule="auto" w:before="1" w:after="0"/>
        <w:ind w:left="1115" w:right="0" w:hanging="901"/>
        <w:jc w:val="left"/>
      </w:pPr>
      <w:r>
        <w:rPr>
          <w:w w:val="105"/>
        </w:rPr>
        <w:t>Project</w:t>
      </w:r>
      <w:r>
        <w:rPr>
          <w:spacing w:val="-2"/>
          <w:w w:val="105"/>
        </w:rPr>
        <w:t> </w:t>
      </w:r>
      <w:r>
        <w:rPr>
          <w:w w:val="105"/>
        </w:rPr>
        <w:t>Progress</w:t>
      </w:r>
    </w:p>
    <w:p>
      <w:pPr>
        <w:pStyle w:val="BodyText"/>
        <w:spacing w:before="4"/>
        <w:rPr>
          <w:b/>
          <w:sz w:val="25"/>
        </w:rPr>
      </w:pPr>
    </w:p>
    <w:p>
      <w:pPr>
        <w:pStyle w:val="BodyText"/>
        <w:spacing w:line="285" w:lineRule="auto"/>
        <w:ind w:left="1115" w:right="1465"/>
      </w:pPr>
      <w:r>
        <w:rPr>
          <w:w w:val="105"/>
        </w:rPr>
        <w:t>KPMG provided a progress report on their work plan for developing the future cash distribution model. The following points were covered:</w:t>
      </w:r>
    </w:p>
    <w:p>
      <w:pPr>
        <w:pStyle w:val="BodyText"/>
        <w:spacing w:before="10"/>
        <w:rPr>
          <w:sz w:val="21"/>
        </w:rPr>
      </w:pPr>
    </w:p>
    <w:p>
      <w:pPr>
        <w:pStyle w:val="ListParagraph"/>
        <w:numPr>
          <w:ilvl w:val="0"/>
          <w:numId w:val="2"/>
        </w:numPr>
        <w:tabs>
          <w:tab w:pos="1792" w:val="left" w:leader="none"/>
        </w:tabs>
        <w:spacing w:line="292" w:lineRule="auto" w:before="0" w:after="0"/>
        <w:ind w:left="1792" w:right="2077" w:hanging="339"/>
        <w:jc w:val="left"/>
        <w:rPr>
          <w:sz w:val="18"/>
        </w:rPr>
      </w:pPr>
      <w:r>
        <w:rPr>
          <w:w w:val="105"/>
          <w:sz w:val="18"/>
        </w:rPr>
        <w:t>Since</w:t>
      </w:r>
      <w:r>
        <w:rPr>
          <w:spacing w:val="-5"/>
          <w:w w:val="105"/>
          <w:sz w:val="18"/>
        </w:rPr>
        <w:t> </w:t>
      </w:r>
      <w:r>
        <w:rPr>
          <w:w w:val="105"/>
          <w:sz w:val="18"/>
        </w:rPr>
        <w:t>the</w:t>
      </w:r>
      <w:r>
        <w:rPr>
          <w:spacing w:val="-3"/>
          <w:w w:val="105"/>
          <w:sz w:val="18"/>
        </w:rPr>
        <w:t> </w:t>
      </w:r>
      <w:r>
        <w:rPr>
          <w:w w:val="105"/>
          <w:sz w:val="18"/>
        </w:rPr>
        <w:t>last</w:t>
      </w:r>
      <w:r>
        <w:rPr>
          <w:spacing w:val="-5"/>
          <w:w w:val="105"/>
          <w:sz w:val="18"/>
        </w:rPr>
        <w:t> </w:t>
      </w:r>
      <w:r>
        <w:rPr>
          <w:w w:val="105"/>
          <w:sz w:val="18"/>
        </w:rPr>
        <w:t>meeting,</w:t>
      </w:r>
      <w:r>
        <w:rPr>
          <w:spacing w:val="-3"/>
          <w:w w:val="105"/>
          <w:sz w:val="18"/>
        </w:rPr>
        <w:t> </w:t>
      </w:r>
      <w:r>
        <w:rPr>
          <w:w w:val="105"/>
          <w:sz w:val="18"/>
        </w:rPr>
        <w:t>KPMG</w:t>
      </w:r>
      <w:r>
        <w:rPr>
          <w:spacing w:val="-7"/>
          <w:w w:val="105"/>
          <w:sz w:val="18"/>
        </w:rPr>
        <w:t> </w:t>
      </w:r>
      <w:r>
        <w:rPr>
          <w:w w:val="105"/>
          <w:sz w:val="18"/>
        </w:rPr>
        <w:t>has</w:t>
      </w:r>
      <w:r>
        <w:rPr>
          <w:spacing w:val="-7"/>
          <w:w w:val="105"/>
          <w:sz w:val="18"/>
        </w:rPr>
        <w:t> </w:t>
      </w:r>
      <w:r>
        <w:rPr>
          <w:w w:val="105"/>
          <w:sz w:val="18"/>
        </w:rPr>
        <w:t>focussed</w:t>
      </w:r>
      <w:r>
        <w:rPr>
          <w:spacing w:val="-4"/>
          <w:w w:val="105"/>
          <w:sz w:val="18"/>
        </w:rPr>
        <w:t> </w:t>
      </w:r>
      <w:r>
        <w:rPr>
          <w:w w:val="105"/>
          <w:sz w:val="18"/>
        </w:rPr>
        <w:t>on</w:t>
      </w:r>
      <w:r>
        <w:rPr>
          <w:spacing w:val="-6"/>
          <w:w w:val="105"/>
          <w:sz w:val="18"/>
        </w:rPr>
        <w:t> </w:t>
      </w:r>
      <w:r>
        <w:rPr>
          <w:w w:val="105"/>
          <w:sz w:val="18"/>
        </w:rPr>
        <w:t>finalising</w:t>
      </w:r>
      <w:r>
        <w:rPr>
          <w:spacing w:val="-7"/>
          <w:w w:val="105"/>
          <w:sz w:val="18"/>
        </w:rPr>
        <w:t> </w:t>
      </w:r>
      <w:r>
        <w:rPr>
          <w:w w:val="105"/>
          <w:sz w:val="18"/>
        </w:rPr>
        <w:t>the</w:t>
      </w:r>
      <w:r>
        <w:rPr>
          <w:spacing w:val="-5"/>
          <w:w w:val="105"/>
          <w:sz w:val="18"/>
        </w:rPr>
        <w:t> </w:t>
      </w:r>
      <w:r>
        <w:rPr>
          <w:w w:val="105"/>
          <w:sz w:val="18"/>
        </w:rPr>
        <w:t>business</w:t>
      </w:r>
      <w:r>
        <w:rPr>
          <w:spacing w:val="-6"/>
          <w:w w:val="105"/>
          <w:sz w:val="18"/>
        </w:rPr>
        <w:t> </w:t>
      </w:r>
      <w:r>
        <w:rPr>
          <w:w w:val="105"/>
          <w:sz w:val="18"/>
        </w:rPr>
        <w:t>case</w:t>
      </w:r>
      <w:r>
        <w:rPr>
          <w:spacing w:val="-4"/>
          <w:w w:val="105"/>
          <w:sz w:val="18"/>
        </w:rPr>
        <w:t> </w:t>
      </w:r>
      <w:r>
        <w:rPr>
          <w:w w:val="105"/>
          <w:sz w:val="18"/>
        </w:rPr>
        <w:t>and drafting its final report. Work has</w:t>
      </w:r>
      <w:r>
        <w:rPr>
          <w:spacing w:val="-6"/>
          <w:w w:val="105"/>
          <w:sz w:val="18"/>
        </w:rPr>
        <w:t> </w:t>
      </w:r>
      <w:r>
        <w:rPr>
          <w:w w:val="105"/>
          <w:sz w:val="18"/>
        </w:rPr>
        <w:t>included:</w:t>
      </w:r>
    </w:p>
    <w:p>
      <w:pPr>
        <w:pStyle w:val="ListParagraph"/>
        <w:numPr>
          <w:ilvl w:val="1"/>
          <w:numId w:val="2"/>
        </w:numPr>
        <w:tabs>
          <w:tab w:pos="2469" w:val="left" w:leader="none"/>
        </w:tabs>
        <w:spacing w:line="285" w:lineRule="auto" w:before="0" w:after="0"/>
        <w:ind w:left="2468" w:right="1984" w:hanging="339"/>
        <w:jc w:val="left"/>
        <w:rPr>
          <w:sz w:val="18"/>
        </w:rPr>
      </w:pPr>
      <w:r>
        <w:rPr>
          <w:w w:val="105"/>
          <w:sz w:val="18"/>
        </w:rPr>
        <w:t>Conversations</w:t>
      </w:r>
      <w:r>
        <w:rPr>
          <w:spacing w:val="-8"/>
          <w:w w:val="105"/>
          <w:sz w:val="18"/>
        </w:rPr>
        <w:t> </w:t>
      </w:r>
      <w:r>
        <w:rPr>
          <w:w w:val="105"/>
          <w:sz w:val="18"/>
        </w:rPr>
        <w:t>with</w:t>
      </w:r>
      <w:r>
        <w:rPr>
          <w:spacing w:val="-4"/>
          <w:w w:val="105"/>
          <w:sz w:val="18"/>
        </w:rPr>
        <w:t> </w:t>
      </w:r>
      <w:r>
        <w:rPr>
          <w:w w:val="105"/>
          <w:sz w:val="18"/>
        </w:rPr>
        <w:t>members</w:t>
      </w:r>
      <w:r>
        <w:rPr>
          <w:spacing w:val="-8"/>
          <w:w w:val="105"/>
          <w:sz w:val="18"/>
        </w:rPr>
        <w:t> </w:t>
      </w:r>
      <w:r>
        <w:rPr>
          <w:w w:val="105"/>
          <w:sz w:val="18"/>
        </w:rPr>
        <w:t>to</w:t>
      </w:r>
      <w:r>
        <w:rPr>
          <w:spacing w:val="-4"/>
          <w:w w:val="105"/>
          <w:sz w:val="18"/>
        </w:rPr>
        <w:t> </w:t>
      </w:r>
      <w:r>
        <w:rPr>
          <w:w w:val="105"/>
          <w:sz w:val="18"/>
        </w:rPr>
        <w:t>provide</w:t>
      </w:r>
      <w:r>
        <w:rPr>
          <w:spacing w:val="-5"/>
          <w:w w:val="105"/>
          <w:sz w:val="18"/>
        </w:rPr>
        <w:t> </w:t>
      </w:r>
      <w:r>
        <w:rPr>
          <w:w w:val="105"/>
          <w:sz w:val="18"/>
        </w:rPr>
        <w:t>feedback</w:t>
      </w:r>
      <w:r>
        <w:rPr>
          <w:spacing w:val="-2"/>
          <w:w w:val="105"/>
          <w:sz w:val="18"/>
        </w:rPr>
        <w:t> </w:t>
      </w:r>
      <w:r>
        <w:rPr>
          <w:w w:val="105"/>
          <w:sz w:val="18"/>
        </w:rPr>
        <w:t>on</w:t>
      </w:r>
      <w:r>
        <w:rPr>
          <w:spacing w:val="-7"/>
          <w:w w:val="105"/>
          <w:sz w:val="18"/>
        </w:rPr>
        <w:t> </w:t>
      </w:r>
      <w:r>
        <w:rPr>
          <w:w w:val="105"/>
          <w:sz w:val="18"/>
        </w:rPr>
        <w:t>the</w:t>
      </w:r>
      <w:r>
        <w:rPr>
          <w:spacing w:val="-5"/>
          <w:w w:val="105"/>
          <w:sz w:val="18"/>
        </w:rPr>
        <w:t> </w:t>
      </w:r>
      <w:r>
        <w:rPr>
          <w:w w:val="105"/>
          <w:sz w:val="18"/>
        </w:rPr>
        <w:t>financials</w:t>
      </w:r>
      <w:r>
        <w:rPr>
          <w:spacing w:val="-6"/>
          <w:w w:val="105"/>
          <w:sz w:val="18"/>
        </w:rPr>
        <w:t> </w:t>
      </w:r>
      <w:r>
        <w:rPr>
          <w:w w:val="105"/>
          <w:sz w:val="18"/>
        </w:rPr>
        <w:t>of</w:t>
      </w:r>
      <w:r>
        <w:rPr>
          <w:spacing w:val="-8"/>
          <w:w w:val="105"/>
          <w:sz w:val="18"/>
        </w:rPr>
        <w:t> </w:t>
      </w:r>
      <w:r>
        <w:rPr>
          <w:w w:val="105"/>
          <w:sz w:val="18"/>
        </w:rPr>
        <w:t>the business</w:t>
      </w:r>
      <w:r>
        <w:rPr>
          <w:spacing w:val="-2"/>
          <w:w w:val="105"/>
          <w:sz w:val="18"/>
        </w:rPr>
        <w:t> </w:t>
      </w:r>
      <w:r>
        <w:rPr>
          <w:w w:val="105"/>
          <w:sz w:val="18"/>
        </w:rPr>
        <w:t>case;</w:t>
      </w:r>
    </w:p>
    <w:p>
      <w:pPr>
        <w:pStyle w:val="ListParagraph"/>
        <w:numPr>
          <w:ilvl w:val="1"/>
          <w:numId w:val="2"/>
        </w:numPr>
        <w:tabs>
          <w:tab w:pos="2469" w:val="left" w:leader="none"/>
        </w:tabs>
        <w:spacing w:line="285" w:lineRule="auto" w:before="0" w:after="0"/>
        <w:ind w:left="2468" w:right="1744" w:hanging="339"/>
        <w:jc w:val="left"/>
        <w:rPr>
          <w:sz w:val="18"/>
        </w:rPr>
      </w:pPr>
      <w:r>
        <w:rPr>
          <w:w w:val="105"/>
          <w:sz w:val="18"/>
        </w:rPr>
        <w:t>Productive</w:t>
      </w:r>
      <w:r>
        <w:rPr>
          <w:spacing w:val="-5"/>
          <w:w w:val="105"/>
          <w:sz w:val="18"/>
        </w:rPr>
        <w:t> </w:t>
      </w:r>
      <w:r>
        <w:rPr>
          <w:w w:val="105"/>
          <w:sz w:val="18"/>
        </w:rPr>
        <w:t>sessions</w:t>
      </w:r>
      <w:r>
        <w:rPr>
          <w:spacing w:val="-7"/>
          <w:w w:val="105"/>
          <w:sz w:val="18"/>
        </w:rPr>
        <w:t> </w:t>
      </w:r>
      <w:r>
        <w:rPr>
          <w:w w:val="105"/>
          <w:sz w:val="18"/>
        </w:rPr>
        <w:t>with</w:t>
      </w:r>
      <w:r>
        <w:rPr>
          <w:spacing w:val="-6"/>
          <w:w w:val="105"/>
          <w:sz w:val="18"/>
        </w:rPr>
        <w:t> </w:t>
      </w:r>
      <w:r>
        <w:rPr>
          <w:w w:val="105"/>
          <w:sz w:val="18"/>
        </w:rPr>
        <w:t>wholesale</w:t>
      </w:r>
      <w:r>
        <w:rPr>
          <w:spacing w:val="-7"/>
          <w:w w:val="105"/>
          <w:sz w:val="18"/>
        </w:rPr>
        <w:t> </w:t>
      </w:r>
      <w:r>
        <w:rPr>
          <w:w w:val="105"/>
          <w:sz w:val="18"/>
        </w:rPr>
        <w:t>cash</w:t>
      </w:r>
      <w:r>
        <w:rPr>
          <w:spacing w:val="-6"/>
          <w:w w:val="105"/>
          <w:sz w:val="18"/>
        </w:rPr>
        <w:t> </w:t>
      </w:r>
      <w:r>
        <w:rPr>
          <w:w w:val="105"/>
          <w:sz w:val="18"/>
        </w:rPr>
        <w:t>operators</w:t>
      </w:r>
      <w:r>
        <w:rPr>
          <w:spacing w:val="-8"/>
          <w:w w:val="105"/>
          <w:sz w:val="18"/>
        </w:rPr>
        <w:t> </w:t>
      </w:r>
      <w:r>
        <w:rPr>
          <w:w w:val="105"/>
          <w:sz w:val="18"/>
        </w:rPr>
        <w:t>to</w:t>
      </w:r>
      <w:r>
        <w:rPr>
          <w:spacing w:val="-8"/>
          <w:w w:val="105"/>
          <w:sz w:val="18"/>
        </w:rPr>
        <w:t> </w:t>
      </w:r>
      <w:r>
        <w:rPr>
          <w:w w:val="105"/>
          <w:sz w:val="18"/>
        </w:rPr>
        <w:t>ensure</w:t>
      </w:r>
      <w:r>
        <w:rPr>
          <w:spacing w:val="-9"/>
          <w:w w:val="105"/>
          <w:sz w:val="18"/>
        </w:rPr>
        <w:t> </w:t>
      </w:r>
      <w:r>
        <w:rPr>
          <w:w w:val="105"/>
          <w:sz w:val="18"/>
        </w:rPr>
        <w:t>their</w:t>
      </w:r>
      <w:r>
        <w:rPr>
          <w:spacing w:val="-4"/>
          <w:w w:val="105"/>
          <w:sz w:val="18"/>
        </w:rPr>
        <w:t> </w:t>
      </w:r>
      <w:r>
        <w:rPr>
          <w:w w:val="105"/>
          <w:sz w:val="18"/>
        </w:rPr>
        <w:t>business operations have been accurately reflected in KPMG’s</w:t>
      </w:r>
      <w:r>
        <w:rPr>
          <w:spacing w:val="-17"/>
          <w:w w:val="105"/>
          <w:sz w:val="18"/>
        </w:rPr>
        <w:t> </w:t>
      </w:r>
      <w:r>
        <w:rPr>
          <w:w w:val="105"/>
          <w:sz w:val="18"/>
        </w:rPr>
        <w:t>modelling;</w:t>
      </w:r>
    </w:p>
    <w:p>
      <w:pPr>
        <w:pStyle w:val="ListParagraph"/>
        <w:numPr>
          <w:ilvl w:val="1"/>
          <w:numId w:val="2"/>
        </w:numPr>
        <w:tabs>
          <w:tab w:pos="2469" w:val="left" w:leader="none"/>
        </w:tabs>
        <w:spacing w:line="240" w:lineRule="auto" w:before="5" w:after="0"/>
        <w:ind w:left="2468" w:right="0" w:hanging="339"/>
        <w:jc w:val="left"/>
        <w:rPr>
          <w:sz w:val="18"/>
        </w:rPr>
      </w:pPr>
      <w:r>
        <w:rPr>
          <w:w w:val="105"/>
          <w:sz w:val="18"/>
        </w:rPr>
        <w:t>A draft of the report has been produced and is going through</w:t>
      </w:r>
      <w:r>
        <w:rPr>
          <w:spacing w:val="-25"/>
          <w:w w:val="105"/>
          <w:sz w:val="18"/>
        </w:rPr>
        <w:t> </w:t>
      </w:r>
      <w:r>
        <w:rPr>
          <w:w w:val="105"/>
          <w:sz w:val="18"/>
        </w:rPr>
        <w:t>review.</w:t>
      </w:r>
    </w:p>
    <w:p>
      <w:pPr>
        <w:spacing w:after="0" w:line="240" w:lineRule="auto"/>
        <w:jc w:val="left"/>
        <w:rPr>
          <w:sz w:val="18"/>
        </w:rPr>
        <w:sectPr>
          <w:type w:val="continuous"/>
          <w:pgSz w:w="12240" w:h="15840"/>
          <w:pgMar w:top="1500" w:bottom="280" w:left="860" w:right="880"/>
        </w:sectPr>
      </w:pPr>
    </w:p>
    <w:p>
      <w:pPr>
        <w:pStyle w:val="BodyText"/>
        <w:spacing w:before="76"/>
        <w:ind w:right="826"/>
        <w:jc w:val="right"/>
      </w:pPr>
      <w:r>
        <w:rPr>
          <w:w w:val="103"/>
        </w:rPr>
        <w:t>2</w:t>
      </w:r>
    </w:p>
    <w:p>
      <w:pPr>
        <w:pStyle w:val="BodyText"/>
        <w:spacing w:before="7"/>
        <w:rPr>
          <w:sz w:val="19"/>
        </w:rPr>
      </w:pPr>
    </w:p>
    <w:p>
      <w:pPr>
        <w:pStyle w:val="ListParagraph"/>
        <w:numPr>
          <w:ilvl w:val="0"/>
          <w:numId w:val="2"/>
        </w:numPr>
        <w:tabs>
          <w:tab w:pos="1792" w:val="left" w:leader="none"/>
        </w:tabs>
        <w:spacing w:line="288" w:lineRule="auto" w:before="101" w:after="0"/>
        <w:ind w:left="1792" w:right="1552" w:hanging="339"/>
        <w:jc w:val="left"/>
        <w:rPr>
          <w:sz w:val="18"/>
        </w:rPr>
      </w:pPr>
      <w:r>
        <w:rPr>
          <w:w w:val="105"/>
          <w:sz w:val="18"/>
        </w:rPr>
        <w:t>In</w:t>
      </w:r>
      <w:r>
        <w:rPr>
          <w:spacing w:val="-6"/>
          <w:w w:val="105"/>
          <w:sz w:val="18"/>
        </w:rPr>
        <w:t> </w:t>
      </w:r>
      <w:r>
        <w:rPr>
          <w:w w:val="105"/>
          <w:sz w:val="18"/>
        </w:rPr>
        <w:t>light</w:t>
      </w:r>
      <w:r>
        <w:rPr>
          <w:spacing w:val="-5"/>
          <w:w w:val="105"/>
          <w:sz w:val="18"/>
        </w:rPr>
        <w:t> </w:t>
      </w:r>
      <w:r>
        <w:rPr>
          <w:w w:val="105"/>
          <w:sz w:val="18"/>
        </w:rPr>
        <w:t>of</w:t>
      </w:r>
      <w:r>
        <w:rPr>
          <w:spacing w:val="-1"/>
          <w:w w:val="105"/>
          <w:sz w:val="18"/>
        </w:rPr>
        <w:t> </w:t>
      </w:r>
      <w:r>
        <w:rPr>
          <w:w w:val="105"/>
          <w:sz w:val="18"/>
        </w:rPr>
        <w:t>the</w:t>
      </w:r>
      <w:r>
        <w:rPr>
          <w:spacing w:val="-3"/>
          <w:w w:val="105"/>
          <w:sz w:val="18"/>
        </w:rPr>
        <w:t> </w:t>
      </w:r>
      <w:r>
        <w:rPr>
          <w:w w:val="105"/>
          <w:sz w:val="18"/>
        </w:rPr>
        <w:t>current</w:t>
      </w:r>
      <w:r>
        <w:rPr>
          <w:spacing w:val="-7"/>
          <w:w w:val="105"/>
          <w:sz w:val="18"/>
        </w:rPr>
        <w:t> </w:t>
      </w:r>
      <w:r>
        <w:rPr>
          <w:w w:val="105"/>
          <w:sz w:val="18"/>
        </w:rPr>
        <w:t>pandemic,</w:t>
      </w:r>
      <w:r>
        <w:rPr>
          <w:spacing w:val="-5"/>
          <w:w w:val="105"/>
          <w:sz w:val="18"/>
        </w:rPr>
        <w:t> </w:t>
      </w:r>
      <w:r>
        <w:rPr>
          <w:w w:val="105"/>
          <w:sz w:val="18"/>
        </w:rPr>
        <w:t>KPMG</w:t>
      </w:r>
      <w:r>
        <w:rPr>
          <w:spacing w:val="-3"/>
          <w:w w:val="105"/>
          <w:sz w:val="18"/>
        </w:rPr>
        <w:t> </w:t>
      </w:r>
      <w:r>
        <w:rPr>
          <w:w w:val="105"/>
          <w:sz w:val="18"/>
        </w:rPr>
        <w:t>will</w:t>
      </w:r>
      <w:r>
        <w:rPr>
          <w:spacing w:val="-5"/>
          <w:w w:val="105"/>
          <w:sz w:val="18"/>
        </w:rPr>
        <w:t> </w:t>
      </w:r>
      <w:r>
        <w:rPr>
          <w:w w:val="105"/>
          <w:sz w:val="18"/>
        </w:rPr>
        <w:t>be</w:t>
      </w:r>
      <w:r>
        <w:rPr>
          <w:spacing w:val="-7"/>
          <w:w w:val="105"/>
          <w:sz w:val="18"/>
        </w:rPr>
        <w:t> </w:t>
      </w:r>
      <w:r>
        <w:rPr>
          <w:w w:val="105"/>
          <w:sz w:val="18"/>
        </w:rPr>
        <w:t>updating</w:t>
      </w:r>
      <w:r>
        <w:rPr>
          <w:spacing w:val="-3"/>
          <w:w w:val="105"/>
          <w:sz w:val="18"/>
        </w:rPr>
        <w:t> </w:t>
      </w:r>
      <w:r>
        <w:rPr>
          <w:w w:val="105"/>
          <w:sz w:val="18"/>
        </w:rPr>
        <w:t>the</w:t>
      </w:r>
      <w:r>
        <w:rPr>
          <w:spacing w:val="-7"/>
          <w:w w:val="105"/>
          <w:sz w:val="18"/>
        </w:rPr>
        <w:t> </w:t>
      </w:r>
      <w:r>
        <w:rPr>
          <w:w w:val="105"/>
          <w:sz w:val="18"/>
        </w:rPr>
        <w:t>business</w:t>
      </w:r>
      <w:r>
        <w:rPr>
          <w:spacing w:val="-5"/>
          <w:w w:val="105"/>
          <w:sz w:val="18"/>
        </w:rPr>
        <w:t> </w:t>
      </w:r>
      <w:r>
        <w:rPr>
          <w:w w:val="105"/>
          <w:sz w:val="18"/>
        </w:rPr>
        <w:t>case</w:t>
      </w:r>
      <w:r>
        <w:rPr>
          <w:spacing w:val="-7"/>
          <w:w w:val="105"/>
          <w:sz w:val="18"/>
        </w:rPr>
        <w:t> </w:t>
      </w:r>
      <w:r>
        <w:rPr>
          <w:w w:val="105"/>
          <w:sz w:val="18"/>
        </w:rPr>
        <w:t>to</w:t>
      </w:r>
      <w:r>
        <w:rPr>
          <w:spacing w:val="-4"/>
          <w:w w:val="105"/>
          <w:sz w:val="18"/>
        </w:rPr>
        <w:t> </w:t>
      </w:r>
      <w:r>
        <w:rPr>
          <w:w w:val="105"/>
          <w:sz w:val="18"/>
        </w:rPr>
        <w:t>include</w:t>
      </w:r>
      <w:r>
        <w:rPr>
          <w:spacing w:val="-4"/>
          <w:w w:val="105"/>
          <w:sz w:val="18"/>
        </w:rPr>
        <w:t> </w:t>
      </w:r>
      <w:r>
        <w:rPr>
          <w:w w:val="105"/>
          <w:sz w:val="18"/>
        </w:rPr>
        <w:t>a section on the potential impact of Covid-19 on the volume of cash transactions. They will be delivering a final draft of the KPMG report for accuracy checking to ISG members on 1 April</w:t>
      </w:r>
      <w:r>
        <w:rPr>
          <w:spacing w:val="-3"/>
          <w:w w:val="105"/>
          <w:sz w:val="18"/>
        </w:rPr>
        <w:t> </w:t>
      </w:r>
      <w:r>
        <w:rPr>
          <w:w w:val="105"/>
          <w:sz w:val="18"/>
        </w:rPr>
        <w:t>2020.</w:t>
      </w:r>
    </w:p>
    <w:p>
      <w:pPr>
        <w:pStyle w:val="BodyText"/>
        <w:spacing w:before="8"/>
        <w:rPr>
          <w:sz w:val="21"/>
        </w:rPr>
      </w:pPr>
    </w:p>
    <w:p>
      <w:pPr>
        <w:pStyle w:val="Heading1"/>
        <w:numPr>
          <w:ilvl w:val="0"/>
          <w:numId w:val="2"/>
        </w:numPr>
        <w:tabs>
          <w:tab w:pos="1115" w:val="left" w:leader="none"/>
          <w:tab w:pos="1116" w:val="left" w:leader="none"/>
        </w:tabs>
        <w:spacing w:line="240" w:lineRule="auto" w:before="0" w:after="0"/>
        <w:ind w:left="1115" w:right="0" w:hanging="901"/>
        <w:jc w:val="left"/>
      </w:pPr>
      <w:r>
        <w:rPr>
          <w:w w:val="105"/>
        </w:rPr>
        <w:t>Public</w:t>
      </w:r>
      <w:r>
        <w:rPr>
          <w:spacing w:val="-2"/>
          <w:w w:val="105"/>
        </w:rPr>
        <w:t> </w:t>
      </w:r>
      <w:r>
        <w:rPr>
          <w:w w:val="105"/>
        </w:rPr>
        <w:t>Consultation</w:t>
      </w:r>
    </w:p>
    <w:p>
      <w:pPr>
        <w:pStyle w:val="BodyText"/>
        <w:spacing w:before="5"/>
        <w:rPr>
          <w:b/>
          <w:sz w:val="25"/>
        </w:rPr>
      </w:pPr>
    </w:p>
    <w:p>
      <w:pPr>
        <w:pStyle w:val="BodyText"/>
        <w:spacing w:line="288" w:lineRule="auto"/>
        <w:ind w:left="1115" w:right="1582"/>
      </w:pPr>
      <w:r>
        <w:rPr>
          <w:w w:val="105"/>
        </w:rPr>
        <w:t>The members were comfortable with the proposed structure for the public consultation. Members agreed that progress should be made to produce a draft of the consultation document which could be issued at an appropriate time.</w:t>
      </w:r>
    </w:p>
    <w:p>
      <w:pPr>
        <w:pStyle w:val="BodyText"/>
        <w:spacing w:before="7"/>
        <w:rPr>
          <w:sz w:val="21"/>
        </w:rPr>
      </w:pPr>
    </w:p>
    <w:p>
      <w:pPr>
        <w:pStyle w:val="Heading1"/>
        <w:numPr>
          <w:ilvl w:val="0"/>
          <w:numId w:val="2"/>
        </w:numPr>
        <w:tabs>
          <w:tab w:pos="1115" w:val="left" w:leader="none"/>
          <w:tab w:pos="1116" w:val="left" w:leader="none"/>
        </w:tabs>
        <w:spacing w:line="240" w:lineRule="auto" w:before="0" w:after="0"/>
        <w:ind w:left="1115" w:right="0" w:hanging="901"/>
        <w:jc w:val="left"/>
      </w:pPr>
      <w:r>
        <w:rPr>
          <w:w w:val="105"/>
        </w:rPr>
        <w:t>Planning to move into Phase</w:t>
      </w:r>
      <w:r>
        <w:rPr>
          <w:spacing w:val="2"/>
          <w:w w:val="105"/>
        </w:rPr>
        <w:t> </w:t>
      </w:r>
      <w:r>
        <w:rPr>
          <w:w w:val="105"/>
        </w:rPr>
        <w:t>3a</w:t>
      </w:r>
    </w:p>
    <w:p>
      <w:pPr>
        <w:pStyle w:val="BodyText"/>
        <w:spacing w:before="2"/>
        <w:rPr>
          <w:b/>
          <w:sz w:val="25"/>
        </w:rPr>
      </w:pPr>
    </w:p>
    <w:p>
      <w:pPr>
        <w:pStyle w:val="BodyText"/>
        <w:spacing w:line="290" w:lineRule="auto"/>
        <w:ind w:left="1115" w:right="1864"/>
      </w:pPr>
      <w:r>
        <w:rPr>
          <w:w w:val="105"/>
        </w:rPr>
        <w:t>Given the impact of Covid-19 on resourcing, the Chair sought views from the members on whether to proceed with the current timetable or to temporary pause.</w:t>
      </w:r>
    </w:p>
    <w:p>
      <w:pPr>
        <w:pStyle w:val="BodyText"/>
        <w:spacing w:before="4"/>
        <w:rPr>
          <w:sz w:val="21"/>
        </w:rPr>
      </w:pPr>
    </w:p>
    <w:p>
      <w:pPr>
        <w:pStyle w:val="BodyText"/>
        <w:spacing w:line="288" w:lineRule="auto"/>
        <w:ind w:left="1115" w:right="1465"/>
      </w:pPr>
      <w:r>
        <w:rPr>
          <w:w w:val="105"/>
        </w:rPr>
        <w:t>Members re-confirmed the importance of the project. However, the focus on live operational matters meant that members could not commit sufficient focus to the work of the WDSG at this time. All members agreed it would be sensible to temporary pause.</w:t>
      </w:r>
    </w:p>
    <w:p>
      <w:pPr>
        <w:pStyle w:val="BodyText"/>
        <w:spacing w:before="7"/>
        <w:rPr>
          <w:sz w:val="21"/>
        </w:rPr>
      </w:pPr>
    </w:p>
    <w:p>
      <w:pPr>
        <w:pStyle w:val="BodyText"/>
        <w:ind w:left="1115"/>
      </w:pPr>
      <w:r>
        <w:rPr>
          <w:w w:val="105"/>
        </w:rPr>
        <w:t>The group agreed that:</w:t>
      </w:r>
    </w:p>
    <w:p>
      <w:pPr>
        <w:pStyle w:val="ListParagraph"/>
        <w:numPr>
          <w:ilvl w:val="0"/>
          <w:numId w:val="3"/>
        </w:numPr>
        <w:tabs>
          <w:tab w:pos="1791" w:val="left" w:leader="none"/>
          <w:tab w:pos="1792" w:val="left" w:leader="none"/>
        </w:tabs>
        <w:spacing w:line="290" w:lineRule="auto" w:before="43" w:after="0"/>
        <w:ind w:left="1792" w:right="1701" w:hanging="339"/>
        <w:jc w:val="left"/>
        <w:rPr>
          <w:sz w:val="18"/>
        </w:rPr>
      </w:pPr>
      <w:r>
        <w:rPr>
          <w:w w:val="105"/>
          <w:sz w:val="18"/>
        </w:rPr>
        <w:t>UK</w:t>
      </w:r>
      <w:r>
        <w:rPr>
          <w:spacing w:val="-8"/>
          <w:w w:val="105"/>
          <w:sz w:val="18"/>
        </w:rPr>
        <w:t> </w:t>
      </w:r>
      <w:r>
        <w:rPr>
          <w:w w:val="105"/>
          <w:sz w:val="18"/>
        </w:rPr>
        <w:t>Finance</w:t>
      </w:r>
      <w:r>
        <w:rPr>
          <w:spacing w:val="-4"/>
          <w:w w:val="105"/>
          <w:sz w:val="18"/>
        </w:rPr>
        <w:t> </w:t>
      </w:r>
      <w:r>
        <w:rPr>
          <w:w w:val="105"/>
          <w:sz w:val="18"/>
        </w:rPr>
        <w:t>/</w:t>
      </w:r>
      <w:r>
        <w:rPr>
          <w:spacing w:val="-7"/>
          <w:w w:val="105"/>
          <w:sz w:val="18"/>
        </w:rPr>
        <w:t> </w:t>
      </w:r>
      <w:r>
        <w:rPr>
          <w:w w:val="105"/>
          <w:sz w:val="18"/>
        </w:rPr>
        <w:t>KPMG</w:t>
      </w:r>
      <w:r>
        <w:rPr>
          <w:spacing w:val="-2"/>
          <w:w w:val="105"/>
          <w:sz w:val="18"/>
        </w:rPr>
        <w:t> </w:t>
      </w:r>
      <w:r>
        <w:rPr>
          <w:w w:val="105"/>
          <w:sz w:val="18"/>
        </w:rPr>
        <w:t>should</w:t>
      </w:r>
      <w:r>
        <w:rPr>
          <w:spacing w:val="-4"/>
          <w:w w:val="105"/>
          <w:sz w:val="18"/>
        </w:rPr>
        <w:t> </w:t>
      </w:r>
      <w:r>
        <w:rPr>
          <w:w w:val="105"/>
          <w:sz w:val="18"/>
        </w:rPr>
        <w:t>continue</w:t>
      </w:r>
      <w:r>
        <w:rPr>
          <w:spacing w:val="-7"/>
          <w:w w:val="105"/>
          <w:sz w:val="18"/>
        </w:rPr>
        <w:t> </w:t>
      </w:r>
      <w:r>
        <w:rPr>
          <w:w w:val="105"/>
          <w:sz w:val="18"/>
        </w:rPr>
        <w:t>to</w:t>
      </w:r>
      <w:r>
        <w:rPr>
          <w:spacing w:val="-5"/>
          <w:w w:val="105"/>
          <w:sz w:val="18"/>
        </w:rPr>
        <w:t> </w:t>
      </w:r>
      <w:r>
        <w:rPr>
          <w:w w:val="105"/>
          <w:sz w:val="18"/>
        </w:rPr>
        <w:t>complete</w:t>
      </w:r>
      <w:r>
        <w:rPr>
          <w:spacing w:val="-4"/>
          <w:w w:val="105"/>
          <w:sz w:val="18"/>
        </w:rPr>
        <w:t> </w:t>
      </w:r>
      <w:r>
        <w:rPr>
          <w:w w:val="105"/>
          <w:sz w:val="18"/>
        </w:rPr>
        <w:t>the</w:t>
      </w:r>
      <w:r>
        <w:rPr>
          <w:spacing w:val="-3"/>
          <w:w w:val="105"/>
          <w:sz w:val="18"/>
        </w:rPr>
        <w:t> </w:t>
      </w:r>
      <w:r>
        <w:rPr>
          <w:w w:val="105"/>
          <w:sz w:val="18"/>
        </w:rPr>
        <w:t>overall</w:t>
      </w:r>
      <w:r>
        <w:rPr>
          <w:spacing w:val="-4"/>
          <w:w w:val="105"/>
          <w:sz w:val="18"/>
        </w:rPr>
        <w:t> </w:t>
      </w:r>
      <w:r>
        <w:rPr>
          <w:w w:val="105"/>
          <w:sz w:val="18"/>
        </w:rPr>
        <w:t>business</w:t>
      </w:r>
      <w:r>
        <w:rPr>
          <w:spacing w:val="-6"/>
          <w:w w:val="105"/>
          <w:sz w:val="18"/>
        </w:rPr>
        <w:t> </w:t>
      </w:r>
      <w:r>
        <w:rPr>
          <w:w w:val="105"/>
          <w:sz w:val="18"/>
        </w:rPr>
        <w:t>case</w:t>
      </w:r>
      <w:r>
        <w:rPr>
          <w:spacing w:val="-4"/>
          <w:w w:val="105"/>
          <w:sz w:val="18"/>
        </w:rPr>
        <w:t> </w:t>
      </w:r>
      <w:r>
        <w:rPr>
          <w:w w:val="105"/>
          <w:sz w:val="18"/>
        </w:rPr>
        <w:t>and</w:t>
      </w:r>
      <w:r>
        <w:rPr>
          <w:spacing w:val="-7"/>
          <w:w w:val="105"/>
          <w:sz w:val="18"/>
        </w:rPr>
        <w:t> </w:t>
      </w:r>
      <w:r>
        <w:rPr>
          <w:w w:val="105"/>
          <w:sz w:val="18"/>
        </w:rPr>
        <w:t>final report</w:t>
      </w:r>
    </w:p>
    <w:p>
      <w:pPr>
        <w:pStyle w:val="ListParagraph"/>
        <w:numPr>
          <w:ilvl w:val="0"/>
          <w:numId w:val="3"/>
        </w:numPr>
        <w:tabs>
          <w:tab w:pos="1791" w:val="left" w:leader="none"/>
          <w:tab w:pos="1792" w:val="left" w:leader="none"/>
        </w:tabs>
        <w:spacing w:line="285" w:lineRule="auto" w:before="0" w:after="0"/>
        <w:ind w:left="1792" w:right="1604" w:hanging="339"/>
        <w:jc w:val="left"/>
        <w:rPr>
          <w:sz w:val="18"/>
        </w:rPr>
      </w:pPr>
      <w:r>
        <w:rPr>
          <w:w w:val="105"/>
          <w:sz w:val="18"/>
        </w:rPr>
        <w:t>UK</w:t>
      </w:r>
      <w:r>
        <w:rPr>
          <w:spacing w:val="-6"/>
          <w:w w:val="105"/>
          <w:sz w:val="18"/>
        </w:rPr>
        <w:t> </w:t>
      </w:r>
      <w:r>
        <w:rPr>
          <w:w w:val="105"/>
          <w:sz w:val="18"/>
        </w:rPr>
        <w:t>Finance</w:t>
      </w:r>
      <w:r>
        <w:rPr>
          <w:spacing w:val="-2"/>
          <w:w w:val="105"/>
          <w:sz w:val="18"/>
        </w:rPr>
        <w:t> </w:t>
      </w:r>
      <w:r>
        <w:rPr>
          <w:w w:val="105"/>
          <w:sz w:val="18"/>
        </w:rPr>
        <w:t>/</w:t>
      </w:r>
      <w:r>
        <w:rPr>
          <w:spacing w:val="-6"/>
          <w:w w:val="105"/>
          <w:sz w:val="18"/>
        </w:rPr>
        <w:t> </w:t>
      </w:r>
      <w:r>
        <w:rPr>
          <w:w w:val="105"/>
          <w:sz w:val="18"/>
        </w:rPr>
        <w:t>KPMG</w:t>
      </w:r>
      <w:r>
        <w:rPr>
          <w:spacing w:val="-1"/>
          <w:w w:val="105"/>
          <w:sz w:val="18"/>
        </w:rPr>
        <w:t> </w:t>
      </w:r>
      <w:r>
        <w:rPr>
          <w:w w:val="105"/>
          <w:sz w:val="18"/>
        </w:rPr>
        <w:t>should</w:t>
      </w:r>
      <w:r>
        <w:rPr>
          <w:spacing w:val="-2"/>
          <w:w w:val="105"/>
          <w:sz w:val="18"/>
        </w:rPr>
        <w:t> </w:t>
      </w:r>
      <w:r>
        <w:rPr>
          <w:w w:val="105"/>
          <w:sz w:val="18"/>
        </w:rPr>
        <w:t>continue</w:t>
      </w:r>
      <w:r>
        <w:rPr>
          <w:spacing w:val="-5"/>
          <w:w w:val="105"/>
          <w:sz w:val="18"/>
        </w:rPr>
        <w:t> </w:t>
      </w:r>
      <w:r>
        <w:rPr>
          <w:w w:val="105"/>
          <w:sz w:val="18"/>
        </w:rPr>
        <w:t>to</w:t>
      </w:r>
      <w:r>
        <w:rPr>
          <w:spacing w:val="-5"/>
          <w:w w:val="105"/>
          <w:sz w:val="18"/>
        </w:rPr>
        <w:t> </w:t>
      </w:r>
      <w:r>
        <w:rPr>
          <w:w w:val="105"/>
          <w:sz w:val="18"/>
        </w:rPr>
        <w:t>work</w:t>
      </w:r>
      <w:r>
        <w:rPr>
          <w:spacing w:val="-3"/>
          <w:w w:val="105"/>
          <w:sz w:val="18"/>
        </w:rPr>
        <w:t> </w:t>
      </w:r>
      <w:r>
        <w:rPr>
          <w:w w:val="105"/>
          <w:sz w:val="18"/>
        </w:rPr>
        <w:t>up</w:t>
      </w:r>
      <w:r>
        <w:rPr>
          <w:spacing w:val="-6"/>
          <w:w w:val="105"/>
          <w:sz w:val="18"/>
        </w:rPr>
        <w:t> </w:t>
      </w:r>
      <w:r>
        <w:rPr>
          <w:w w:val="105"/>
          <w:sz w:val="18"/>
        </w:rPr>
        <w:t>plans</w:t>
      </w:r>
      <w:r>
        <w:rPr>
          <w:spacing w:val="-4"/>
          <w:w w:val="105"/>
          <w:sz w:val="18"/>
        </w:rPr>
        <w:t> </w:t>
      </w:r>
      <w:r>
        <w:rPr>
          <w:w w:val="105"/>
          <w:sz w:val="18"/>
        </w:rPr>
        <w:t>for</w:t>
      </w:r>
      <w:r>
        <w:rPr>
          <w:spacing w:val="-5"/>
          <w:w w:val="105"/>
          <w:sz w:val="18"/>
        </w:rPr>
        <w:t> </w:t>
      </w:r>
      <w:r>
        <w:rPr>
          <w:w w:val="105"/>
          <w:sz w:val="18"/>
        </w:rPr>
        <w:t>phase</w:t>
      </w:r>
      <w:r>
        <w:rPr>
          <w:spacing w:val="-6"/>
          <w:w w:val="105"/>
          <w:sz w:val="18"/>
        </w:rPr>
        <w:t> </w:t>
      </w:r>
      <w:r>
        <w:rPr>
          <w:w w:val="105"/>
          <w:sz w:val="18"/>
        </w:rPr>
        <w:t>3a</w:t>
      </w:r>
      <w:r>
        <w:rPr>
          <w:spacing w:val="-6"/>
          <w:w w:val="105"/>
          <w:sz w:val="18"/>
        </w:rPr>
        <w:t> </w:t>
      </w:r>
      <w:r>
        <w:rPr>
          <w:w w:val="105"/>
          <w:sz w:val="18"/>
        </w:rPr>
        <w:t>as</w:t>
      </w:r>
      <w:r>
        <w:rPr>
          <w:spacing w:val="-5"/>
          <w:w w:val="105"/>
          <w:sz w:val="18"/>
        </w:rPr>
        <w:t> </w:t>
      </w:r>
      <w:r>
        <w:rPr>
          <w:w w:val="105"/>
          <w:sz w:val="18"/>
        </w:rPr>
        <w:t>per</w:t>
      </w:r>
      <w:r>
        <w:rPr>
          <w:spacing w:val="-3"/>
          <w:w w:val="105"/>
          <w:sz w:val="18"/>
        </w:rPr>
        <w:t> </w:t>
      </w:r>
      <w:r>
        <w:rPr>
          <w:w w:val="105"/>
          <w:sz w:val="18"/>
        </w:rPr>
        <w:t>the</w:t>
      </w:r>
      <w:r>
        <w:rPr>
          <w:spacing w:val="-2"/>
          <w:w w:val="105"/>
          <w:sz w:val="18"/>
        </w:rPr>
        <w:t> </w:t>
      </w:r>
      <w:r>
        <w:rPr>
          <w:w w:val="105"/>
          <w:sz w:val="18"/>
        </w:rPr>
        <w:t>current timetable.</w:t>
      </w:r>
    </w:p>
    <w:p>
      <w:pPr>
        <w:pStyle w:val="ListParagraph"/>
        <w:numPr>
          <w:ilvl w:val="0"/>
          <w:numId w:val="3"/>
        </w:numPr>
        <w:tabs>
          <w:tab w:pos="1791" w:val="left" w:leader="none"/>
          <w:tab w:pos="1792" w:val="left" w:leader="none"/>
        </w:tabs>
        <w:spacing w:line="290" w:lineRule="auto" w:before="0" w:after="0"/>
        <w:ind w:left="1792" w:right="1531" w:hanging="339"/>
        <w:jc w:val="left"/>
        <w:rPr>
          <w:sz w:val="18"/>
        </w:rPr>
      </w:pPr>
      <w:r>
        <w:rPr>
          <w:w w:val="105"/>
          <w:sz w:val="18"/>
        </w:rPr>
        <w:t>The</w:t>
      </w:r>
      <w:r>
        <w:rPr>
          <w:spacing w:val="-6"/>
          <w:w w:val="105"/>
          <w:sz w:val="18"/>
        </w:rPr>
        <w:t> </w:t>
      </w:r>
      <w:r>
        <w:rPr>
          <w:w w:val="105"/>
          <w:sz w:val="18"/>
        </w:rPr>
        <w:t>next</w:t>
      </w:r>
      <w:r>
        <w:rPr>
          <w:spacing w:val="-6"/>
          <w:w w:val="105"/>
          <w:sz w:val="18"/>
        </w:rPr>
        <w:t> </w:t>
      </w:r>
      <w:r>
        <w:rPr>
          <w:w w:val="105"/>
          <w:sz w:val="18"/>
        </w:rPr>
        <w:t>WDSG</w:t>
      </w:r>
      <w:r>
        <w:rPr>
          <w:spacing w:val="-6"/>
          <w:w w:val="105"/>
          <w:sz w:val="18"/>
        </w:rPr>
        <w:t> </w:t>
      </w:r>
      <w:r>
        <w:rPr>
          <w:w w:val="105"/>
          <w:sz w:val="18"/>
        </w:rPr>
        <w:t>meeting</w:t>
      </w:r>
      <w:r>
        <w:rPr>
          <w:spacing w:val="-6"/>
          <w:w w:val="105"/>
          <w:sz w:val="18"/>
        </w:rPr>
        <w:t> </w:t>
      </w:r>
      <w:r>
        <w:rPr>
          <w:w w:val="105"/>
          <w:sz w:val="18"/>
        </w:rPr>
        <w:t>(20</w:t>
      </w:r>
      <w:r>
        <w:rPr>
          <w:spacing w:val="-3"/>
          <w:w w:val="105"/>
          <w:sz w:val="18"/>
        </w:rPr>
        <w:t> </w:t>
      </w:r>
      <w:r>
        <w:rPr>
          <w:w w:val="105"/>
          <w:sz w:val="18"/>
        </w:rPr>
        <w:t>April</w:t>
      </w:r>
      <w:r>
        <w:rPr>
          <w:spacing w:val="-6"/>
          <w:w w:val="105"/>
          <w:sz w:val="18"/>
        </w:rPr>
        <w:t> </w:t>
      </w:r>
      <w:r>
        <w:rPr>
          <w:w w:val="105"/>
          <w:sz w:val="18"/>
        </w:rPr>
        <w:t>2020)</w:t>
      </w:r>
      <w:r>
        <w:rPr>
          <w:spacing w:val="-4"/>
          <w:w w:val="105"/>
          <w:sz w:val="18"/>
        </w:rPr>
        <w:t> </w:t>
      </w:r>
      <w:r>
        <w:rPr>
          <w:w w:val="105"/>
          <w:sz w:val="18"/>
        </w:rPr>
        <w:t>would</w:t>
      </w:r>
      <w:r>
        <w:rPr>
          <w:spacing w:val="-5"/>
          <w:w w:val="105"/>
          <w:sz w:val="18"/>
        </w:rPr>
        <w:t> </w:t>
      </w:r>
      <w:r>
        <w:rPr>
          <w:w w:val="105"/>
          <w:sz w:val="18"/>
        </w:rPr>
        <w:t>be</w:t>
      </w:r>
      <w:r>
        <w:rPr>
          <w:spacing w:val="-6"/>
          <w:w w:val="105"/>
          <w:sz w:val="18"/>
        </w:rPr>
        <w:t> </w:t>
      </w:r>
      <w:r>
        <w:rPr>
          <w:w w:val="105"/>
          <w:sz w:val="18"/>
        </w:rPr>
        <w:t>an</w:t>
      </w:r>
      <w:r>
        <w:rPr>
          <w:spacing w:val="-1"/>
          <w:w w:val="105"/>
          <w:sz w:val="18"/>
        </w:rPr>
        <w:t> </w:t>
      </w:r>
      <w:r>
        <w:rPr>
          <w:w w:val="105"/>
          <w:sz w:val="18"/>
        </w:rPr>
        <w:t>appropriate</w:t>
      </w:r>
      <w:r>
        <w:rPr>
          <w:spacing w:val="-3"/>
          <w:w w:val="105"/>
          <w:sz w:val="18"/>
        </w:rPr>
        <w:t> </w:t>
      </w:r>
      <w:r>
        <w:rPr>
          <w:w w:val="105"/>
          <w:sz w:val="18"/>
        </w:rPr>
        <w:t>time</w:t>
      </w:r>
      <w:r>
        <w:rPr>
          <w:spacing w:val="-2"/>
          <w:w w:val="105"/>
          <w:sz w:val="18"/>
        </w:rPr>
        <w:t> </w:t>
      </w:r>
      <w:r>
        <w:rPr>
          <w:w w:val="105"/>
          <w:sz w:val="18"/>
        </w:rPr>
        <w:t>to</w:t>
      </w:r>
      <w:r>
        <w:rPr>
          <w:spacing w:val="-7"/>
          <w:w w:val="105"/>
          <w:sz w:val="18"/>
        </w:rPr>
        <w:t> </w:t>
      </w:r>
      <w:r>
        <w:rPr>
          <w:w w:val="105"/>
          <w:sz w:val="18"/>
        </w:rPr>
        <w:t>reassess</w:t>
      </w:r>
      <w:r>
        <w:rPr>
          <w:spacing w:val="-6"/>
          <w:w w:val="105"/>
          <w:sz w:val="18"/>
        </w:rPr>
        <w:t> </w:t>
      </w:r>
      <w:r>
        <w:rPr>
          <w:w w:val="105"/>
          <w:sz w:val="18"/>
        </w:rPr>
        <w:t>the timetable.</w:t>
      </w:r>
    </w:p>
    <w:p>
      <w:pPr>
        <w:pStyle w:val="BodyText"/>
        <w:rPr>
          <w:sz w:val="20"/>
        </w:rPr>
      </w:pPr>
    </w:p>
    <w:p>
      <w:pPr>
        <w:pStyle w:val="BodyText"/>
        <w:spacing w:before="9"/>
        <w:rPr>
          <w:sz w:val="22"/>
        </w:rPr>
      </w:pPr>
    </w:p>
    <w:p>
      <w:pPr>
        <w:pStyle w:val="Heading1"/>
        <w:numPr>
          <w:ilvl w:val="0"/>
          <w:numId w:val="2"/>
        </w:numPr>
        <w:tabs>
          <w:tab w:pos="1115" w:val="left" w:leader="none"/>
          <w:tab w:pos="1116" w:val="left" w:leader="none"/>
        </w:tabs>
        <w:spacing w:line="240" w:lineRule="auto" w:before="1" w:after="0"/>
        <w:ind w:left="1115" w:right="0" w:hanging="901"/>
        <w:jc w:val="left"/>
      </w:pPr>
      <w:r>
        <w:rPr>
          <w:w w:val="105"/>
        </w:rPr>
        <w:t>Review Action</w:t>
      </w:r>
      <w:r>
        <w:rPr>
          <w:spacing w:val="10"/>
          <w:w w:val="105"/>
        </w:rPr>
        <w:t> </w:t>
      </w:r>
      <w:r>
        <w:rPr>
          <w:w w:val="105"/>
        </w:rPr>
        <w:t>Log</w:t>
      </w:r>
    </w:p>
    <w:p>
      <w:pPr>
        <w:pStyle w:val="BodyText"/>
        <w:spacing w:before="4"/>
        <w:rPr>
          <w:b/>
          <w:sz w:val="25"/>
        </w:rPr>
      </w:pPr>
    </w:p>
    <w:p>
      <w:pPr>
        <w:pStyle w:val="BodyText"/>
        <w:ind w:left="1115"/>
      </w:pPr>
      <w:r>
        <w:rPr>
          <w:w w:val="105"/>
        </w:rPr>
        <w:t>Actions were reviewed and closed where applicable.</w:t>
      </w:r>
    </w:p>
    <w:p>
      <w:pPr>
        <w:pStyle w:val="BodyText"/>
        <w:spacing w:before="2"/>
        <w:rPr>
          <w:sz w:val="25"/>
        </w:rPr>
      </w:pPr>
    </w:p>
    <w:p>
      <w:pPr>
        <w:pStyle w:val="Heading1"/>
        <w:numPr>
          <w:ilvl w:val="0"/>
          <w:numId w:val="2"/>
        </w:numPr>
        <w:tabs>
          <w:tab w:pos="1115" w:val="left" w:leader="none"/>
          <w:tab w:pos="1117" w:val="left" w:leader="none"/>
        </w:tabs>
        <w:spacing w:line="240" w:lineRule="auto" w:before="1" w:after="0"/>
        <w:ind w:left="1116" w:right="0" w:hanging="902"/>
        <w:jc w:val="left"/>
      </w:pPr>
      <w:r>
        <w:rPr>
          <w:w w:val="105"/>
        </w:rPr>
        <w:t>AOB</w:t>
      </w:r>
    </w:p>
    <w:p>
      <w:pPr>
        <w:pStyle w:val="BodyText"/>
        <w:spacing w:before="2"/>
        <w:rPr>
          <w:b/>
          <w:sz w:val="25"/>
        </w:rPr>
      </w:pPr>
    </w:p>
    <w:p>
      <w:pPr>
        <w:pStyle w:val="BodyText"/>
        <w:ind w:left="1115"/>
        <w:rPr>
          <w:i/>
        </w:rPr>
      </w:pPr>
      <w:r>
        <w:rPr>
          <w:w w:val="105"/>
        </w:rPr>
        <w:t>None</w:t>
      </w:r>
      <w:r>
        <w:rPr>
          <w:i/>
          <w:w w:val="105"/>
        </w:rPr>
        <w:t>.</w:t>
      </w:r>
    </w:p>
    <w:sectPr>
      <w:pgSz w:w="12240" w:h="15840"/>
      <w:pgMar w:top="4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792" w:hanging="339"/>
      </w:pPr>
      <w:rPr>
        <w:rFonts w:hint="default" w:ascii="Arial" w:hAnsi="Arial" w:eastAsia="Arial" w:cs="Arial"/>
        <w:w w:val="103"/>
        <w:sz w:val="18"/>
        <w:szCs w:val="18"/>
      </w:rPr>
    </w:lvl>
    <w:lvl w:ilvl="1">
      <w:start w:val="0"/>
      <w:numFmt w:val="bullet"/>
      <w:lvlText w:val="•"/>
      <w:lvlJc w:val="left"/>
      <w:pPr>
        <w:ind w:left="2670" w:hanging="339"/>
      </w:pPr>
      <w:rPr>
        <w:rFonts w:hint="default"/>
      </w:rPr>
    </w:lvl>
    <w:lvl w:ilvl="2">
      <w:start w:val="0"/>
      <w:numFmt w:val="bullet"/>
      <w:lvlText w:val="•"/>
      <w:lvlJc w:val="left"/>
      <w:pPr>
        <w:ind w:left="3540" w:hanging="339"/>
      </w:pPr>
      <w:rPr>
        <w:rFonts w:hint="default"/>
      </w:rPr>
    </w:lvl>
    <w:lvl w:ilvl="3">
      <w:start w:val="0"/>
      <w:numFmt w:val="bullet"/>
      <w:lvlText w:val="•"/>
      <w:lvlJc w:val="left"/>
      <w:pPr>
        <w:ind w:left="4410" w:hanging="339"/>
      </w:pPr>
      <w:rPr>
        <w:rFonts w:hint="default"/>
      </w:rPr>
    </w:lvl>
    <w:lvl w:ilvl="4">
      <w:start w:val="0"/>
      <w:numFmt w:val="bullet"/>
      <w:lvlText w:val="•"/>
      <w:lvlJc w:val="left"/>
      <w:pPr>
        <w:ind w:left="5280" w:hanging="339"/>
      </w:pPr>
      <w:rPr>
        <w:rFonts w:hint="default"/>
      </w:rPr>
    </w:lvl>
    <w:lvl w:ilvl="5">
      <w:start w:val="0"/>
      <w:numFmt w:val="bullet"/>
      <w:lvlText w:val="•"/>
      <w:lvlJc w:val="left"/>
      <w:pPr>
        <w:ind w:left="6150" w:hanging="339"/>
      </w:pPr>
      <w:rPr>
        <w:rFonts w:hint="default"/>
      </w:rPr>
    </w:lvl>
    <w:lvl w:ilvl="6">
      <w:start w:val="0"/>
      <w:numFmt w:val="bullet"/>
      <w:lvlText w:val="•"/>
      <w:lvlJc w:val="left"/>
      <w:pPr>
        <w:ind w:left="7020" w:hanging="339"/>
      </w:pPr>
      <w:rPr>
        <w:rFonts w:hint="default"/>
      </w:rPr>
    </w:lvl>
    <w:lvl w:ilvl="7">
      <w:start w:val="0"/>
      <w:numFmt w:val="bullet"/>
      <w:lvlText w:val="•"/>
      <w:lvlJc w:val="left"/>
      <w:pPr>
        <w:ind w:left="7890" w:hanging="339"/>
      </w:pPr>
      <w:rPr>
        <w:rFonts w:hint="default"/>
      </w:rPr>
    </w:lvl>
    <w:lvl w:ilvl="8">
      <w:start w:val="0"/>
      <w:numFmt w:val="bullet"/>
      <w:lvlText w:val="•"/>
      <w:lvlJc w:val="left"/>
      <w:pPr>
        <w:ind w:left="8760" w:hanging="339"/>
      </w:pPr>
      <w:rPr>
        <w:rFonts w:hint="default"/>
      </w:rPr>
    </w:lvl>
  </w:abstractNum>
  <w:abstractNum w:abstractNumId="1">
    <w:multiLevelType w:val="hybridMultilevel"/>
    <w:lvl w:ilvl="0">
      <w:start w:val="1"/>
      <w:numFmt w:val="decimal"/>
      <w:lvlText w:val="%1."/>
      <w:lvlJc w:val="left"/>
      <w:pPr>
        <w:ind w:left="1792" w:hanging="339"/>
        <w:jc w:val="right"/>
      </w:pPr>
      <w:rPr>
        <w:rFonts w:hint="default"/>
        <w:spacing w:val="0"/>
        <w:w w:val="103"/>
      </w:rPr>
    </w:lvl>
    <w:lvl w:ilvl="1">
      <w:start w:val="1"/>
      <w:numFmt w:val="lowerLetter"/>
      <w:lvlText w:val="%2."/>
      <w:lvlJc w:val="left"/>
      <w:pPr>
        <w:ind w:left="2468" w:hanging="339"/>
        <w:jc w:val="left"/>
      </w:pPr>
      <w:rPr>
        <w:rFonts w:hint="default" w:ascii="Arial" w:hAnsi="Arial" w:eastAsia="Arial" w:cs="Arial"/>
        <w:spacing w:val="0"/>
        <w:w w:val="103"/>
        <w:sz w:val="18"/>
        <w:szCs w:val="18"/>
      </w:rPr>
    </w:lvl>
    <w:lvl w:ilvl="2">
      <w:start w:val="0"/>
      <w:numFmt w:val="bullet"/>
      <w:lvlText w:val="•"/>
      <w:lvlJc w:val="left"/>
      <w:pPr>
        <w:ind w:left="3353" w:hanging="339"/>
      </w:pPr>
      <w:rPr>
        <w:rFonts w:hint="default"/>
      </w:rPr>
    </w:lvl>
    <w:lvl w:ilvl="3">
      <w:start w:val="0"/>
      <w:numFmt w:val="bullet"/>
      <w:lvlText w:val="•"/>
      <w:lvlJc w:val="left"/>
      <w:pPr>
        <w:ind w:left="4246" w:hanging="339"/>
      </w:pPr>
      <w:rPr>
        <w:rFonts w:hint="default"/>
      </w:rPr>
    </w:lvl>
    <w:lvl w:ilvl="4">
      <w:start w:val="0"/>
      <w:numFmt w:val="bullet"/>
      <w:lvlText w:val="•"/>
      <w:lvlJc w:val="left"/>
      <w:pPr>
        <w:ind w:left="5140" w:hanging="339"/>
      </w:pPr>
      <w:rPr>
        <w:rFonts w:hint="default"/>
      </w:rPr>
    </w:lvl>
    <w:lvl w:ilvl="5">
      <w:start w:val="0"/>
      <w:numFmt w:val="bullet"/>
      <w:lvlText w:val="•"/>
      <w:lvlJc w:val="left"/>
      <w:pPr>
        <w:ind w:left="6033" w:hanging="339"/>
      </w:pPr>
      <w:rPr>
        <w:rFonts w:hint="default"/>
      </w:rPr>
    </w:lvl>
    <w:lvl w:ilvl="6">
      <w:start w:val="0"/>
      <w:numFmt w:val="bullet"/>
      <w:lvlText w:val="•"/>
      <w:lvlJc w:val="left"/>
      <w:pPr>
        <w:ind w:left="6926" w:hanging="339"/>
      </w:pPr>
      <w:rPr>
        <w:rFonts w:hint="default"/>
      </w:rPr>
    </w:lvl>
    <w:lvl w:ilvl="7">
      <w:start w:val="0"/>
      <w:numFmt w:val="bullet"/>
      <w:lvlText w:val="•"/>
      <w:lvlJc w:val="left"/>
      <w:pPr>
        <w:ind w:left="7820" w:hanging="339"/>
      </w:pPr>
      <w:rPr>
        <w:rFonts w:hint="default"/>
      </w:rPr>
    </w:lvl>
    <w:lvl w:ilvl="8">
      <w:start w:val="0"/>
      <w:numFmt w:val="bullet"/>
      <w:lvlText w:val="•"/>
      <w:lvlJc w:val="left"/>
      <w:pPr>
        <w:ind w:left="8713" w:hanging="339"/>
      </w:pPr>
      <w:rPr>
        <w:rFonts w:hint="default"/>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2"/>
        <w:w w:val="103"/>
        <w:sz w:val="18"/>
        <w:szCs w:val="18"/>
      </w:rPr>
    </w:lvl>
    <w:lvl w:ilvl="1">
      <w:start w:val="0"/>
      <w:numFmt w:val="bullet"/>
      <w:lvlText w:val="-"/>
      <w:lvlJc w:val="left"/>
      <w:pPr>
        <w:ind w:left="1446" w:hanging="339"/>
      </w:pPr>
      <w:rPr>
        <w:rFonts w:hint="default" w:ascii="Arial" w:hAnsi="Arial" w:eastAsia="Arial" w:cs="Arial"/>
        <w:w w:val="103"/>
        <w:sz w:val="18"/>
        <w:szCs w:val="18"/>
      </w:rPr>
    </w:lvl>
    <w:lvl w:ilvl="2">
      <w:start w:val="0"/>
      <w:numFmt w:val="bullet"/>
      <w:lvlText w:val="•"/>
      <w:lvlJc w:val="left"/>
      <w:pPr>
        <w:ind w:left="2446" w:hanging="339"/>
      </w:pPr>
      <w:rPr>
        <w:rFonts w:hint="default"/>
      </w:rPr>
    </w:lvl>
    <w:lvl w:ilvl="3">
      <w:start w:val="0"/>
      <w:numFmt w:val="bullet"/>
      <w:lvlText w:val="•"/>
      <w:lvlJc w:val="left"/>
      <w:pPr>
        <w:ind w:left="3453" w:hanging="339"/>
      </w:pPr>
      <w:rPr>
        <w:rFonts w:hint="default"/>
      </w:rPr>
    </w:lvl>
    <w:lvl w:ilvl="4">
      <w:start w:val="0"/>
      <w:numFmt w:val="bullet"/>
      <w:lvlText w:val="•"/>
      <w:lvlJc w:val="left"/>
      <w:pPr>
        <w:ind w:left="4460" w:hanging="339"/>
      </w:pPr>
      <w:rPr>
        <w:rFonts w:hint="default"/>
      </w:rPr>
    </w:lvl>
    <w:lvl w:ilvl="5">
      <w:start w:val="0"/>
      <w:numFmt w:val="bullet"/>
      <w:lvlText w:val="•"/>
      <w:lvlJc w:val="left"/>
      <w:pPr>
        <w:ind w:left="5466" w:hanging="339"/>
      </w:pPr>
      <w:rPr>
        <w:rFonts w:hint="default"/>
      </w:rPr>
    </w:lvl>
    <w:lvl w:ilvl="6">
      <w:start w:val="0"/>
      <w:numFmt w:val="bullet"/>
      <w:lvlText w:val="•"/>
      <w:lvlJc w:val="left"/>
      <w:pPr>
        <w:ind w:left="6473" w:hanging="339"/>
      </w:pPr>
      <w:rPr>
        <w:rFonts w:hint="default"/>
      </w:rPr>
    </w:lvl>
    <w:lvl w:ilvl="7">
      <w:start w:val="0"/>
      <w:numFmt w:val="bullet"/>
      <w:lvlText w:val="•"/>
      <w:lvlJc w:val="left"/>
      <w:pPr>
        <w:ind w:left="7480" w:hanging="339"/>
      </w:pPr>
      <w:rPr>
        <w:rFonts w:hint="default"/>
      </w:rPr>
    </w:lvl>
    <w:lvl w:ilvl="8">
      <w:start w:val="0"/>
      <w:numFmt w:val="bullet"/>
      <w:lvlText w:val="•"/>
      <w:lvlJc w:val="left"/>
      <w:pPr>
        <w:ind w:left="8486" w:hanging="3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15" w:hanging="901"/>
      <w:outlineLvl w:val="1"/>
    </w:pPr>
    <w:rPr>
      <w:rFonts w:ascii="Arial" w:hAnsi="Arial" w:eastAsia="Arial" w:cs="Arial"/>
      <w:b/>
      <w:bCs/>
      <w:sz w:val="18"/>
      <w:szCs w:val="18"/>
    </w:rPr>
  </w:style>
  <w:style w:styleId="ListParagraph" w:type="paragraph">
    <w:name w:val="List Paragraph"/>
    <w:basedOn w:val="Normal"/>
    <w:uiPriority w:val="1"/>
    <w:qFormat/>
    <w:pPr>
      <w:ind w:left="1115" w:hanging="3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Wholesale Distribution Steering Group - March 2020</dc:title>
  <dcterms:created xsi:type="dcterms:W3CDTF">2020-06-01T02:21:59Z</dcterms:created>
  <dcterms:modified xsi:type="dcterms:W3CDTF">2020-06-01T02:21:59Z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LastSaved">
    <vt:filetime>2020-06-01T00:00:00Z</vt:filetime>
  </property>
</Properties>
</file>