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16"/>
        <w:ind w:left="116" w:right="0" w:firstLine="0"/>
        <w:jc w:val="left"/>
        <w:rPr>
          <w:sz w:val="41"/>
        </w:rPr>
      </w:pPr>
      <w:r>
        <w:rPr>
          <w:sz w:val="41"/>
        </w:rPr>
        <w:t>Minutes</w:t>
      </w:r>
    </w:p>
    <w:p>
      <w:pPr>
        <w:spacing w:before="326"/>
        <w:ind w:left="116" w:right="0" w:firstLine="0"/>
        <w:jc w:val="left"/>
        <w:rPr>
          <w:b/>
          <w:sz w:val="22"/>
        </w:rPr>
      </w:pPr>
      <w:r>
        <w:rPr>
          <w:b/>
          <w:sz w:val="22"/>
        </w:rPr>
        <w:t>Wholesale Distribution Steering Group (WDSG)</w:t>
      </w:r>
    </w:p>
    <w:p>
      <w:pPr>
        <w:spacing w:before="45"/>
        <w:ind w:left="116" w:right="0" w:firstLine="0"/>
        <w:jc w:val="left"/>
        <w:rPr>
          <w:sz w:val="22"/>
        </w:rPr>
      </w:pPr>
      <w:r>
        <w:rPr>
          <w:sz w:val="22"/>
        </w:rPr>
        <w:t>17 October 2019</w:t>
      </w:r>
    </w:p>
    <w:p>
      <w:pPr>
        <w:pStyle w:val="BodyText"/>
        <w:spacing w:before="9"/>
      </w:pPr>
      <w:r>
        <w:rPr/>
        <w:pict>
          <v:shape style="position:absolute;margin-left:48.840004pt;margin-top:12.960617pt;width:513.85pt;height:.1pt;mso-position-horizontal-relative:page;mso-position-vertical-relative:paragraph;z-index:-251658240;mso-wrap-distance-left:0;mso-wrap-distance-right:0" coordorigin="977,259" coordsize="10277,0" path="m977,259l11254,259e" filled="false" stroked="true" strokeweight=".360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7"/>
        </w:rPr>
      </w:pPr>
    </w:p>
    <w:p>
      <w:pPr>
        <w:pStyle w:val="Heading1"/>
        <w:spacing w:before="100"/>
        <w:ind w:left="116" w:firstLine="0"/>
      </w:pPr>
      <w:r>
        <w:rPr>
          <w:b w:val="0"/>
          <w:w w:val="105"/>
        </w:rPr>
        <w:t>Location: </w:t>
      </w:r>
      <w:r>
        <w:rPr>
          <w:w w:val="105"/>
        </w:rPr>
        <w:t>Bank of England, Threadneedle St, London EC2R 8AH (Room 1X)</w:t>
      </w: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ind w:left="116"/>
      </w:pPr>
      <w:r>
        <w:rPr>
          <w:w w:val="105"/>
        </w:rPr>
        <w:t>Attendees: </w:t>
      </w:r>
      <w:r>
        <w:rPr>
          <w:b/>
          <w:w w:val="105"/>
        </w:rPr>
        <w:t>Bank of England</w:t>
      </w:r>
      <w:r>
        <w:rPr>
          <w:w w:val="105"/>
        </w:rPr>
        <w:t>: Sarah John (Chair), Mark McLintock, Martin Etheridge, Ronan MccLintock, Kirsty Woodgate</w:t>
      </w:r>
    </w:p>
    <w:p>
      <w:pPr>
        <w:pStyle w:val="BodyText"/>
        <w:spacing w:before="40"/>
        <w:ind w:left="1066"/>
      </w:pPr>
      <w:r>
        <w:rPr>
          <w:b/>
          <w:w w:val="105"/>
        </w:rPr>
        <w:t>UK Finance</w:t>
      </w:r>
      <w:r>
        <w:rPr>
          <w:w w:val="105"/>
        </w:rPr>
        <w:t>: Russell Saunders, Becky Clements (alternate),</w:t>
      </w:r>
    </w:p>
    <w:p>
      <w:pPr>
        <w:spacing w:before="43"/>
        <w:ind w:left="1066" w:right="0" w:firstLine="0"/>
        <w:jc w:val="left"/>
        <w:rPr>
          <w:sz w:val="18"/>
        </w:rPr>
      </w:pPr>
      <w:r>
        <w:rPr>
          <w:b/>
          <w:w w:val="105"/>
          <w:sz w:val="18"/>
        </w:rPr>
        <w:t>Barclays: </w:t>
      </w:r>
      <w:r>
        <w:rPr>
          <w:w w:val="105"/>
          <w:sz w:val="18"/>
        </w:rPr>
        <w:t>Tim Allen</w:t>
      </w:r>
    </w:p>
    <w:p>
      <w:pPr>
        <w:spacing w:line="288" w:lineRule="auto" w:before="42"/>
        <w:ind w:left="1067" w:right="4505" w:hanging="1"/>
        <w:jc w:val="left"/>
        <w:rPr>
          <w:sz w:val="18"/>
        </w:rPr>
      </w:pPr>
      <w:r>
        <w:rPr>
          <w:b/>
          <w:w w:val="105"/>
          <w:sz w:val="18"/>
        </w:rPr>
        <w:t>Lloyds Banking Group: </w:t>
      </w:r>
      <w:r>
        <w:rPr>
          <w:w w:val="105"/>
          <w:sz w:val="18"/>
        </w:rPr>
        <w:t>Otto Benz </w:t>
      </w:r>
      <w:r>
        <w:rPr>
          <w:b/>
          <w:w w:val="105"/>
          <w:sz w:val="18"/>
        </w:rPr>
        <w:t>Clydesdale/Yorkshire: </w:t>
      </w:r>
      <w:r>
        <w:rPr>
          <w:w w:val="105"/>
          <w:sz w:val="18"/>
        </w:rPr>
        <w:t>Dougie Belmore (by phone) </w:t>
      </w:r>
      <w:r>
        <w:rPr>
          <w:b/>
          <w:w w:val="105"/>
          <w:sz w:val="18"/>
        </w:rPr>
        <w:t>HSBC: </w:t>
      </w:r>
      <w:r>
        <w:rPr>
          <w:w w:val="105"/>
          <w:sz w:val="18"/>
        </w:rPr>
        <w:t>David Brook (alternate)</w:t>
      </w:r>
    </w:p>
    <w:p>
      <w:pPr>
        <w:spacing w:line="206" w:lineRule="exact" w:before="0"/>
        <w:ind w:left="1067" w:right="0" w:firstLine="0"/>
        <w:jc w:val="left"/>
        <w:rPr>
          <w:sz w:val="18"/>
        </w:rPr>
      </w:pPr>
      <w:r>
        <w:rPr>
          <w:b/>
          <w:w w:val="105"/>
          <w:sz w:val="18"/>
        </w:rPr>
        <w:t>Royal Bank of Scotland: </w:t>
      </w:r>
      <w:r>
        <w:rPr>
          <w:w w:val="105"/>
          <w:sz w:val="18"/>
        </w:rPr>
        <w:t>Richard Talbot</w:t>
      </w:r>
    </w:p>
    <w:p>
      <w:pPr>
        <w:spacing w:before="43"/>
        <w:ind w:left="1067" w:right="0" w:firstLine="0"/>
        <w:jc w:val="left"/>
        <w:rPr>
          <w:sz w:val="18"/>
        </w:rPr>
      </w:pPr>
      <w:r>
        <w:rPr>
          <w:b/>
          <w:w w:val="105"/>
          <w:sz w:val="18"/>
        </w:rPr>
        <w:t>Santander: </w:t>
      </w:r>
      <w:r>
        <w:rPr>
          <w:w w:val="105"/>
          <w:sz w:val="18"/>
        </w:rPr>
        <w:t>Robert White</w:t>
      </w:r>
    </w:p>
    <w:p>
      <w:pPr>
        <w:spacing w:before="42"/>
        <w:ind w:left="1067" w:right="0" w:firstLine="0"/>
        <w:jc w:val="left"/>
        <w:rPr>
          <w:sz w:val="18"/>
        </w:rPr>
      </w:pPr>
      <w:r>
        <w:rPr>
          <w:b/>
          <w:w w:val="105"/>
          <w:sz w:val="18"/>
        </w:rPr>
        <w:t>Post Office: </w:t>
      </w:r>
      <w:r>
        <w:rPr>
          <w:w w:val="105"/>
          <w:sz w:val="18"/>
        </w:rPr>
        <w:t>Russell Hancock (by phone)</w:t>
      </w:r>
    </w:p>
    <w:p>
      <w:pPr>
        <w:spacing w:before="41"/>
        <w:ind w:left="1067" w:right="0" w:firstLine="0"/>
        <w:jc w:val="left"/>
        <w:rPr>
          <w:sz w:val="18"/>
        </w:rPr>
      </w:pPr>
      <w:r>
        <w:rPr>
          <w:b/>
          <w:w w:val="105"/>
          <w:sz w:val="18"/>
        </w:rPr>
        <w:t>HM Treasury: </w:t>
      </w:r>
      <w:r>
        <w:rPr>
          <w:w w:val="105"/>
          <w:sz w:val="18"/>
        </w:rPr>
        <w:t>Mario Pisani (by phone) Derek Dunne (alternate)</w:t>
      </w:r>
    </w:p>
    <w:p>
      <w:pPr>
        <w:spacing w:before="42"/>
        <w:ind w:left="1067" w:right="0" w:firstLine="0"/>
        <w:jc w:val="left"/>
        <w:rPr>
          <w:sz w:val="18"/>
        </w:rPr>
      </w:pPr>
      <w:r>
        <w:rPr>
          <w:b/>
          <w:w w:val="105"/>
          <w:sz w:val="18"/>
        </w:rPr>
        <w:t>Bank of Ireland</w:t>
      </w:r>
      <w:r>
        <w:rPr>
          <w:w w:val="105"/>
          <w:sz w:val="18"/>
        </w:rPr>
        <w:t>: Julie Fitzgibbon</w:t>
      </w:r>
    </w:p>
    <w:p>
      <w:pPr>
        <w:pStyle w:val="BodyText"/>
        <w:spacing w:before="2"/>
        <w:rPr>
          <w:sz w:val="25"/>
        </w:rPr>
      </w:pPr>
    </w:p>
    <w:p>
      <w:pPr>
        <w:spacing w:before="1"/>
        <w:ind w:left="1014" w:right="0" w:firstLine="0"/>
        <w:jc w:val="left"/>
        <w:rPr>
          <w:sz w:val="18"/>
        </w:rPr>
      </w:pPr>
      <w:r>
        <w:rPr>
          <w:b/>
          <w:w w:val="105"/>
          <w:sz w:val="18"/>
        </w:rPr>
        <w:t>KPMG: </w:t>
      </w:r>
      <w:r>
        <w:rPr>
          <w:w w:val="105"/>
          <w:sz w:val="18"/>
        </w:rPr>
        <w:t>Simon Walker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116"/>
      </w:pPr>
      <w:r>
        <w:rPr>
          <w:w w:val="105"/>
        </w:rPr>
        <w:t>Apologies:</w:t>
      </w:r>
      <w:r>
        <w:rPr>
          <w:spacing w:val="13"/>
          <w:w w:val="105"/>
        </w:rPr>
        <w:t> </w:t>
      </w:r>
      <w:r>
        <w:rPr>
          <w:w w:val="105"/>
        </w:rPr>
        <w:t>Eric</w:t>
      </w:r>
      <w:r>
        <w:rPr>
          <w:spacing w:val="-13"/>
          <w:w w:val="105"/>
        </w:rPr>
        <w:t> </w:t>
      </w:r>
      <w:r>
        <w:rPr>
          <w:w w:val="105"/>
        </w:rPr>
        <w:t>Leenders</w:t>
      </w:r>
      <w:r>
        <w:rPr>
          <w:spacing w:val="-16"/>
          <w:w w:val="105"/>
        </w:rPr>
        <w:t> </w:t>
      </w:r>
      <w:r>
        <w:rPr>
          <w:w w:val="105"/>
        </w:rPr>
        <w:t>(UK</w:t>
      </w:r>
      <w:r>
        <w:rPr>
          <w:spacing w:val="-16"/>
          <w:w w:val="105"/>
        </w:rPr>
        <w:t> </w:t>
      </w:r>
      <w:r>
        <w:rPr>
          <w:w w:val="105"/>
        </w:rPr>
        <w:t>Finance),</w:t>
      </w:r>
      <w:r>
        <w:rPr>
          <w:spacing w:val="-16"/>
          <w:w w:val="105"/>
        </w:rPr>
        <w:t> </w:t>
      </w:r>
      <w:r>
        <w:rPr>
          <w:w w:val="105"/>
        </w:rPr>
        <w:t>Tom</w:t>
      </w:r>
      <w:r>
        <w:rPr>
          <w:spacing w:val="-16"/>
          <w:w w:val="105"/>
        </w:rPr>
        <w:t> </w:t>
      </w:r>
      <w:r>
        <w:rPr>
          <w:w w:val="105"/>
        </w:rPr>
        <w:t>Wood</w:t>
      </w:r>
      <w:r>
        <w:rPr>
          <w:spacing w:val="-16"/>
          <w:w w:val="105"/>
        </w:rPr>
        <w:t> </w:t>
      </w:r>
      <w:r>
        <w:rPr>
          <w:w w:val="105"/>
        </w:rPr>
        <w:t>(HSBC),</w:t>
      </w:r>
      <w:r>
        <w:rPr>
          <w:spacing w:val="-14"/>
          <w:w w:val="105"/>
        </w:rPr>
        <w:t> </w:t>
      </w:r>
      <w:r>
        <w:rPr>
          <w:w w:val="105"/>
        </w:rPr>
        <w:t>Kevin</w:t>
      </w:r>
      <w:r>
        <w:rPr>
          <w:spacing w:val="-13"/>
          <w:w w:val="105"/>
        </w:rPr>
        <w:t> </w:t>
      </w:r>
      <w:r>
        <w:rPr>
          <w:w w:val="105"/>
        </w:rPr>
        <w:t>McMullan</w:t>
      </w:r>
      <w:r>
        <w:rPr>
          <w:spacing w:val="-15"/>
          <w:w w:val="105"/>
        </w:rPr>
        <w:t> </w:t>
      </w:r>
      <w:r>
        <w:rPr>
          <w:w w:val="105"/>
        </w:rPr>
        <w:t>(Danske</w:t>
      </w:r>
      <w:r>
        <w:rPr>
          <w:spacing w:val="-15"/>
          <w:w w:val="105"/>
        </w:rPr>
        <w:t> </w:t>
      </w:r>
      <w:r>
        <w:rPr>
          <w:w w:val="105"/>
        </w:rPr>
        <w:t>Bank),</w:t>
      </w:r>
      <w:r>
        <w:rPr>
          <w:spacing w:val="-16"/>
          <w:w w:val="105"/>
        </w:rPr>
        <w:t> </w:t>
      </w:r>
      <w:r>
        <w:rPr>
          <w:w w:val="105"/>
        </w:rPr>
        <w:t>John</w:t>
      </w:r>
      <w:r>
        <w:rPr>
          <w:spacing w:val="-16"/>
          <w:w w:val="105"/>
        </w:rPr>
        <w:t> </w:t>
      </w:r>
      <w:r>
        <w:rPr>
          <w:w w:val="105"/>
        </w:rPr>
        <w:t>Garrett</w:t>
      </w:r>
      <w:r>
        <w:rPr>
          <w:spacing w:val="-10"/>
          <w:w w:val="105"/>
        </w:rPr>
        <w:t> </w:t>
      </w:r>
      <w:r>
        <w:rPr>
          <w:w w:val="105"/>
        </w:rPr>
        <w:t>(First</w:t>
      </w:r>
      <w:r>
        <w:rPr>
          <w:spacing w:val="-15"/>
          <w:w w:val="105"/>
        </w:rPr>
        <w:t> </w:t>
      </w:r>
      <w:r>
        <w:rPr>
          <w:w w:val="105"/>
        </w:rPr>
        <w:t>Trust</w:t>
      </w:r>
      <w:r>
        <w:rPr>
          <w:spacing w:val="-16"/>
          <w:w w:val="105"/>
        </w:rPr>
        <w:t> </w:t>
      </w:r>
      <w:r>
        <w:rPr>
          <w:w w:val="105"/>
        </w:rPr>
        <w:t>Bank),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ind w:left="215" w:firstLine="0"/>
      </w:pPr>
      <w:r>
        <w:rPr>
          <w:w w:val="105"/>
        </w:rPr>
        <w:t>Item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15" w:val="left" w:leader="none"/>
          <w:tab w:pos="1116" w:val="left" w:leader="none"/>
        </w:tabs>
        <w:spacing w:line="240" w:lineRule="auto" w:before="0" w:after="0"/>
        <w:ind w:left="1115" w:right="0" w:hanging="901"/>
        <w:jc w:val="left"/>
        <w:rPr>
          <w:b/>
          <w:sz w:val="18"/>
        </w:rPr>
      </w:pPr>
      <w:r>
        <w:rPr>
          <w:b/>
          <w:w w:val="105"/>
          <w:sz w:val="18"/>
        </w:rPr>
        <w:t>Standing agenda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items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1446" w:val="left" w:leader="none"/>
          <w:tab w:pos="1447" w:val="left" w:leader="none"/>
        </w:tabs>
        <w:spacing w:line="240" w:lineRule="auto" w:before="0" w:after="0"/>
        <w:ind w:left="1446" w:right="0" w:hanging="340"/>
        <w:jc w:val="left"/>
        <w:rPr>
          <w:b/>
          <w:sz w:val="18"/>
        </w:rPr>
      </w:pPr>
      <w:r>
        <w:rPr>
          <w:b/>
          <w:w w:val="105"/>
          <w:sz w:val="18"/>
        </w:rPr>
        <w:t>September 2019</w:t>
      </w:r>
      <w:r>
        <w:rPr>
          <w:b/>
          <w:spacing w:val="-4"/>
          <w:w w:val="105"/>
          <w:sz w:val="18"/>
        </w:rPr>
        <w:t> </w:t>
      </w:r>
      <w:r>
        <w:rPr>
          <w:b/>
          <w:w w:val="105"/>
          <w:sz w:val="18"/>
        </w:rPr>
        <w:t>minutes: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ind w:left="1115"/>
      </w:pPr>
      <w:r>
        <w:rPr>
          <w:w w:val="105"/>
        </w:rPr>
        <w:t>The group agreed the September 2019 minutes, and approved their publication.</w:t>
      </w:r>
    </w:p>
    <w:p>
      <w:pPr>
        <w:pStyle w:val="BodyText"/>
        <w:spacing w:before="7"/>
        <w:rPr>
          <w:sz w:val="19"/>
        </w:rPr>
      </w:pPr>
    </w:p>
    <w:p>
      <w:pPr>
        <w:pStyle w:val="Heading1"/>
        <w:numPr>
          <w:ilvl w:val="1"/>
          <w:numId w:val="1"/>
        </w:numPr>
        <w:tabs>
          <w:tab w:pos="1446" w:val="left" w:leader="none"/>
          <w:tab w:pos="1447" w:val="left" w:leader="none"/>
        </w:tabs>
        <w:spacing w:line="240" w:lineRule="auto" w:before="0" w:after="0"/>
        <w:ind w:left="1446" w:right="0" w:hanging="340"/>
        <w:jc w:val="left"/>
      </w:pPr>
      <w:r>
        <w:rPr>
          <w:w w:val="105"/>
        </w:rPr>
        <w:t>Sharing information on stakeholder</w:t>
      </w:r>
      <w:r>
        <w:rPr>
          <w:spacing w:val="-4"/>
          <w:w w:val="105"/>
        </w:rPr>
        <w:t> </w:t>
      </w:r>
      <w:r>
        <w:rPr>
          <w:w w:val="105"/>
        </w:rPr>
        <w:t>engagement: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115"/>
      </w:pPr>
      <w:r>
        <w:rPr>
          <w:w w:val="105"/>
        </w:rPr>
        <w:t>No updates were noted.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numPr>
          <w:ilvl w:val="0"/>
          <w:numId w:val="1"/>
        </w:numPr>
        <w:tabs>
          <w:tab w:pos="1115" w:val="left" w:leader="none"/>
          <w:tab w:pos="1116" w:val="left" w:leader="none"/>
        </w:tabs>
        <w:spacing w:line="240" w:lineRule="auto" w:before="0" w:after="0"/>
        <w:ind w:left="1115" w:right="0" w:hanging="901"/>
        <w:jc w:val="left"/>
      </w:pPr>
      <w:r>
        <w:rPr>
          <w:w w:val="105"/>
        </w:rPr>
        <w:t>Project progress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line="249" w:lineRule="auto"/>
        <w:ind w:left="1115" w:right="1528"/>
      </w:pPr>
      <w:r>
        <w:rPr>
          <w:w w:val="105"/>
        </w:rPr>
        <w:t>KPMG provided a progress report on their work plan to help inform the future cash distribution model, covering: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1792" w:val="left" w:leader="none"/>
        </w:tabs>
        <w:spacing w:line="240" w:lineRule="auto" w:before="0" w:after="0"/>
        <w:ind w:left="1791" w:right="0" w:hanging="339"/>
        <w:jc w:val="left"/>
        <w:rPr>
          <w:sz w:val="18"/>
        </w:rPr>
      </w:pPr>
      <w:r>
        <w:rPr>
          <w:w w:val="105"/>
          <w:sz w:val="18"/>
        </w:rPr>
        <w:t>Illustrative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Strawmen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models: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A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range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potential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options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were</w:t>
      </w:r>
      <w:r>
        <w:rPr>
          <w:spacing w:val="12"/>
          <w:w w:val="105"/>
          <w:sz w:val="18"/>
        </w:rPr>
        <w:t> </w:t>
      </w:r>
      <w:r>
        <w:rPr>
          <w:w w:val="105"/>
          <w:sz w:val="18"/>
        </w:rPr>
        <w:t>presented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regarding:</w:t>
      </w:r>
    </w:p>
    <w:p>
      <w:pPr>
        <w:pStyle w:val="ListParagraph"/>
        <w:numPr>
          <w:ilvl w:val="1"/>
          <w:numId w:val="2"/>
        </w:numPr>
        <w:tabs>
          <w:tab w:pos="2017" w:val="left" w:leader="none"/>
        </w:tabs>
        <w:spacing w:line="249" w:lineRule="auto" w:before="11" w:after="0"/>
        <w:ind w:left="1792" w:right="1530" w:firstLine="0"/>
        <w:jc w:val="left"/>
        <w:rPr>
          <w:sz w:val="18"/>
        </w:rPr>
      </w:pPr>
      <w:r>
        <w:rPr>
          <w:w w:val="105"/>
          <w:sz w:val="18"/>
        </w:rPr>
        <w:t>ownership and operation of infrastructure, 2) wholesale cash in transit, 3) rules and standards and 4) legal 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governance.</w:t>
      </w:r>
    </w:p>
    <w:p>
      <w:pPr>
        <w:spacing w:after="0" w:line="249" w:lineRule="auto"/>
        <w:jc w:val="left"/>
        <w:rPr>
          <w:sz w:val="18"/>
        </w:rPr>
        <w:sectPr>
          <w:headerReference w:type="default" r:id="rId5"/>
          <w:type w:val="continuous"/>
          <w:pgSz w:w="12240" w:h="15840"/>
          <w:pgMar w:header="959" w:top="1180" w:bottom="280" w:left="860" w:right="880"/>
        </w:sectPr>
      </w:pPr>
    </w:p>
    <w:p>
      <w:pPr>
        <w:pStyle w:val="BodyText"/>
        <w:spacing w:line="254" w:lineRule="auto" w:before="90"/>
        <w:ind w:left="1792" w:right="1529"/>
        <w:jc w:val="both"/>
      </w:pP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Industry</w:t>
      </w:r>
      <w:r>
        <w:rPr>
          <w:spacing w:val="-17"/>
          <w:w w:val="105"/>
        </w:rPr>
        <w:t> </w:t>
      </w:r>
      <w:r>
        <w:rPr>
          <w:w w:val="105"/>
        </w:rPr>
        <w:t>Steering</w:t>
      </w:r>
      <w:r>
        <w:rPr>
          <w:spacing w:val="-14"/>
          <w:w w:val="105"/>
        </w:rPr>
        <w:t> </w:t>
      </w:r>
      <w:r>
        <w:rPr>
          <w:w w:val="105"/>
        </w:rPr>
        <w:t>Group</w:t>
      </w:r>
      <w:r>
        <w:rPr>
          <w:spacing w:val="-12"/>
          <w:w w:val="105"/>
        </w:rPr>
        <w:t> </w:t>
      </w:r>
      <w:r>
        <w:rPr>
          <w:w w:val="105"/>
        </w:rPr>
        <w:t>(ISG)</w:t>
      </w:r>
      <w:r>
        <w:rPr>
          <w:spacing w:val="-12"/>
          <w:w w:val="105"/>
        </w:rPr>
        <w:t> </w:t>
      </w:r>
      <w:r>
        <w:rPr>
          <w:w w:val="105"/>
        </w:rPr>
        <w:t>workshop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scheduled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31</w:t>
      </w:r>
      <w:r>
        <w:rPr>
          <w:spacing w:val="-13"/>
          <w:w w:val="105"/>
        </w:rPr>
        <w:t> </w:t>
      </w:r>
      <w:r>
        <w:rPr>
          <w:w w:val="105"/>
        </w:rPr>
        <w:t>October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seek to reduce these options to a smaller preferred set for further</w:t>
      </w:r>
      <w:r>
        <w:rPr>
          <w:spacing w:val="-22"/>
          <w:w w:val="105"/>
        </w:rPr>
        <w:t> </w:t>
      </w:r>
      <w:r>
        <w:rPr>
          <w:w w:val="105"/>
        </w:rPr>
        <w:t>investigation.</w:t>
      </w:r>
    </w:p>
    <w:p>
      <w:pPr>
        <w:pStyle w:val="BodyText"/>
        <w:spacing w:before="4"/>
      </w:pPr>
    </w:p>
    <w:p>
      <w:pPr>
        <w:pStyle w:val="BodyText"/>
        <w:spacing w:line="249" w:lineRule="auto" w:before="1"/>
        <w:ind w:left="1792" w:right="1527"/>
        <w:jc w:val="both"/>
      </w:pPr>
      <w:r>
        <w:rPr>
          <w:w w:val="105"/>
        </w:rPr>
        <w:t>Members revisited the success criteria, and highlighted those that they felt were most relevant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ISG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take</w:t>
      </w:r>
      <w:r>
        <w:rPr>
          <w:spacing w:val="-9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account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their</w:t>
      </w:r>
      <w:r>
        <w:rPr>
          <w:spacing w:val="-5"/>
          <w:w w:val="105"/>
        </w:rPr>
        <w:t> </w:t>
      </w:r>
      <w:r>
        <w:rPr>
          <w:w w:val="105"/>
        </w:rPr>
        <w:t>discussions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aspects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 model. Members agreed that it would be helpful to develop a more detailed set of design principles to help guide decisions in</w:t>
      </w:r>
      <w:r>
        <w:rPr>
          <w:spacing w:val="-3"/>
          <w:w w:val="105"/>
        </w:rPr>
        <w:t> </w:t>
      </w:r>
      <w:r>
        <w:rPr>
          <w:w w:val="105"/>
        </w:rPr>
        <w:t>future.</w:t>
      </w: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792" w:val="left" w:leader="none"/>
        </w:tabs>
        <w:spacing w:line="249" w:lineRule="auto" w:before="0" w:after="0"/>
        <w:ind w:left="1792" w:right="1528" w:hanging="339"/>
        <w:jc w:val="both"/>
        <w:rPr>
          <w:sz w:val="18"/>
        </w:rPr>
      </w:pPr>
      <w:r>
        <w:rPr>
          <w:w w:val="105"/>
          <w:sz w:val="18"/>
        </w:rPr>
        <w:t>Wholesale Cash in Transit (CiT): Members agreed that wholesale cash supply chain and wholesale CiT is within scope of the model. End-point CiT is out of scope, but members agreed that the model must be mindful of the impact on these lines of business.</w:t>
      </w: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792" w:val="left" w:leader="none"/>
        </w:tabs>
        <w:spacing w:line="249" w:lineRule="auto" w:before="1" w:after="0"/>
        <w:ind w:left="1792" w:right="1530" w:hanging="339"/>
        <w:jc w:val="both"/>
        <w:rPr>
          <w:sz w:val="18"/>
        </w:rPr>
      </w:pPr>
      <w:r>
        <w:rPr>
          <w:w w:val="105"/>
          <w:sz w:val="18"/>
        </w:rPr>
        <w:t>Stakeholder</w:t>
      </w:r>
      <w:r>
        <w:rPr>
          <w:spacing w:val="-18"/>
          <w:w w:val="105"/>
          <w:sz w:val="18"/>
        </w:rPr>
        <w:t> </w:t>
      </w:r>
      <w:r>
        <w:rPr>
          <w:w w:val="105"/>
          <w:sz w:val="18"/>
        </w:rPr>
        <w:t>engagement: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Members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noted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the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bilateral</w:t>
      </w:r>
      <w:r>
        <w:rPr>
          <w:spacing w:val="-23"/>
          <w:w w:val="105"/>
          <w:sz w:val="18"/>
        </w:rPr>
        <w:t> </w:t>
      </w:r>
      <w:r>
        <w:rPr>
          <w:w w:val="105"/>
          <w:sz w:val="18"/>
        </w:rPr>
        <w:t>stakeholder</w:t>
      </w:r>
      <w:r>
        <w:rPr>
          <w:spacing w:val="-22"/>
          <w:w w:val="105"/>
          <w:sz w:val="18"/>
        </w:rPr>
        <w:t> </w:t>
      </w:r>
      <w:r>
        <w:rPr>
          <w:w w:val="105"/>
          <w:sz w:val="18"/>
        </w:rPr>
        <w:t>meetings</w:t>
      </w:r>
      <w:r>
        <w:rPr>
          <w:spacing w:val="-21"/>
          <w:w w:val="105"/>
          <w:sz w:val="18"/>
        </w:rPr>
        <w:t> </w:t>
      </w:r>
      <w:r>
        <w:rPr>
          <w:w w:val="105"/>
          <w:sz w:val="18"/>
        </w:rPr>
        <w:t>scheduled by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KPMG.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3"/>
        </w:numPr>
        <w:tabs>
          <w:tab w:pos="1115" w:val="left" w:leader="none"/>
          <w:tab w:pos="1116" w:val="left" w:leader="none"/>
        </w:tabs>
        <w:spacing w:line="240" w:lineRule="auto" w:before="101" w:after="0"/>
        <w:ind w:left="1115" w:right="0" w:hanging="901"/>
        <w:jc w:val="left"/>
      </w:pPr>
      <w:r>
        <w:rPr>
          <w:w w:val="105"/>
        </w:rPr>
        <w:t>Industry forum</w:t>
      </w:r>
      <w:r>
        <w:rPr>
          <w:spacing w:val="-5"/>
          <w:w w:val="105"/>
        </w:rPr>
        <w:t> </w:t>
      </w:r>
      <w:r>
        <w:rPr>
          <w:w w:val="105"/>
        </w:rPr>
        <w:t>proposal</w:t>
      </w:r>
    </w:p>
    <w:p>
      <w:pPr>
        <w:pStyle w:val="BodyText"/>
        <w:spacing w:before="6"/>
        <w:rPr>
          <w:b/>
          <w:sz w:val="19"/>
        </w:rPr>
      </w:pPr>
    </w:p>
    <w:p>
      <w:pPr>
        <w:pStyle w:val="BodyText"/>
        <w:spacing w:line="252" w:lineRule="auto"/>
        <w:ind w:left="1115" w:right="1833"/>
        <w:jc w:val="both"/>
      </w:pPr>
      <w:r>
        <w:rPr>
          <w:w w:val="105"/>
        </w:rPr>
        <w:t>Members agreed that maintaining transparency of the WDSG work is important. Members supported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Bank of</w:t>
      </w:r>
      <w:r>
        <w:rPr>
          <w:spacing w:val="-6"/>
          <w:w w:val="105"/>
        </w:rPr>
        <w:t> </w:t>
      </w:r>
      <w:r>
        <w:rPr>
          <w:w w:val="105"/>
        </w:rPr>
        <w:t>England</w:t>
      </w:r>
      <w:r>
        <w:rPr>
          <w:spacing w:val="-3"/>
          <w:w w:val="105"/>
        </w:rPr>
        <w:t> </w:t>
      </w:r>
      <w:r>
        <w:rPr>
          <w:w w:val="105"/>
        </w:rPr>
        <w:t>hosting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industry</w:t>
      </w:r>
      <w:r>
        <w:rPr>
          <w:spacing w:val="-10"/>
          <w:w w:val="105"/>
        </w:rPr>
        <w:t> </w:t>
      </w:r>
      <w:r>
        <w:rPr>
          <w:w w:val="105"/>
        </w:rPr>
        <w:t>forum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November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provide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wider industry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update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undertaken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WDSG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date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invite</w:t>
      </w:r>
      <w:r>
        <w:rPr>
          <w:spacing w:val="-2"/>
          <w:w w:val="105"/>
        </w:rPr>
        <w:t> </w:t>
      </w:r>
      <w:r>
        <w:rPr>
          <w:w w:val="105"/>
        </w:rPr>
        <w:t>feedback.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115" w:val="left" w:leader="none"/>
          <w:tab w:pos="1116" w:val="left" w:leader="none"/>
        </w:tabs>
        <w:spacing w:line="240" w:lineRule="auto" w:before="173" w:after="0"/>
        <w:ind w:left="1115" w:right="0" w:hanging="901"/>
        <w:jc w:val="left"/>
      </w:pPr>
      <w:r>
        <w:rPr>
          <w:w w:val="105"/>
        </w:rPr>
        <w:t>Update from visit to</w:t>
      </w:r>
      <w:r>
        <w:rPr>
          <w:spacing w:val="-8"/>
          <w:w w:val="105"/>
        </w:rPr>
        <w:t> </w:t>
      </w:r>
      <w:r>
        <w:rPr>
          <w:w w:val="105"/>
        </w:rPr>
        <w:t>Netherlands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</w:rPr>
      </w:pPr>
    </w:p>
    <w:p>
      <w:pPr>
        <w:pStyle w:val="BodyText"/>
        <w:spacing w:line="252" w:lineRule="auto" w:before="1"/>
        <w:ind w:left="1115" w:right="1506"/>
      </w:pPr>
      <w:r>
        <w:rPr>
          <w:w w:val="105"/>
        </w:rPr>
        <w:t>UK Finance and KPMG reported back on a fact-finding visit to the Netherlands to analyse the cash distribution model. Members agreed that there were interesting parallels between the UK and the Netherlands, and a number of ideas to consider. But it was also noted that there are differences in the existing cash market and banking sector structures that mean a precise replication of the Netherlands might not work in the same way in the UK.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Heading1"/>
        <w:numPr>
          <w:ilvl w:val="0"/>
          <w:numId w:val="3"/>
        </w:numPr>
        <w:tabs>
          <w:tab w:pos="1115" w:val="left" w:leader="none"/>
          <w:tab w:pos="1116" w:val="left" w:leader="none"/>
        </w:tabs>
        <w:spacing w:line="240" w:lineRule="auto" w:before="0" w:after="0"/>
        <w:ind w:left="1115" w:right="0" w:hanging="901"/>
        <w:jc w:val="left"/>
      </w:pPr>
      <w:r>
        <w:rPr>
          <w:w w:val="105"/>
        </w:rPr>
        <w:t>Review outstanding</w:t>
      </w:r>
      <w:r>
        <w:rPr>
          <w:spacing w:val="6"/>
          <w:w w:val="105"/>
        </w:rPr>
        <w:t> </w:t>
      </w:r>
      <w:r>
        <w:rPr>
          <w:w w:val="105"/>
        </w:rPr>
        <w:t>actions</w:t>
      </w:r>
    </w:p>
    <w:p>
      <w:pPr>
        <w:pStyle w:val="BodyText"/>
        <w:spacing w:before="9"/>
        <w:rPr>
          <w:b/>
          <w:sz w:val="19"/>
        </w:rPr>
      </w:pPr>
    </w:p>
    <w:p>
      <w:pPr>
        <w:pStyle w:val="BodyText"/>
        <w:ind w:left="1115"/>
      </w:pPr>
      <w:r>
        <w:rPr>
          <w:w w:val="105"/>
        </w:rPr>
        <w:t>Actions were reviewed and closed where applicable.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1"/>
        <w:numPr>
          <w:ilvl w:val="0"/>
          <w:numId w:val="3"/>
        </w:numPr>
        <w:tabs>
          <w:tab w:pos="1115" w:val="left" w:leader="none"/>
          <w:tab w:pos="1116" w:val="left" w:leader="none"/>
        </w:tabs>
        <w:spacing w:line="240" w:lineRule="auto" w:before="1" w:after="0"/>
        <w:ind w:left="1115" w:right="0" w:hanging="901"/>
        <w:jc w:val="left"/>
      </w:pPr>
      <w:r>
        <w:rPr>
          <w:w w:val="105"/>
        </w:rPr>
        <w:t>AOB</w:t>
      </w:r>
    </w:p>
    <w:p>
      <w:pPr>
        <w:pStyle w:val="BodyText"/>
        <w:spacing w:before="8"/>
        <w:rPr>
          <w:b/>
          <w:sz w:val="19"/>
        </w:rPr>
      </w:pPr>
    </w:p>
    <w:p>
      <w:pPr>
        <w:pStyle w:val="BodyText"/>
        <w:ind w:left="1115"/>
      </w:pPr>
      <w:r>
        <w:rPr>
          <w:w w:val="105"/>
        </w:rPr>
        <w:t>None</w:t>
      </w:r>
    </w:p>
    <w:sectPr>
      <w:headerReference w:type="default" r:id="rId6"/>
      <w:pgSz w:w="12240" w:h="15840"/>
      <w:pgMar w:header="536" w:footer="0" w:top="1180" w:bottom="280" w:left="86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4.160004pt;margin-top:46.940491pt;width:48.9pt;height:12.45pt;mso-position-horizontal-relative:page;mso-position-vertical-relative:page;z-index:-25179033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5"/>
                  </w:rPr>
                  <w:t>18.10.2019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.400024pt;margin-top:25.820492pt;width:7.2pt;height:12.45pt;mso-position-horizontal-relative:page;mso-position-vertical-relative:page;z-index:-2517893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>
                    <w:w w:val="103"/>
                  </w:rPr>
                  <w:t>2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3"/>
      <w:numFmt w:val="decimal"/>
      <w:lvlText w:val="%1."/>
      <w:lvlJc w:val="left"/>
      <w:pPr>
        <w:ind w:left="1115" w:hanging="900"/>
        <w:jc w:val="left"/>
      </w:pPr>
      <w:rPr>
        <w:rFonts w:hint="default" w:ascii="Arial" w:hAnsi="Arial" w:eastAsia="Arial" w:cs="Arial"/>
        <w:b/>
        <w:bCs/>
        <w:spacing w:val="-1"/>
        <w:w w:val="103"/>
        <w:sz w:val="18"/>
        <w:szCs w:val="18"/>
      </w:rPr>
    </w:lvl>
    <w:lvl w:ilvl="1">
      <w:start w:val="0"/>
      <w:numFmt w:val="bullet"/>
      <w:lvlText w:val="•"/>
      <w:lvlJc w:val="left"/>
      <w:pPr>
        <w:ind w:left="2058" w:hanging="9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96" w:hanging="9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34" w:hanging="9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2" w:hanging="9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10" w:hanging="9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48" w:hanging="9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6" w:hanging="9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4" w:hanging="9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91" w:hanging="339"/>
        <w:jc w:val="left"/>
      </w:pPr>
      <w:rPr>
        <w:rFonts w:hint="default" w:ascii="Arial" w:hAnsi="Arial" w:eastAsia="Arial" w:cs="Arial"/>
        <w:spacing w:val="0"/>
        <w:w w:val="103"/>
        <w:sz w:val="18"/>
        <w:szCs w:val="18"/>
      </w:rPr>
    </w:lvl>
    <w:lvl w:ilvl="1">
      <w:start w:val="1"/>
      <w:numFmt w:val="decimal"/>
      <w:lvlText w:val="%2)"/>
      <w:lvlJc w:val="left"/>
      <w:pPr>
        <w:ind w:left="1792" w:hanging="225"/>
        <w:jc w:val="left"/>
      </w:pPr>
      <w:rPr>
        <w:rFonts w:hint="default" w:ascii="Arial" w:hAnsi="Arial" w:eastAsia="Arial" w:cs="Arial"/>
        <w:spacing w:val="0"/>
        <w:w w:val="103"/>
        <w:sz w:val="18"/>
        <w:szCs w:val="18"/>
      </w:rPr>
    </w:lvl>
    <w:lvl w:ilvl="2">
      <w:start w:val="0"/>
      <w:numFmt w:val="bullet"/>
      <w:lvlText w:val="•"/>
      <w:lvlJc w:val="left"/>
      <w:pPr>
        <w:ind w:left="3540" w:hanging="22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410" w:hanging="2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80" w:hanging="2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50" w:hanging="2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20" w:hanging="2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90" w:hanging="2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60" w:hanging="225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15" w:hanging="900"/>
        <w:jc w:val="left"/>
      </w:pPr>
      <w:rPr>
        <w:rFonts w:hint="default" w:ascii="Arial" w:hAnsi="Arial" w:eastAsia="Arial" w:cs="Arial"/>
        <w:b/>
        <w:bCs/>
        <w:spacing w:val="-1"/>
        <w:w w:val="103"/>
        <w:sz w:val="18"/>
        <w:szCs w:val="18"/>
      </w:rPr>
    </w:lvl>
    <w:lvl w:ilvl="1">
      <w:start w:val="0"/>
      <w:numFmt w:val="bullet"/>
      <w:lvlText w:val="-"/>
      <w:lvlJc w:val="left"/>
      <w:pPr>
        <w:ind w:left="1446" w:hanging="339"/>
      </w:pPr>
      <w:rPr>
        <w:rFonts w:hint="default" w:ascii="Arial" w:hAnsi="Arial" w:eastAsia="Arial" w:cs="Arial"/>
        <w:w w:val="103"/>
        <w:sz w:val="18"/>
        <w:szCs w:val="18"/>
      </w:rPr>
    </w:lvl>
    <w:lvl w:ilvl="2">
      <w:start w:val="0"/>
      <w:numFmt w:val="bullet"/>
      <w:lvlText w:val="•"/>
      <w:lvlJc w:val="left"/>
      <w:pPr>
        <w:ind w:left="2446" w:hanging="3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53" w:hanging="3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60" w:hanging="3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66" w:hanging="3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73" w:hanging="3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480" w:hanging="3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86" w:hanging="339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</w:rPr>
  </w:style>
  <w:style w:styleId="Heading1" w:type="paragraph">
    <w:name w:val="Heading 1"/>
    <w:basedOn w:val="Normal"/>
    <w:uiPriority w:val="1"/>
    <w:qFormat/>
    <w:pPr>
      <w:ind w:left="1115" w:hanging="901"/>
      <w:outlineLvl w:val="1"/>
    </w:pPr>
    <w:rPr>
      <w:rFonts w:ascii="Arial" w:hAnsi="Arial" w:eastAsia="Arial" w:cs="Arial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>
      <w:ind w:left="1115" w:hanging="90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Minutes</dc:subject>
  <dc:title>Minutes of the Wholesale Distribution Steering Group - October 2019</dc:title>
  <dcterms:created xsi:type="dcterms:W3CDTF">2020-06-01T02:22:08Z</dcterms:created>
  <dcterms:modified xsi:type="dcterms:W3CDTF">2020-06-01T02:22:08Z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2019-11-13T00:00:00Z</vt:filetime>
  </property>
  <property fmtid="{D5CDD505-2E9C-101B-9397-08002B2CF9AE}" pid="3" name="LastSaved">
    <vt:filetime>2020-06-01T00:00:00Z</vt:filetime>
  </property>
</Properties>
</file>