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spacing w:before="213"/>
        <w:ind w:left="116" w:right="0" w:firstLine="0"/>
        <w:jc w:val="left"/>
        <w:rPr>
          <w:sz w:val="41"/>
        </w:rPr>
      </w:pPr>
      <w:r>
        <w:rPr>
          <w:sz w:val="41"/>
        </w:rPr>
        <w:t>Minutes</w:t>
      </w:r>
    </w:p>
    <w:p>
      <w:pPr>
        <w:spacing w:before="326"/>
        <w:ind w:left="116" w:right="0" w:firstLine="0"/>
        <w:jc w:val="left"/>
        <w:rPr>
          <w:b/>
          <w:sz w:val="22"/>
        </w:rPr>
      </w:pPr>
      <w:r>
        <w:rPr>
          <w:b/>
          <w:sz w:val="22"/>
        </w:rPr>
        <w:t>Wholesale Distribution Steering Group (WDSG)</w:t>
      </w:r>
    </w:p>
    <w:p>
      <w:pPr>
        <w:spacing w:before="45"/>
        <w:ind w:left="116" w:right="0" w:firstLine="0"/>
        <w:jc w:val="left"/>
        <w:rPr>
          <w:sz w:val="22"/>
        </w:rPr>
      </w:pPr>
      <w:r>
        <w:rPr>
          <w:sz w:val="22"/>
        </w:rPr>
        <w:t>16 September 2019</w:t>
      </w:r>
    </w:p>
    <w:p>
      <w:pPr>
        <w:pStyle w:val="BodyText"/>
        <w:spacing w:before="9"/>
      </w:pPr>
      <w:r>
        <w:rPr/>
        <w:pict>
          <v:shape style="position:absolute;margin-left:48.840004pt;margin-top:12.969638pt;width:513.85pt;height:.1pt;mso-position-horizontal-relative:page;mso-position-vertical-relative:paragraph;z-index:-251658240;mso-wrap-distance-left:0;mso-wrap-distance-right:0" coordorigin="977,259" coordsize="10277,0" path="m977,259l11254,259e" filled="false" stroked="true" strokeweight=".360008pt" strokecolor="#000000">
            <v:path arrowok="t"/>
            <v:stroke dashstyle="solid"/>
            <w10:wrap type="topAndBottom"/>
          </v:shape>
        </w:pict>
      </w:r>
    </w:p>
    <w:p>
      <w:pPr>
        <w:pStyle w:val="BodyText"/>
        <w:rPr>
          <w:sz w:val="7"/>
        </w:rPr>
      </w:pPr>
    </w:p>
    <w:p>
      <w:pPr>
        <w:pStyle w:val="Heading1"/>
        <w:spacing w:before="100"/>
        <w:ind w:left="116" w:firstLine="0"/>
      </w:pPr>
      <w:r>
        <w:rPr>
          <w:b w:val="0"/>
          <w:w w:val="105"/>
        </w:rPr>
        <w:t>Location: </w:t>
      </w:r>
      <w:r>
        <w:rPr>
          <w:w w:val="105"/>
        </w:rPr>
        <w:t>Bank of England, Threadneedle St, London EC2R 8AH (Room 1X)</w:t>
      </w:r>
    </w:p>
    <w:p>
      <w:pPr>
        <w:pStyle w:val="BodyText"/>
        <w:spacing w:before="6"/>
        <w:rPr>
          <w:b/>
          <w:sz w:val="22"/>
        </w:rPr>
      </w:pPr>
    </w:p>
    <w:p>
      <w:pPr>
        <w:pStyle w:val="BodyText"/>
        <w:ind w:left="116"/>
      </w:pPr>
      <w:r>
        <w:rPr>
          <w:w w:val="105"/>
        </w:rPr>
        <w:t>Attendees: </w:t>
      </w:r>
      <w:r>
        <w:rPr>
          <w:b/>
          <w:w w:val="105"/>
        </w:rPr>
        <w:t>Bank of England</w:t>
      </w:r>
      <w:r>
        <w:rPr>
          <w:w w:val="105"/>
        </w:rPr>
        <w:t>: Sarah John (Chair), Mark McLintock, Kirsty Woodgate</w:t>
      </w:r>
    </w:p>
    <w:p>
      <w:pPr>
        <w:pStyle w:val="BodyText"/>
        <w:spacing w:before="40"/>
        <w:ind w:left="1066"/>
      </w:pPr>
      <w:r>
        <w:rPr>
          <w:b/>
          <w:w w:val="105"/>
        </w:rPr>
        <w:t>UK Finance</w:t>
      </w:r>
      <w:r>
        <w:rPr>
          <w:w w:val="105"/>
        </w:rPr>
        <w:t>: Becky Clements (alternate), Russell Saunders</w:t>
      </w:r>
    </w:p>
    <w:p>
      <w:pPr>
        <w:spacing w:before="43"/>
        <w:ind w:left="1066" w:right="0" w:firstLine="0"/>
        <w:jc w:val="left"/>
        <w:rPr>
          <w:sz w:val="18"/>
        </w:rPr>
      </w:pPr>
      <w:r>
        <w:rPr>
          <w:b/>
          <w:w w:val="105"/>
          <w:sz w:val="18"/>
        </w:rPr>
        <w:t>Barclays: </w:t>
      </w:r>
      <w:r>
        <w:rPr>
          <w:w w:val="105"/>
          <w:sz w:val="18"/>
        </w:rPr>
        <w:t>No attendee</w:t>
      </w:r>
    </w:p>
    <w:p>
      <w:pPr>
        <w:spacing w:line="288" w:lineRule="auto" w:before="42"/>
        <w:ind w:left="1067" w:right="3875" w:hanging="1"/>
        <w:jc w:val="left"/>
        <w:rPr>
          <w:sz w:val="18"/>
        </w:rPr>
      </w:pPr>
      <w:r>
        <w:rPr>
          <w:b/>
          <w:w w:val="105"/>
          <w:sz w:val="18"/>
        </w:rPr>
        <w:t>Lloyds Banking Group: </w:t>
      </w:r>
      <w:r>
        <w:rPr>
          <w:w w:val="105"/>
          <w:sz w:val="18"/>
        </w:rPr>
        <w:t>Richard Hill (alternate) </w:t>
      </w:r>
      <w:r>
        <w:rPr>
          <w:b/>
          <w:w w:val="105"/>
          <w:sz w:val="18"/>
        </w:rPr>
        <w:t>Clydesdale/Yorkshire: </w:t>
      </w:r>
      <w:r>
        <w:rPr>
          <w:w w:val="105"/>
          <w:sz w:val="18"/>
        </w:rPr>
        <w:t>Derek Walker (alternate, by phone) </w:t>
      </w:r>
      <w:r>
        <w:rPr>
          <w:b/>
          <w:w w:val="105"/>
          <w:sz w:val="18"/>
        </w:rPr>
        <w:t>HSBC: </w:t>
      </w:r>
      <w:r>
        <w:rPr>
          <w:w w:val="105"/>
          <w:sz w:val="18"/>
        </w:rPr>
        <w:t>Tom Wood</w:t>
      </w:r>
    </w:p>
    <w:p>
      <w:pPr>
        <w:spacing w:line="288" w:lineRule="auto" w:before="0"/>
        <w:ind w:left="1067" w:right="5936" w:firstLine="0"/>
        <w:jc w:val="left"/>
        <w:rPr>
          <w:sz w:val="18"/>
        </w:rPr>
      </w:pPr>
      <w:r>
        <w:rPr>
          <w:b/>
          <w:w w:val="105"/>
          <w:sz w:val="18"/>
        </w:rPr>
        <w:t>Royal Bank of Scotland: </w:t>
      </w:r>
      <w:r>
        <w:rPr>
          <w:w w:val="105"/>
          <w:sz w:val="18"/>
        </w:rPr>
        <w:t>Richard Talbot </w:t>
      </w:r>
      <w:r>
        <w:rPr>
          <w:b/>
          <w:w w:val="105"/>
          <w:sz w:val="18"/>
        </w:rPr>
        <w:t>Santander: </w:t>
      </w:r>
      <w:r>
        <w:rPr>
          <w:w w:val="105"/>
          <w:sz w:val="18"/>
        </w:rPr>
        <w:t>Robert White (by phone) </w:t>
      </w:r>
      <w:r>
        <w:rPr>
          <w:b/>
          <w:w w:val="105"/>
          <w:sz w:val="18"/>
        </w:rPr>
        <w:t>Post Office: </w:t>
      </w:r>
      <w:r>
        <w:rPr>
          <w:w w:val="105"/>
          <w:sz w:val="18"/>
        </w:rPr>
        <w:t>Russell Hancock (by phone) </w:t>
      </w:r>
      <w:r>
        <w:rPr>
          <w:b/>
          <w:w w:val="105"/>
          <w:sz w:val="18"/>
        </w:rPr>
        <w:t>HM Treasury: </w:t>
      </w:r>
      <w:r>
        <w:rPr>
          <w:w w:val="105"/>
          <w:sz w:val="18"/>
        </w:rPr>
        <w:t>Derek Dunne (alternate)</w:t>
      </w:r>
    </w:p>
    <w:p>
      <w:pPr>
        <w:pStyle w:val="BodyText"/>
        <w:spacing w:before="7"/>
        <w:rPr>
          <w:sz w:val="21"/>
        </w:rPr>
      </w:pPr>
    </w:p>
    <w:p>
      <w:pPr>
        <w:spacing w:before="0"/>
        <w:ind w:left="1014" w:right="0" w:firstLine="0"/>
        <w:jc w:val="left"/>
        <w:rPr>
          <w:sz w:val="18"/>
        </w:rPr>
      </w:pPr>
      <w:r>
        <w:rPr>
          <w:b/>
          <w:w w:val="105"/>
          <w:sz w:val="18"/>
        </w:rPr>
        <w:t>KPMG: </w:t>
      </w:r>
      <w:r>
        <w:rPr>
          <w:w w:val="105"/>
          <w:sz w:val="18"/>
        </w:rPr>
        <w:t>Simon Walker</w:t>
      </w:r>
    </w:p>
    <w:p>
      <w:pPr>
        <w:spacing w:before="43"/>
        <w:ind w:left="1014" w:right="0" w:firstLine="0"/>
        <w:jc w:val="left"/>
        <w:rPr>
          <w:sz w:val="18"/>
        </w:rPr>
      </w:pPr>
      <w:r>
        <w:rPr>
          <w:b/>
          <w:w w:val="105"/>
          <w:sz w:val="18"/>
        </w:rPr>
        <w:t>KPMG: </w:t>
      </w:r>
      <w:r>
        <w:rPr>
          <w:w w:val="105"/>
          <w:sz w:val="18"/>
        </w:rPr>
        <w:t>Oliver Kirby-Johnson</w:t>
      </w:r>
    </w:p>
    <w:p>
      <w:pPr>
        <w:pStyle w:val="BodyText"/>
        <w:spacing w:before="3"/>
        <w:rPr>
          <w:sz w:val="22"/>
        </w:rPr>
      </w:pPr>
    </w:p>
    <w:p>
      <w:pPr>
        <w:pStyle w:val="BodyText"/>
        <w:spacing w:line="292" w:lineRule="auto"/>
        <w:ind w:left="1014" w:hanging="898"/>
      </w:pPr>
      <w:r>
        <w:rPr>
          <w:w w:val="105"/>
        </w:rPr>
        <w:t>Apologies: Otto Benz (Lloyds), Eric Leenders (UK Finance), Tim Allen (Barclays), Dougie Belmore (CYBG), Mario Pisani (HMT), Martin Etheridge (BoE), Ronan Mcclintock (BoE)</w:t>
      </w:r>
    </w:p>
    <w:p>
      <w:pPr>
        <w:pStyle w:val="BodyText"/>
        <w:rPr>
          <w:sz w:val="20"/>
        </w:rPr>
      </w:pPr>
    </w:p>
    <w:p>
      <w:pPr>
        <w:pStyle w:val="BodyText"/>
        <w:rPr>
          <w:sz w:val="20"/>
        </w:rPr>
      </w:pPr>
    </w:p>
    <w:p>
      <w:pPr>
        <w:pStyle w:val="BodyText"/>
        <w:rPr>
          <w:sz w:val="20"/>
        </w:rPr>
      </w:pPr>
    </w:p>
    <w:p>
      <w:pPr>
        <w:pStyle w:val="BodyText"/>
        <w:spacing w:before="1"/>
        <w:rPr>
          <w:sz w:val="20"/>
        </w:rPr>
      </w:pPr>
    </w:p>
    <w:p>
      <w:pPr>
        <w:pStyle w:val="Heading1"/>
        <w:ind w:left="215" w:firstLine="0"/>
      </w:pPr>
      <w:r>
        <w:rPr>
          <w:w w:val="105"/>
        </w:rPr>
        <w:t>Item</w:t>
      </w:r>
    </w:p>
    <w:p>
      <w:pPr>
        <w:pStyle w:val="BodyText"/>
        <w:rPr>
          <w:b/>
          <w:sz w:val="20"/>
        </w:rPr>
      </w:pPr>
    </w:p>
    <w:p>
      <w:pPr>
        <w:pStyle w:val="BodyText"/>
        <w:rPr>
          <w:b/>
          <w:sz w:val="21"/>
        </w:rPr>
      </w:pPr>
    </w:p>
    <w:p>
      <w:pPr>
        <w:pStyle w:val="ListParagraph"/>
        <w:numPr>
          <w:ilvl w:val="0"/>
          <w:numId w:val="1"/>
        </w:numPr>
        <w:tabs>
          <w:tab w:pos="899" w:val="left" w:leader="none"/>
          <w:tab w:pos="900" w:val="left" w:leader="none"/>
        </w:tabs>
        <w:spacing w:line="240" w:lineRule="auto" w:before="1" w:after="0"/>
        <w:ind w:left="1115" w:right="7329" w:hanging="1116"/>
        <w:jc w:val="right"/>
        <w:rPr>
          <w:b/>
          <w:sz w:val="18"/>
        </w:rPr>
      </w:pPr>
      <w:r>
        <w:rPr>
          <w:b/>
          <w:w w:val="105"/>
          <w:sz w:val="18"/>
        </w:rPr>
        <w:t>Standing agenda</w:t>
      </w:r>
      <w:r>
        <w:rPr>
          <w:b/>
          <w:spacing w:val="-21"/>
          <w:w w:val="105"/>
          <w:sz w:val="18"/>
        </w:rPr>
        <w:t> </w:t>
      </w:r>
      <w:r>
        <w:rPr>
          <w:b/>
          <w:w w:val="105"/>
          <w:sz w:val="18"/>
        </w:rPr>
        <w:t>items</w:t>
      </w:r>
    </w:p>
    <w:p>
      <w:pPr>
        <w:pStyle w:val="BodyText"/>
        <w:rPr>
          <w:b/>
          <w:sz w:val="20"/>
        </w:rPr>
      </w:pPr>
    </w:p>
    <w:p>
      <w:pPr>
        <w:pStyle w:val="BodyText"/>
        <w:spacing w:before="6"/>
        <w:rPr>
          <w:b/>
        </w:rPr>
      </w:pPr>
    </w:p>
    <w:p>
      <w:pPr>
        <w:pStyle w:val="ListParagraph"/>
        <w:numPr>
          <w:ilvl w:val="1"/>
          <w:numId w:val="1"/>
        </w:numPr>
        <w:tabs>
          <w:tab w:pos="338" w:val="left" w:leader="none"/>
          <w:tab w:pos="339" w:val="left" w:leader="none"/>
        </w:tabs>
        <w:spacing w:line="240" w:lineRule="auto" w:before="0" w:after="0"/>
        <w:ind w:left="1446" w:right="7372" w:hanging="1447"/>
        <w:jc w:val="right"/>
        <w:rPr>
          <w:b/>
          <w:sz w:val="18"/>
        </w:rPr>
      </w:pPr>
      <w:r>
        <w:rPr>
          <w:b/>
          <w:w w:val="105"/>
          <w:sz w:val="18"/>
        </w:rPr>
        <w:t>July 2019</w:t>
      </w:r>
      <w:r>
        <w:rPr>
          <w:b/>
          <w:spacing w:val="-19"/>
          <w:w w:val="105"/>
          <w:sz w:val="18"/>
        </w:rPr>
        <w:t> </w:t>
      </w:r>
      <w:r>
        <w:rPr>
          <w:b/>
          <w:w w:val="105"/>
          <w:sz w:val="18"/>
        </w:rPr>
        <w:t>minutes:</w:t>
      </w:r>
    </w:p>
    <w:p>
      <w:pPr>
        <w:pStyle w:val="BodyText"/>
        <w:spacing w:before="6"/>
        <w:rPr>
          <w:b/>
          <w:sz w:val="19"/>
        </w:rPr>
      </w:pPr>
    </w:p>
    <w:p>
      <w:pPr>
        <w:pStyle w:val="BodyText"/>
        <w:spacing w:before="1"/>
        <w:ind w:left="1115"/>
      </w:pPr>
      <w:r>
        <w:rPr>
          <w:w w:val="105"/>
        </w:rPr>
        <w:t>The group agreed the July 2019 minutes, and approved their publication.</w:t>
      </w:r>
    </w:p>
    <w:p>
      <w:pPr>
        <w:pStyle w:val="BodyText"/>
        <w:spacing w:before="6"/>
        <w:rPr>
          <w:sz w:val="19"/>
        </w:rPr>
      </w:pPr>
    </w:p>
    <w:p>
      <w:pPr>
        <w:pStyle w:val="Heading1"/>
        <w:numPr>
          <w:ilvl w:val="1"/>
          <w:numId w:val="1"/>
        </w:numPr>
        <w:tabs>
          <w:tab w:pos="1446" w:val="left" w:leader="none"/>
          <w:tab w:pos="1447" w:val="left" w:leader="none"/>
        </w:tabs>
        <w:spacing w:line="240" w:lineRule="auto" w:before="0" w:after="0"/>
        <w:ind w:left="1446" w:right="0" w:hanging="340"/>
        <w:jc w:val="left"/>
      </w:pPr>
      <w:r>
        <w:rPr>
          <w:w w:val="105"/>
        </w:rPr>
        <w:t>Sharing information on stakeholder</w:t>
      </w:r>
      <w:r>
        <w:rPr>
          <w:spacing w:val="-4"/>
          <w:w w:val="105"/>
        </w:rPr>
        <w:t> </w:t>
      </w:r>
      <w:r>
        <w:rPr>
          <w:w w:val="105"/>
        </w:rPr>
        <w:t>engagement:</w:t>
      </w:r>
    </w:p>
    <w:p>
      <w:pPr>
        <w:pStyle w:val="BodyText"/>
        <w:rPr>
          <w:b/>
          <w:sz w:val="20"/>
        </w:rPr>
      </w:pPr>
    </w:p>
    <w:p>
      <w:pPr>
        <w:pStyle w:val="BodyText"/>
        <w:spacing w:before="4"/>
        <w:rPr>
          <w:b/>
        </w:rPr>
      </w:pPr>
    </w:p>
    <w:p>
      <w:pPr>
        <w:pStyle w:val="BodyText"/>
        <w:ind w:left="1115"/>
      </w:pPr>
      <w:r>
        <w:rPr>
          <w:w w:val="105"/>
        </w:rPr>
        <w:t>No updates were noted.</w:t>
      </w:r>
    </w:p>
    <w:p>
      <w:pPr>
        <w:pStyle w:val="BodyText"/>
        <w:rPr>
          <w:sz w:val="20"/>
        </w:rPr>
      </w:pPr>
    </w:p>
    <w:p>
      <w:pPr>
        <w:pStyle w:val="BodyText"/>
        <w:rPr>
          <w:sz w:val="20"/>
        </w:rPr>
      </w:pPr>
    </w:p>
    <w:p>
      <w:pPr>
        <w:pStyle w:val="BodyText"/>
        <w:spacing w:before="4"/>
        <w:rPr>
          <w:sz w:val="17"/>
        </w:rPr>
      </w:pPr>
    </w:p>
    <w:p>
      <w:pPr>
        <w:pStyle w:val="Heading1"/>
        <w:numPr>
          <w:ilvl w:val="0"/>
          <w:numId w:val="1"/>
        </w:numPr>
        <w:tabs>
          <w:tab w:pos="1115" w:val="left" w:leader="none"/>
          <w:tab w:pos="1116" w:val="left" w:leader="none"/>
        </w:tabs>
        <w:spacing w:line="240" w:lineRule="auto" w:before="0" w:after="0"/>
        <w:ind w:left="1115" w:right="0" w:hanging="901"/>
        <w:jc w:val="left"/>
      </w:pPr>
      <w:r>
        <w:rPr>
          <w:w w:val="105"/>
        </w:rPr>
        <w:t>Update from meeting with Northern Ireland</w:t>
      </w:r>
      <w:r>
        <w:rPr>
          <w:spacing w:val="-13"/>
          <w:w w:val="105"/>
        </w:rPr>
        <w:t> </w:t>
      </w:r>
      <w:r>
        <w:rPr>
          <w:w w:val="105"/>
        </w:rPr>
        <w:t>Banks</w:t>
      </w:r>
    </w:p>
    <w:p>
      <w:pPr>
        <w:pStyle w:val="BodyText"/>
        <w:spacing w:before="4"/>
        <w:rPr>
          <w:b/>
          <w:sz w:val="19"/>
        </w:rPr>
      </w:pPr>
    </w:p>
    <w:p>
      <w:pPr>
        <w:pStyle w:val="BodyText"/>
        <w:spacing w:line="252" w:lineRule="auto"/>
        <w:ind w:left="1115" w:right="1530"/>
        <w:jc w:val="both"/>
      </w:pPr>
      <w:r>
        <w:rPr>
          <w:w w:val="105"/>
        </w:rPr>
        <w:t>UK</w:t>
      </w:r>
      <w:r>
        <w:rPr>
          <w:spacing w:val="-18"/>
          <w:w w:val="105"/>
        </w:rPr>
        <w:t> </w:t>
      </w:r>
      <w:r>
        <w:rPr>
          <w:w w:val="105"/>
        </w:rPr>
        <w:t>Finance</w:t>
      </w:r>
      <w:r>
        <w:rPr>
          <w:spacing w:val="-18"/>
          <w:w w:val="105"/>
        </w:rPr>
        <w:t> </w:t>
      </w:r>
      <w:r>
        <w:rPr>
          <w:w w:val="105"/>
        </w:rPr>
        <w:t>reported</w:t>
      </w:r>
      <w:r>
        <w:rPr>
          <w:spacing w:val="-15"/>
          <w:w w:val="105"/>
        </w:rPr>
        <w:t> </w:t>
      </w:r>
      <w:r>
        <w:rPr>
          <w:w w:val="105"/>
        </w:rPr>
        <w:t>on</w:t>
      </w:r>
      <w:r>
        <w:rPr>
          <w:spacing w:val="-15"/>
          <w:w w:val="105"/>
        </w:rPr>
        <w:t> </w:t>
      </w:r>
      <w:r>
        <w:rPr>
          <w:w w:val="105"/>
        </w:rPr>
        <w:t>their</w:t>
      </w:r>
      <w:r>
        <w:rPr>
          <w:spacing w:val="-18"/>
          <w:w w:val="105"/>
        </w:rPr>
        <w:t> </w:t>
      </w:r>
      <w:r>
        <w:rPr>
          <w:w w:val="105"/>
        </w:rPr>
        <w:t>recent</w:t>
      </w:r>
      <w:r>
        <w:rPr>
          <w:spacing w:val="-13"/>
          <w:w w:val="105"/>
        </w:rPr>
        <w:t> </w:t>
      </w:r>
      <w:r>
        <w:rPr>
          <w:w w:val="105"/>
        </w:rPr>
        <w:t>meeting</w:t>
      </w:r>
      <w:r>
        <w:rPr>
          <w:spacing w:val="-14"/>
          <w:w w:val="105"/>
        </w:rPr>
        <w:t> </w:t>
      </w:r>
      <w:r>
        <w:rPr>
          <w:w w:val="105"/>
        </w:rPr>
        <w:t>with</w:t>
      </w:r>
      <w:r>
        <w:rPr>
          <w:spacing w:val="-16"/>
          <w:w w:val="105"/>
        </w:rPr>
        <w:t> </w:t>
      </w:r>
      <w:r>
        <w:rPr>
          <w:w w:val="105"/>
        </w:rPr>
        <w:t>the</w:t>
      </w:r>
      <w:r>
        <w:rPr>
          <w:spacing w:val="-18"/>
          <w:w w:val="105"/>
        </w:rPr>
        <w:t> </w:t>
      </w:r>
      <w:r>
        <w:rPr>
          <w:w w:val="105"/>
        </w:rPr>
        <w:t>NI</w:t>
      </w:r>
      <w:r>
        <w:rPr>
          <w:spacing w:val="-15"/>
          <w:w w:val="105"/>
        </w:rPr>
        <w:t> </w:t>
      </w:r>
      <w:r>
        <w:rPr>
          <w:w w:val="105"/>
        </w:rPr>
        <w:t>banks</w:t>
      </w:r>
      <w:r>
        <w:rPr>
          <w:spacing w:val="-18"/>
          <w:w w:val="105"/>
        </w:rPr>
        <w:t> </w:t>
      </w:r>
      <w:r>
        <w:rPr>
          <w:w w:val="105"/>
        </w:rPr>
        <w:t>and</w:t>
      </w:r>
      <w:r>
        <w:rPr>
          <w:spacing w:val="-12"/>
          <w:w w:val="105"/>
        </w:rPr>
        <w:t> </w:t>
      </w:r>
      <w:r>
        <w:rPr>
          <w:w w:val="105"/>
        </w:rPr>
        <w:t>confirmed</w:t>
      </w:r>
      <w:r>
        <w:rPr>
          <w:spacing w:val="-16"/>
          <w:w w:val="105"/>
        </w:rPr>
        <w:t> </w:t>
      </w:r>
      <w:r>
        <w:rPr>
          <w:w w:val="105"/>
        </w:rPr>
        <w:t>that</w:t>
      </w:r>
      <w:r>
        <w:rPr>
          <w:spacing w:val="-12"/>
          <w:w w:val="105"/>
        </w:rPr>
        <w:t> </w:t>
      </w:r>
      <w:r>
        <w:rPr>
          <w:w w:val="105"/>
        </w:rPr>
        <w:t>NI</w:t>
      </w:r>
      <w:r>
        <w:rPr>
          <w:spacing w:val="-16"/>
          <w:w w:val="105"/>
        </w:rPr>
        <w:t> </w:t>
      </w:r>
      <w:r>
        <w:rPr>
          <w:w w:val="105"/>
        </w:rPr>
        <w:t>distribution would</w:t>
      </w:r>
      <w:r>
        <w:rPr>
          <w:spacing w:val="-14"/>
          <w:w w:val="105"/>
        </w:rPr>
        <w:t> </w:t>
      </w:r>
      <w:r>
        <w:rPr>
          <w:w w:val="105"/>
        </w:rPr>
        <w:t>be</w:t>
      </w:r>
      <w:r>
        <w:rPr>
          <w:spacing w:val="-13"/>
          <w:w w:val="105"/>
        </w:rPr>
        <w:t> </w:t>
      </w:r>
      <w:r>
        <w:rPr>
          <w:w w:val="105"/>
        </w:rPr>
        <w:t>considered</w:t>
      </w:r>
      <w:r>
        <w:rPr>
          <w:spacing w:val="-10"/>
          <w:w w:val="105"/>
        </w:rPr>
        <w:t> </w:t>
      </w:r>
      <w:r>
        <w:rPr>
          <w:w w:val="105"/>
        </w:rPr>
        <w:t>within</w:t>
      </w:r>
      <w:r>
        <w:rPr>
          <w:spacing w:val="-10"/>
          <w:w w:val="105"/>
        </w:rPr>
        <w:t> </w:t>
      </w:r>
      <w:r>
        <w:rPr>
          <w:w w:val="105"/>
        </w:rPr>
        <w:t>the</w:t>
      </w:r>
      <w:r>
        <w:rPr>
          <w:spacing w:val="-12"/>
          <w:w w:val="105"/>
        </w:rPr>
        <w:t> </w:t>
      </w:r>
      <w:r>
        <w:rPr>
          <w:w w:val="105"/>
        </w:rPr>
        <w:t>scope</w:t>
      </w:r>
      <w:r>
        <w:rPr>
          <w:spacing w:val="-11"/>
          <w:w w:val="105"/>
        </w:rPr>
        <w:t> </w:t>
      </w:r>
      <w:r>
        <w:rPr>
          <w:w w:val="105"/>
        </w:rPr>
        <w:t>of</w:t>
      </w:r>
      <w:r>
        <w:rPr>
          <w:spacing w:val="-11"/>
          <w:w w:val="105"/>
        </w:rPr>
        <w:t> </w:t>
      </w:r>
      <w:r>
        <w:rPr>
          <w:w w:val="105"/>
        </w:rPr>
        <w:t>the</w:t>
      </w:r>
      <w:r>
        <w:rPr>
          <w:spacing w:val="-11"/>
          <w:w w:val="105"/>
        </w:rPr>
        <w:t> </w:t>
      </w:r>
      <w:r>
        <w:rPr>
          <w:w w:val="105"/>
        </w:rPr>
        <w:t>project.</w:t>
      </w:r>
      <w:r>
        <w:rPr>
          <w:spacing w:val="31"/>
          <w:w w:val="105"/>
        </w:rPr>
        <w:t> </w:t>
      </w:r>
      <w:r>
        <w:rPr>
          <w:w w:val="105"/>
        </w:rPr>
        <w:t>The</w:t>
      </w:r>
      <w:r>
        <w:rPr>
          <w:spacing w:val="-14"/>
          <w:w w:val="105"/>
        </w:rPr>
        <w:t> </w:t>
      </w:r>
      <w:r>
        <w:rPr>
          <w:w w:val="105"/>
        </w:rPr>
        <w:t>NI</w:t>
      </w:r>
      <w:r>
        <w:rPr>
          <w:spacing w:val="-11"/>
          <w:w w:val="105"/>
        </w:rPr>
        <w:t> </w:t>
      </w:r>
      <w:r>
        <w:rPr>
          <w:w w:val="105"/>
        </w:rPr>
        <w:t>banks</w:t>
      </w:r>
      <w:r>
        <w:rPr>
          <w:spacing w:val="-15"/>
          <w:w w:val="105"/>
        </w:rPr>
        <w:t> </w:t>
      </w:r>
      <w:r>
        <w:rPr>
          <w:w w:val="105"/>
        </w:rPr>
        <w:t>would</w:t>
      </w:r>
      <w:r>
        <w:rPr>
          <w:spacing w:val="-12"/>
          <w:w w:val="105"/>
        </w:rPr>
        <w:t> </w:t>
      </w:r>
      <w:r>
        <w:rPr>
          <w:w w:val="105"/>
        </w:rPr>
        <w:t>be</w:t>
      </w:r>
      <w:r>
        <w:rPr>
          <w:spacing w:val="-10"/>
          <w:w w:val="105"/>
        </w:rPr>
        <w:t> </w:t>
      </w:r>
      <w:r>
        <w:rPr>
          <w:w w:val="105"/>
        </w:rPr>
        <w:t>invited</w:t>
      </w:r>
      <w:r>
        <w:rPr>
          <w:spacing w:val="-10"/>
          <w:w w:val="105"/>
        </w:rPr>
        <w:t> </w:t>
      </w:r>
      <w:r>
        <w:rPr>
          <w:w w:val="105"/>
        </w:rPr>
        <w:t>as</w:t>
      </w:r>
      <w:r>
        <w:rPr>
          <w:spacing w:val="-10"/>
          <w:w w:val="105"/>
        </w:rPr>
        <w:t> </w:t>
      </w:r>
      <w:r>
        <w:rPr>
          <w:w w:val="105"/>
        </w:rPr>
        <w:t>observer members</w:t>
      </w:r>
      <w:r>
        <w:rPr>
          <w:spacing w:val="-13"/>
          <w:w w:val="105"/>
        </w:rPr>
        <w:t> </w:t>
      </w:r>
      <w:r>
        <w:rPr>
          <w:w w:val="105"/>
        </w:rPr>
        <w:t>of</w:t>
      </w:r>
      <w:r>
        <w:rPr>
          <w:spacing w:val="-13"/>
          <w:w w:val="105"/>
        </w:rPr>
        <w:t> </w:t>
      </w:r>
      <w:r>
        <w:rPr>
          <w:w w:val="105"/>
        </w:rPr>
        <w:t>the</w:t>
      </w:r>
      <w:r>
        <w:rPr>
          <w:spacing w:val="-10"/>
          <w:w w:val="105"/>
        </w:rPr>
        <w:t> </w:t>
      </w:r>
      <w:r>
        <w:rPr>
          <w:w w:val="105"/>
        </w:rPr>
        <w:t>ISG.</w:t>
      </w:r>
      <w:r>
        <w:rPr>
          <w:spacing w:val="-11"/>
          <w:w w:val="105"/>
        </w:rPr>
        <w:t> </w:t>
      </w:r>
      <w:r>
        <w:rPr>
          <w:w w:val="105"/>
        </w:rPr>
        <w:t>It</w:t>
      </w:r>
      <w:r>
        <w:rPr>
          <w:spacing w:val="-10"/>
          <w:w w:val="105"/>
        </w:rPr>
        <w:t> </w:t>
      </w:r>
      <w:r>
        <w:rPr>
          <w:w w:val="105"/>
        </w:rPr>
        <w:t>was</w:t>
      </w:r>
      <w:r>
        <w:rPr>
          <w:spacing w:val="-11"/>
          <w:w w:val="105"/>
        </w:rPr>
        <w:t> </w:t>
      </w:r>
      <w:r>
        <w:rPr>
          <w:w w:val="105"/>
        </w:rPr>
        <w:t>agreed</w:t>
      </w:r>
      <w:r>
        <w:rPr>
          <w:spacing w:val="-11"/>
          <w:w w:val="105"/>
        </w:rPr>
        <w:t> </w:t>
      </w:r>
      <w:r>
        <w:rPr>
          <w:w w:val="105"/>
        </w:rPr>
        <w:t>the</w:t>
      </w:r>
      <w:r>
        <w:rPr>
          <w:spacing w:val="-13"/>
          <w:w w:val="105"/>
        </w:rPr>
        <w:t> </w:t>
      </w:r>
      <w:r>
        <w:rPr>
          <w:w w:val="105"/>
        </w:rPr>
        <w:t>NI</w:t>
      </w:r>
      <w:r>
        <w:rPr>
          <w:spacing w:val="-14"/>
          <w:w w:val="105"/>
        </w:rPr>
        <w:t> </w:t>
      </w:r>
      <w:r>
        <w:rPr>
          <w:w w:val="105"/>
        </w:rPr>
        <w:t>banks</w:t>
      </w:r>
      <w:r>
        <w:rPr>
          <w:spacing w:val="-14"/>
          <w:w w:val="105"/>
        </w:rPr>
        <w:t> </w:t>
      </w:r>
      <w:r>
        <w:rPr>
          <w:w w:val="105"/>
        </w:rPr>
        <w:t>would</w:t>
      </w:r>
      <w:r>
        <w:rPr>
          <w:spacing w:val="-12"/>
          <w:w w:val="105"/>
        </w:rPr>
        <w:t> </w:t>
      </w:r>
      <w:r>
        <w:rPr>
          <w:w w:val="105"/>
        </w:rPr>
        <w:t>also</w:t>
      </w:r>
      <w:r>
        <w:rPr>
          <w:spacing w:val="-12"/>
          <w:w w:val="105"/>
        </w:rPr>
        <w:t> </w:t>
      </w:r>
      <w:r>
        <w:rPr>
          <w:w w:val="105"/>
        </w:rPr>
        <w:t>join</w:t>
      </w:r>
      <w:r>
        <w:rPr>
          <w:spacing w:val="-15"/>
          <w:w w:val="105"/>
        </w:rPr>
        <w:t> </w:t>
      </w:r>
      <w:r>
        <w:rPr>
          <w:w w:val="105"/>
        </w:rPr>
        <w:t>WDSG</w:t>
      </w:r>
      <w:r>
        <w:rPr>
          <w:spacing w:val="-13"/>
          <w:w w:val="105"/>
        </w:rPr>
        <w:t> </w:t>
      </w:r>
      <w:r>
        <w:rPr>
          <w:w w:val="105"/>
        </w:rPr>
        <w:t>as</w:t>
      </w:r>
      <w:r>
        <w:rPr>
          <w:spacing w:val="-12"/>
          <w:w w:val="105"/>
        </w:rPr>
        <w:t> </w:t>
      </w:r>
      <w:r>
        <w:rPr>
          <w:w w:val="105"/>
        </w:rPr>
        <w:t>observers.</w:t>
      </w:r>
      <w:r>
        <w:rPr>
          <w:spacing w:val="-11"/>
          <w:w w:val="105"/>
        </w:rPr>
        <w:t> </w:t>
      </w:r>
      <w:r>
        <w:rPr>
          <w:w w:val="105"/>
        </w:rPr>
        <w:t>The</w:t>
      </w:r>
      <w:r>
        <w:rPr>
          <w:spacing w:val="-11"/>
          <w:w w:val="105"/>
        </w:rPr>
        <w:t> </w:t>
      </w:r>
      <w:r>
        <w:rPr>
          <w:w w:val="105"/>
        </w:rPr>
        <w:t>Bank of</w:t>
      </w:r>
      <w:r>
        <w:rPr>
          <w:spacing w:val="-12"/>
          <w:w w:val="105"/>
        </w:rPr>
        <w:t> </w:t>
      </w:r>
      <w:r>
        <w:rPr>
          <w:w w:val="105"/>
        </w:rPr>
        <w:t>England</w:t>
      </w:r>
      <w:r>
        <w:rPr>
          <w:spacing w:val="-9"/>
          <w:w w:val="105"/>
        </w:rPr>
        <w:t> </w:t>
      </w:r>
      <w:r>
        <w:rPr>
          <w:w w:val="105"/>
        </w:rPr>
        <w:t>will</w:t>
      </w:r>
      <w:r>
        <w:rPr>
          <w:spacing w:val="-11"/>
          <w:w w:val="105"/>
        </w:rPr>
        <w:t> </w:t>
      </w:r>
      <w:r>
        <w:rPr>
          <w:w w:val="105"/>
        </w:rPr>
        <w:t>establish</w:t>
      </w:r>
      <w:r>
        <w:rPr>
          <w:spacing w:val="-10"/>
          <w:w w:val="105"/>
        </w:rPr>
        <w:t> </w:t>
      </w:r>
      <w:r>
        <w:rPr>
          <w:w w:val="105"/>
        </w:rPr>
        <w:t>a</w:t>
      </w:r>
      <w:r>
        <w:rPr>
          <w:spacing w:val="-9"/>
          <w:w w:val="105"/>
        </w:rPr>
        <w:t> </w:t>
      </w:r>
      <w:r>
        <w:rPr>
          <w:w w:val="105"/>
        </w:rPr>
        <w:t>bilateral</w:t>
      </w:r>
      <w:r>
        <w:rPr>
          <w:spacing w:val="-12"/>
          <w:w w:val="105"/>
        </w:rPr>
        <w:t> </w:t>
      </w:r>
      <w:r>
        <w:rPr>
          <w:w w:val="105"/>
        </w:rPr>
        <w:t>line</w:t>
      </w:r>
      <w:r>
        <w:rPr>
          <w:spacing w:val="-11"/>
          <w:w w:val="105"/>
        </w:rPr>
        <w:t> </w:t>
      </w:r>
      <w:r>
        <w:rPr>
          <w:w w:val="105"/>
        </w:rPr>
        <w:t>of</w:t>
      </w:r>
      <w:r>
        <w:rPr>
          <w:spacing w:val="-7"/>
          <w:w w:val="105"/>
        </w:rPr>
        <w:t> </w:t>
      </w:r>
      <w:r>
        <w:rPr>
          <w:w w:val="105"/>
        </w:rPr>
        <w:t>communication</w:t>
      </w:r>
      <w:r>
        <w:rPr>
          <w:spacing w:val="-8"/>
          <w:w w:val="105"/>
        </w:rPr>
        <w:t> </w:t>
      </w:r>
      <w:r>
        <w:rPr>
          <w:w w:val="105"/>
        </w:rPr>
        <w:t>with</w:t>
      </w:r>
      <w:r>
        <w:rPr>
          <w:spacing w:val="-10"/>
          <w:w w:val="105"/>
        </w:rPr>
        <w:t> </w:t>
      </w:r>
      <w:r>
        <w:rPr>
          <w:w w:val="105"/>
        </w:rPr>
        <w:t>the</w:t>
      </w:r>
      <w:r>
        <w:rPr>
          <w:spacing w:val="-9"/>
          <w:w w:val="105"/>
        </w:rPr>
        <w:t> </w:t>
      </w:r>
      <w:r>
        <w:rPr>
          <w:w w:val="105"/>
        </w:rPr>
        <w:t>NI</w:t>
      </w:r>
      <w:r>
        <w:rPr>
          <w:spacing w:val="-12"/>
          <w:w w:val="105"/>
        </w:rPr>
        <w:t> </w:t>
      </w:r>
      <w:r>
        <w:rPr>
          <w:w w:val="105"/>
        </w:rPr>
        <w:t>banks</w:t>
      </w:r>
      <w:r>
        <w:rPr>
          <w:spacing w:val="-9"/>
          <w:w w:val="105"/>
        </w:rPr>
        <w:t> </w:t>
      </w:r>
      <w:r>
        <w:rPr>
          <w:w w:val="105"/>
        </w:rPr>
        <w:t>to</w:t>
      </w:r>
      <w:r>
        <w:rPr>
          <w:spacing w:val="-10"/>
          <w:w w:val="105"/>
        </w:rPr>
        <w:t> </w:t>
      </w:r>
      <w:r>
        <w:rPr>
          <w:w w:val="105"/>
        </w:rPr>
        <w:t>ensure</w:t>
      </w:r>
      <w:r>
        <w:rPr>
          <w:spacing w:val="-10"/>
          <w:w w:val="105"/>
        </w:rPr>
        <w:t> </w:t>
      </w:r>
      <w:r>
        <w:rPr>
          <w:w w:val="105"/>
        </w:rPr>
        <w:t>they</w:t>
      </w:r>
      <w:r>
        <w:rPr>
          <w:spacing w:val="-12"/>
          <w:w w:val="105"/>
        </w:rPr>
        <w:t> </w:t>
      </w:r>
      <w:r>
        <w:rPr>
          <w:w w:val="105"/>
        </w:rPr>
        <w:t>have opportunities to provide their feedback outside of these</w:t>
      </w:r>
      <w:r>
        <w:rPr>
          <w:spacing w:val="-13"/>
          <w:w w:val="105"/>
        </w:rPr>
        <w:t> </w:t>
      </w:r>
      <w:r>
        <w:rPr>
          <w:w w:val="105"/>
        </w:rPr>
        <w:t>meetings.</w:t>
      </w:r>
    </w:p>
    <w:p>
      <w:pPr>
        <w:spacing w:after="0" w:line="252" w:lineRule="auto"/>
        <w:jc w:val="both"/>
        <w:sectPr>
          <w:headerReference w:type="default" r:id="rId5"/>
          <w:type w:val="continuous"/>
          <w:pgSz w:w="12240" w:h="15840"/>
          <w:pgMar w:header="959" w:top="1420" w:bottom="280" w:left="860" w:right="880"/>
        </w:sectPr>
      </w:pPr>
    </w:p>
    <w:p>
      <w:pPr>
        <w:pStyle w:val="Heading1"/>
        <w:numPr>
          <w:ilvl w:val="0"/>
          <w:numId w:val="1"/>
        </w:numPr>
        <w:tabs>
          <w:tab w:pos="1115" w:val="left" w:leader="none"/>
          <w:tab w:pos="1116" w:val="left" w:leader="none"/>
        </w:tabs>
        <w:spacing w:line="240" w:lineRule="auto" w:before="90" w:after="0"/>
        <w:ind w:left="1115" w:right="0" w:hanging="901"/>
        <w:jc w:val="left"/>
      </w:pPr>
      <w:r>
        <w:rPr>
          <w:w w:val="105"/>
        </w:rPr>
        <w:t>Update from UK Finance and</w:t>
      </w:r>
      <w:r>
        <w:rPr>
          <w:spacing w:val="-4"/>
          <w:w w:val="105"/>
        </w:rPr>
        <w:t> </w:t>
      </w:r>
      <w:r>
        <w:rPr>
          <w:w w:val="105"/>
        </w:rPr>
        <w:t>KPMG</w:t>
      </w:r>
    </w:p>
    <w:p>
      <w:pPr>
        <w:pStyle w:val="BodyText"/>
        <w:spacing w:before="9"/>
        <w:rPr>
          <w:b/>
          <w:sz w:val="19"/>
        </w:rPr>
      </w:pPr>
    </w:p>
    <w:p>
      <w:pPr>
        <w:pStyle w:val="BodyText"/>
        <w:spacing w:line="249" w:lineRule="auto"/>
        <w:ind w:left="1115" w:right="1528"/>
      </w:pPr>
      <w:r>
        <w:rPr>
          <w:w w:val="105"/>
        </w:rPr>
        <w:t>KPMG provided a progress report on their work plan to help inform the future cash distribution model.</w:t>
      </w:r>
    </w:p>
    <w:p>
      <w:pPr>
        <w:pStyle w:val="BodyText"/>
        <w:spacing w:before="8"/>
      </w:pPr>
    </w:p>
    <w:p>
      <w:pPr>
        <w:pStyle w:val="BodyText"/>
        <w:ind w:left="1115"/>
      </w:pPr>
      <w:r>
        <w:rPr>
          <w:w w:val="105"/>
        </w:rPr>
        <w:t>Updates included;</w:t>
      </w:r>
    </w:p>
    <w:p>
      <w:pPr>
        <w:pStyle w:val="BodyText"/>
        <w:spacing w:before="9"/>
        <w:rPr>
          <w:sz w:val="19"/>
        </w:rPr>
      </w:pPr>
    </w:p>
    <w:p>
      <w:pPr>
        <w:pStyle w:val="ListParagraph"/>
        <w:numPr>
          <w:ilvl w:val="0"/>
          <w:numId w:val="2"/>
        </w:numPr>
        <w:tabs>
          <w:tab w:pos="1850" w:val="left" w:leader="none"/>
        </w:tabs>
        <w:spacing w:line="249" w:lineRule="auto" w:before="0" w:after="0"/>
        <w:ind w:left="1849" w:right="2202" w:hanging="339"/>
        <w:jc w:val="left"/>
        <w:rPr>
          <w:sz w:val="18"/>
        </w:rPr>
      </w:pPr>
      <w:r>
        <w:rPr>
          <w:w w:val="105"/>
          <w:sz w:val="18"/>
        </w:rPr>
        <w:t>8</w:t>
      </w:r>
      <w:r>
        <w:rPr>
          <w:spacing w:val="-6"/>
          <w:w w:val="105"/>
          <w:sz w:val="18"/>
        </w:rPr>
        <w:t> </w:t>
      </w:r>
      <w:r>
        <w:rPr>
          <w:w w:val="105"/>
          <w:sz w:val="18"/>
        </w:rPr>
        <w:t>of</w:t>
      </w:r>
      <w:r>
        <w:rPr>
          <w:spacing w:val="-5"/>
          <w:w w:val="105"/>
          <w:sz w:val="18"/>
        </w:rPr>
        <w:t> </w:t>
      </w:r>
      <w:r>
        <w:rPr>
          <w:w w:val="105"/>
          <w:sz w:val="18"/>
        </w:rPr>
        <w:t>21</w:t>
      </w:r>
      <w:r>
        <w:rPr>
          <w:spacing w:val="-8"/>
          <w:w w:val="105"/>
          <w:sz w:val="18"/>
        </w:rPr>
        <w:t> </w:t>
      </w:r>
      <w:r>
        <w:rPr>
          <w:w w:val="105"/>
          <w:sz w:val="18"/>
        </w:rPr>
        <w:t>planned</w:t>
      </w:r>
      <w:r>
        <w:rPr>
          <w:spacing w:val="-7"/>
          <w:w w:val="105"/>
          <w:sz w:val="18"/>
        </w:rPr>
        <w:t> </w:t>
      </w:r>
      <w:r>
        <w:rPr>
          <w:w w:val="105"/>
          <w:sz w:val="18"/>
        </w:rPr>
        <w:t>stakeholder</w:t>
      </w:r>
      <w:r>
        <w:rPr>
          <w:spacing w:val="-6"/>
          <w:w w:val="105"/>
          <w:sz w:val="18"/>
        </w:rPr>
        <w:t> </w:t>
      </w:r>
      <w:r>
        <w:rPr>
          <w:w w:val="105"/>
          <w:sz w:val="18"/>
        </w:rPr>
        <w:t>meetings</w:t>
      </w:r>
      <w:r>
        <w:rPr>
          <w:spacing w:val="-5"/>
          <w:w w:val="105"/>
          <w:sz w:val="18"/>
        </w:rPr>
        <w:t> </w:t>
      </w:r>
      <w:r>
        <w:rPr>
          <w:w w:val="105"/>
          <w:sz w:val="18"/>
        </w:rPr>
        <w:t>covering</w:t>
      </w:r>
      <w:r>
        <w:rPr>
          <w:spacing w:val="-4"/>
          <w:w w:val="105"/>
          <w:sz w:val="18"/>
        </w:rPr>
        <w:t> </w:t>
      </w:r>
      <w:r>
        <w:rPr>
          <w:w w:val="105"/>
          <w:sz w:val="18"/>
        </w:rPr>
        <w:t>interested</w:t>
      </w:r>
      <w:r>
        <w:rPr>
          <w:spacing w:val="-8"/>
          <w:w w:val="105"/>
          <w:sz w:val="18"/>
        </w:rPr>
        <w:t> </w:t>
      </w:r>
      <w:r>
        <w:rPr>
          <w:w w:val="105"/>
          <w:sz w:val="18"/>
        </w:rPr>
        <w:t>parties</w:t>
      </w:r>
      <w:r>
        <w:rPr>
          <w:spacing w:val="-7"/>
          <w:w w:val="105"/>
          <w:sz w:val="18"/>
        </w:rPr>
        <w:t> </w:t>
      </w:r>
      <w:r>
        <w:rPr>
          <w:w w:val="105"/>
          <w:sz w:val="18"/>
        </w:rPr>
        <w:t>(e.g.</w:t>
      </w:r>
      <w:r>
        <w:rPr>
          <w:spacing w:val="-3"/>
          <w:w w:val="105"/>
          <w:sz w:val="18"/>
        </w:rPr>
        <w:t> </w:t>
      </w:r>
      <w:r>
        <w:rPr>
          <w:w w:val="105"/>
          <w:sz w:val="18"/>
        </w:rPr>
        <w:t>Banks, Suppliers, IADs) have happened, with a further 9</w:t>
      </w:r>
      <w:r>
        <w:rPr>
          <w:spacing w:val="-16"/>
          <w:w w:val="105"/>
          <w:sz w:val="18"/>
        </w:rPr>
        <w:t> </w:t>
      </w:r>
      <w:r>
        <w:rPr>
          <w:w w:val="105"/>
          <w:sz w:val="18"/>
        </w:rPr>
        <w:t>arranged</w:t>
      </w:r>
    </w:p>
    <w:p>
      <w:pPr>
        <w:pStyle w:val="ListParagraph"/>
        <w:numPr>
          <w:ilvl w:val="0"/>
          <w:numId w:val="2"/>
        </w:numPr>
        <w:tabs>
          <w:tab w:pos="1850" w:val="left" w:leader="none"/>
        </w:tabs>
        <w:spacing w:line="249" w:lineRule="auto" w:before="1" w:after="0"/>
        <w:ind w:left="1849" w:right="1829" w:hanging="339"/>
        <w:jc w:val="left"/>
        <w:rPr>
          <w:sz w:val="18"/>
        </w:rPr>
      </w:pPr>
      <w:r>
        <w:rPr>
          <w:w w:val="105"/>
          <w:sz w:val="18"/>
        </w:rPr>
        <w:t>Two separate data request templates for banks underwriting the wholesale distribution</w:t>
      </w:r>
      <w:r>
        <w:rPr>
          <w:spacing w:val="-4"/>
          <w:w w:val="105"/>
          <w:sz w:val="18"/>
        </w:rPr>
        <w:t> </w:t>
      </w:r>
      <w:r>
        <w:rPr>
          <w:w w:val="105"/>
          <w:sz w:val="18"/>
        </w:rPr>
        <w:t>system</w:t>
      </w:r>
      <w:r>
        <w:rPr>
          <w:spacing w:val="-5"/>
          <w:w w:val="105"/>
          <w:sz w:val="18"/>
        </w:rPr>
        <w:t> </w:t>
      </w:r>
      <w:r>
        <w:rPr>
          <w:w w:val="105"/>
          <w:sz w:val="18"/>
        </w:rPr>
        <w:t>and</w:t>
      </w:r>
      <w:r>
        <w:rPr>
          <w:spacing w:val="-4"/>
          <w:w w:val="105"/>
          <w:sz w:val="18"/>
        </w:rPr>
        <w:t> </w:t>
      </w:r>
      <w:r>
        <w:rPr>
          <w:w w:val="105"/>
          <w:sz w:val="18"/>
        </w:rPr>
        <w:t>suppliers</w:t>
      </w:r>
      <w:r>
        <w:rPr>
          <w:spacing w:val="-6"/>
          <w:w w:val="105"/>
          <w:sz w:val="18"/>
        </w:rPr>
        <w:t> </w:t>
      </w:r>
      <w:r>
        <w:rPr>
          <w:w w:val="105"/>
          <w:sz w:val="18"/>
        </w:rPr>
        <w:t>have</w:t>
      </w:r>
      <w:r>
        <w:rPr>
          <w:spacing w:val="-5"/>
          <w:w w:val="105"/>
          <w:sz w:val="18"/>
        </w:rPr>
        <w:t> </w:t>
      </w:r>
      <w:r>
        <w:rPr>
          <w:w w:val="105"/>
          <w:sz w:val="18"/>
        </w:rPr>
        <w:t>been</w:t>
      </w:r>
      <w:r>
        <w:rPr>
          <w:spacing w:val="-8"/>
          <w:w w:val="105"/>
          <w:sz w:val="18"/>
        </w:rPr>
        <w:t> </w:t>
      </w:r>
      <w:r>
        <w:rPr>
          <w:w w:val="105"/>
          <w:sz w:val="18"/>
        </w:rPr>
        <w:t>sent</w:t>
      </w:r>
      <w:r>
        <w:rPr>
          <w:spacing w:val="-4"/>
          <w:w w:val="105"/>
          <w:sz w:val="18"/>
        </w:rPr>
        <w:t> </w:t>
      </w:r>
      <w:r>
        <w:rPr>
          <w:w w:val="105"/>
          <w:sz w:val="18"/>
        </w:rPr>
        <w:t>to</w:t>
      </w:r>
      <w:r>
        <w:rPr>
          <w:spacing w:val="-5"/>
          <w:w w:val="105"/>
          <w:sz w:val="18"/>
        </w:rPr>
        <w:t> </w:t>
      </w:r>
      <w:r>
        <w:rPr>
          <w:w w:val="105"/>
          <w:sz w:val="18"/>
        </w:rPr>
        <w:t>gather</w:t>
      </w:r>
      <w:r>
        <w:rPr>
          <w:spacing w:val="-5"/>
          <w:w w:val="105"/>
          <w:sz w:val="18"/>
        </w:rPr>
        <w:t> </w:t>
      </w:r>
      <w:r>
        <w:rPr>
          <w:w w:val="105"/>
          <w:sz w:val="18"/>
        </w:rPr>
        <w:t>relevant</w:t>
      </w:r>
      <w:r>
        <w:rPr>
          <w:spacing w:val="-5"/>
          <w:w w:val="105"/>
          <w:sz w:val="18"/>
        </w:rPr>
        <w:t> </w:t>
      </w:r>
      <w:r>
        <w:rPr>
          <w:w w:val="105"/>
          <w:sz w:val="18"/>
        </w:rPr>
        <w:t>data</w:t>
      </w:r>
      <w:r>
        <w:rPr>
          <w:spacing w:val="-8"/>
          <w:w w:val="105"/>
          <w:sz w:val="18"/>
        </w:rPr>
        <w:t> </w:t>
      </w:r>
      <w:r>
        <w:rPr>
          <w:w w:val="105"/>
          <w:sz w:val="18"/>
        </w:rPr>
        <w:t>points</w:t>
      </w:r>
      <w:r>
        <w:rPr>
          <w:spacing w:val="-7"/>
          <w:w w:val="105"/>
          <w:sz w:val="18"/>
        </w:rPr>
        <w:t> </w:t>
      </w:r>
      <w:r>
        <w:rPr>
          <w:w w:val="105"/>
          <w:sz w:val="18"/>
        </w:rPr>
        <w:t>on cash</w:t>
      </w:r>
      <w:r>
        <w:rPr>
          <w:spacing w:val="-4"/>
          <w:w w:val="105"/>
          <w:sz w:val="18"/>
        </w:rPr>
        <w:t> </w:t>
      </w:r>
      <w:r>
        <w:rPr>
          <w:w w:val="105"/>
          <w:sz w:val="18"/>
        </w:rPr>
        <w:t>operations.</w:t>
      </w:r>
      <w:r>
        <w:rPr>
          <w:spacing w:val="-7"/>
          <w:w w:val="105"/>
          <w:sz w:val="18"/>
        </w:rPr>
        <w:t> </w:t>
      </w:r>
      <w:r>
        <w:rPr>
          <w:w w:val="105"/>
          <w:sz w:val="18"/>
        </w:rPr>
        <w:t>Responses</w:t>
      </w:r>
      <w:r>
        <w:rPr>
          <w:spacing w:val="-6"/>
          <w:w w:val="105"/>
          <w:sz w:val="18"/>
        </w:rPr>
        <w:t> </w:t>
      </w:r>
      <w:r>
        <w:rPr>
          <w:w w:val="105"/>
          <w:sz w:val="18"/>
        </w:rPr>
        <w:t>will</w:t>
      </w:r>
      <w:r>
        <w:rPr>
          <w:spacing w:val="-6"/>
          <w:w w:val="105"/>
          <w:sz w:val="18"/>
        </w:rPr>
        <w:t> </w:t>
      </w:r>
      <w:r>
        <w:rPr>
          <w:w w:val="105"/>
          <w:sz w:val="18"/>
        </w:rPr>
        <w:t>be</w:t>
      </w:r>
      <w:r>
        <w:rPr>
          <w:spacing w:val="-4"/>
          <w:w w:val="105"/>
          <w:sz w:val="18"/>
        </w:rPr>
        <w:t> </w:t>
      </w:r>
      <w:r>
        <w:rPr>
          <w:w w:val="105"/>
          <w:sz w:val="18"/>
        </w:rPr>
        <w:t>input</w:t>
      </w:r>
      <w:r>
        <w:rPr>
          <w:spacing w:val="-5"/>
          <w:w w:val="105"/>
          <w:sz w:val="18"/>
        </w:rPr>
        <w:t> </w:t>
      </w:r>
      <w:r>
        <w:rPr>
          <w:w w:val="105"/>
          <w:sz w:val="18"/>
        </w:rPr>
        <w:t>into</w:t>
      </w:r>
      <w:r>
        <w:rPr>
          <w:spacing w:val="-6"/>
          <w:w w:val="105"/>
          <w:sz w:val="18"/>
        </w:rPr>
        <w:t> </w:t>
      </w:r>
      <w:r>
        <w:rPr>
          <w:w w:val="105"/>
          <w:sz w:val="18"/>
        </w:rPr>
        <w:t>one</w:t>
      </w:r>
      <w:r>
        <w:rPr>
          <w:spacing w:val="-4"/>
          <w:w w:val="105"/>
          <w:sz w:val="18"/>
        </w:rPr>
        <w:t> </w:t>
      </w:r>
      <w:r>
        <w:rPr>
          <w:w w:val="105"/>
          <w:sz w:val="18"/>
        </w:rPr>
        <w:t>single</w:t>
      </w:r>
      <w:r>
        <w:rPr>
          <w:spacing w:val="-6"/>
          <w:w w:val="105"/>
          <w:sz w:val="18"/>
        </w:rPr>
        <w:t> </w:t>
      </w:r>
      <w:r>
        <w:rPr>
          <w:w w:val="105"/>
          <w:sz w:val="18"/>
        </w:rPr>
        <w:t>financial</w:t>
      </w:r>
      <w:r>
        <w:rPr>
          <w:spacing w:val="-6"/>
          <w:w w:val="105"/>
          <w:sz w:val="18"/>
        </w:rPr>
        <w:t> </w:t>
      </w:r>
      <w:r>
        <w:rPr>
          <w:w w:val="105"/>
          <w:sz w:val="18"/>
        </w:rPr>
        <w:t>model</w:t>
      </w:r>
      <w:r>
        <w:rPr>
          <w:spacing w:val="-6"/>
          <w:w w:val="105"/>
          <w:sz w:val="18"/>
        </w:rPr>
        <w:t> </w:t>
      </w:r>
      <w:r>
        <w:rPr>
          <w:w w:val="105"/>
          <w:sz w:val="18"/>
        </w:rPr>
        <w:t>which</w:t>
      </w:r>
      <w:r>
        <w:rPr>
          <w:spacing w:val="-7"/>
          <w:w w:val="105"/>
          <w:sz w:val="18"/>
        </w:rPr>
        <w:t> </w:t>
      </w:r>
      <w:r>
        <w:rPr>
          <w:w w:val="105"/>
          <w:sz w:val="18"/>
        </w:rPr>
        <w:t>will form the basis of the analysis.</w:t>
      </w:r>
    </w:p>
    <w:p>
      <w:pPr>
        <w:pStyle w:val="ListParagraph"/>
        <w:numPr>
          <w:ilvl w:val="0"/>
          <w:numId w:val="2"/>
        </w:numPr>
        <w:tabs>
          <w:tab w:pos="1850" w:val="left" w:leader="none"/>
        </w:tabs>
        <w:spacing w:line="254" w:lineRule="auto" w:before="3" w:after="0"/>
        <w:ind w:left="1849" w:right="1985" w:hanging="339"/>
        <w:jc w:val="left"/>
        <w:rPr>
          <w:sz w:val="18"/>
        </w:rPr>
      </w:pPr>
      <w:r>
        <w:rPr>
          <w:w w:val="105"/>
          <w:sz w:val="18"/>
        </w:rPr>
        <w:t>Plan</w:t>
      </w:r>
      <w:r>
        <w:rPr>
          <w:spacing w:val="-8"/>
          <w:w w:val="105"/>
          <w:sz w:val="18"/>
        </w:rPr>
        <w:t> </w:t>
      </w:r>
      <w:r>
        <w:rPr>
          <w:w w:val="105"/>
          <w:sz w:val="18"/>
        </w:rPr>
        <w:t>on</w:t>
      </w:r>
      <w:r>
        <w:rPr>
          <w:spacing w:val="-7"/>
          <w:w w:val="105"/>
          <w:sz w:val="18"/>
        </w:rPr>
        <w:t> </w:t>
      </w:r>
      <w:r>
        <w:rPr>
          <w:w w:val="105"/>
          <w:sz w:val="18"/>
        </w:rPr>
        <w:t>a</w:t>
      </w:r>
      <w:r>
        <w:rPr>
          <w:spacing w:val="-2"/>
          <w:w w:val="105"/>
          <w:sz w:val="18"/>
        </w:rPr>
        <w:t> </w:t>
      </w:r>
      <w:r>
        <w:rPr>
          <w:w w:val="105"/>
          <w:sz w:val="18"/>
        </w:rPr>
        <w:t>page</w:t>
      </w:r>
      <w:r>
        <w:rPr>
          <w:spacing w:val="-5"/>
          <w:w w:val="105"/>
          <w:sz w:val="18"/>
        </w:rPr>
        <w:t> </w:t>
      </w:r>
      <w:r>
        <w:rPr>
          <w:w w:val="105"/>
          <w:sz w:val="18"/>
        </w:rPr>
        <w:t>agreed</w:t>
      </w:r>
      <w:r>
        <w:rPr>
          <w:spacing w:val="-3"/>
          <w:w w:val="105"/>
          <w:sz w:val="18"/>
        </w:rPr>
        <w:t> </w:t>
      </w:r>
      <w:r>
        <w:rPr>
          <w:w w:val="105"/>
          <w:sz w:val="18"/>
        </w:rPr>
        <w:t>with</w:t>
      </w:r>
      <w:r>
        <w:rPr>
          <w:spacing w:val="-2"/>
          <w:w w:val="105"/>
          <w:sz w:val="18"/>
        </w:rPr>
        <w:t> </w:t>
      </w:r>
      <w:r>
        <w:rPr>
          <w:w w:val="105"/>
          <w:sz w:val="18"/>
        </w:rPr>
        <w:t>Industry</w:t>
      </w:r>
      <w:r>
        <w:rPr>
          <w:spacing w:val="-8"/>
          <w:w w:val="105"/>
          <w:sz w:val="18"/>
        </w:rPr>
        <w:t> </w:t>
      </w:r>
      <w:r>
        <w:rPr>
          <w:w w:val="105"/>
          <w:sz w:val="18"/>
        </w:rPr>
        <w:t>Steering</w:t>
      </w:r>
      <w:r>
        <w:rPr>
          <w:spacing w:val="-6"/>
          <w:w w:val="105"/>
          <w:sz w:val="18"/>
        </w:rPr>
        <w:t> </w:t>
      </w:r>
      <w:r>
        <w:rPr>
          <w:w w:val="105"/>
          <w:sz w:val="18"/>
        </w:rPr>
        <w:t>Group</w:t>
      </w:r>
      <w:r>
        <w:rPr>
          <w:spacing w:val="-6"/>
          <w:w w:val="105"/>
          <w:sz w:val="18"/>
        </w:rPr>
        <w:t> </w:t>
      </w:r>
      <w:r>
        <w:rPr>
          <w:w w:val="105"/>
          <w:sz w:val="18"/>
        </w:rPr>
        <w:t>(ISG),</w:t>
      </w:r>
      <w:r>
        <w:rPr>
          <w:spacing w:val="-7"/>
          <w:w w:val="105"/>
          <w:sz w:val="18"/>
        </w:rPr>
        <w:t> </w:t>
      </w:r>
      <w:r>
        <w:rPr>
          <w:w w:val="105"/>
          <w:sz w:val="18"/>
        </w:rPr>
        <w:t>which</w:t>
      </w:r>
      <w:r>
        <w:rPr>
          <w:spacing w:val="-3"/>
          <w:w w:val="105"/>
          <w:sz w:val="18"/>
        </w:rPr>
        <w:t> </w:t>
      </w:r>
      <w:r>
        <w:rPr>
          <w:w w:val="105"/>
          <w:sz w:val="18"/>
        </w:rPr>
        <w:t>concludes</w:t>
      </w:r>
      <w:r>
        <w:rPr>
          <w:spacing w:val="-6"/>
          <w:w w:val="105"/>
          <w:sz w:val="18"/>
        </w:rPr>
        <w:t> </w:t>
      </w:r>
      <w:r>
        <w:rPr>
          <w:w w:val="105"/>
          <w:sz w:val="18"/>
        </w:rPr>
        <w:t>this phase of work by end March</w:t>
      </w:r>
      <w:r>
        <w:rPr>
          <w:spacing w:val="-1"/>
          <w:w w:val="105"/>
          <w:sz w:val="18"/>
        </w:rPr>
        <w:t> </w:t>
      </w:r>
      <w:r>
        <w:rPr>
          <w:w w:val="105"/>
          <w:sz w:val="18"/>
        </w:rPr>
        <w:t>2020</w:t>
      </w:r>
    </w:p>
    <w:p>
      <w:pPr>
        <w:pStyle w:val="BodyText"/>
        <w:rPr>
          <w:sz w:val="20"/>
        </w:rPr>
      </w:pPr>
    </w:p>
    <w:p>
      <w:pPr>
        <w:pStyle w:val="BodyText"/>
        <w:rPr>
          <w:sz w:val="17"/>
        </w:rPr>
      </w:pPr>
    </w:p>
    <w:p>
      <w:pPr>
        <w:pStyle w:val="BodyText"/>
        <w:spacing w:line="249" w:lineRule="auto"/>
        <w:ind w:left="1115" w:right="1642"/>
      </w:pPr>
      <w:r>
        <w:rPr>
          <w:w w:val="105"/>
        </w:rPr>
        <w:t>The group discussed the strands of Cash in Transit (CIT) operations (end-point, commercial and wholesale). While the scope of this work is wholesale only, and data collections would focus on this aspect of the market, it was recognised that an understanding of the interdependencies and knock-on effects between the different parts of the market is required in order to ensure that the proposed model is viable within the broader market context.</w:t>
      </w:r>
    </w:p>
    <w:p>
      <w:pPr>
        <w:pStyle w:val="BodyText"/>
        <w:spacing w:line="249" w:lineRule="auto" w:before="6"/>
        <w:ind w:left="1115" w:right="1528"/>
      </w:pPr>
      <w:r>
        <w:rPr>
          <w:w w:val="105"/>
        </w:rPr>
        <w:t>Stakeholder engagement throughout the process was considered key to ensure relevant perspectives were fed into the work in this area.</w:t>
      </w:r>
    </w:p>
    <w:p>
      <w:pPr>
        <w:pStyle w:val="BodyText"/>
        <w:rPr>
          <w:sz w:val="20"/>
        </w:rPr>
      </w:pPr>
    </w:p>
    <w:p>
      <w:pPr>
        <w:pStyle w:val="BodyText"/>
        <w:rPr>
          <w:sz w:val="20"/>
        </w:rPr>
      </w:pPr>
    </w:p>
    <w:p>
      <w:pPr>
        <w:pStyle w:val="BodyText"/>
        <w:spacing w:before="6"/>
        <w:rPr>
          <w:sz w:val="16"/>
        </w:rPr>
      </w:pPr>
    </w:p>
    <w:p>
      <w:pPr>
        <w:pStyle w:val="BodyText"/>
        <w:spacing w:line="252" w:lineRule="auto"/>
        <w:ind w:left="1115" w:right="1590"/>
      </w:pPr>
      <w:r>
        <w:rPr>
          <w:w w:val="105"/>
        </w:rPr>
        <w:t>The meeting discussed the timing for strategic questions to be tabled to the WDSG. It was clear there are a number of key questions which KPMG would need to bring forward. Given the intention was that the models would be assessed against the agreed Success Criteria, it was important that UK Finance and KPMG presented detail on how this would be undertaken given there would be trade-offs between the criteria.</w:t>
      </w:r>
    </w:p>
    <w:p>
      <w:pPr>
        <w:pStyle w:val="BodyText"/>
        <w:rPr>
          <w:sz w:val="20"/>
        </w:rPr>
      </w:pPr>
    </w:p>
    <w:p>
      <w:pPr>
        <w:pStyle w:val="BodyText"/>
        <w:rPr>
          <w:sz w:val="20"/>
        </w:rPr>
      </w:pPr>
    </w:p>
    <w:p>
      <w:pPr>
        <w:pStyle w:val="BodyText"/>
        <w:rPr>
          <w:sz w:val="20"/>
        </w:rPr>
      </w:pPr>
    </w:p>
    <w:p>
      <w:pPr>
        <w:pStyle w:val="Heading1"/>
        <w:numPr>
          <w:ilvl w:val="0"/>
          <w:numId w:val="2"/>
        </w:numPr>
        <w:tabs>
          <w:tab w:pos="1115" w:val="left" w:leader="none"/>
          <w:tab w:pos="1116" w:val="left" w:leader="none"/>
        </w:tabs>
        <w:spacing w:line="240" w:lineRule="auto" w:before="170" w:after="0"/>
        <w:ind w:left="1115" w:right="0" w:hanging="901"/>
        <w:jc w:val="left"/>
      </w:pPr>
      <w:r>
        <w:rPr>
          <w:w w:val="105"/>
        </w:rPr>
        <w:t>Review outstanding</w:t>
      </w:r>
      <w:r>
        <w:rPr>
          <w:spacing w:val="6"/>
          <w:w w:val="105"/>
        </w:rPr>
        <w:t> </w:t>
      </w:r>
      <w:r>
        <w:rPr>
          <w:w w:val="105"/>
        </w:rPr>
        <w:t>actions</w:t>
      </w:r>
    </w:p>
    <w:p>
      <w:pPr>
        <w:pStyle w:val="BodyText"/>
        <w:spacing w:before="6"/>
        <w:rPr>
          <w:b/>
          <w:sz w:val="19"/>
        </w:rPr>
      </w:pPr>
    </w:p>
    <w:p>
      <w:pPr>
        <w:pStyle w:val="BodyText"/>
        <w:ind w:left="1115"/>
      </w:pPr>
      <w:r>
        <w:rPr>
          <w:w w:val="105"/>
        </w:rPr>
        <w:t>Actions were reviewed and closed where applicable.</w:t>
      </w:r>
    </w:p>
    <w:sectPr>
      <w:headerReference w:type="default" r:id="rId6"/>
      <w:pgSz w:w="12240" w:h="15840"/>
      <w:pgMar w:header="536" w:footer="0" w:top="1420" w:bottom="280" w:left="8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84.160004pt;margin-top:46.940491pt;width:48.9pt;height:12.45pt;mso-position-horizontal-relative:page;mso-position-vertical-relative:page;z-index:-251770880" type="#_x0000_t202" filled="false" stroked="false">
          <v:textbox inset="0,0,0,0">
            <w:txbxContent>
              <w:p>
                <w:pPr>
                  <w:pStyle w:val="BodyText"/>
                  <w:spacing w:before="20"/>
                  <w:ind w:left="20"/>
                </w:pPr>
                <w:r>
                  <w:rPr>
                    <w:w w:val="105"/>
                  </w:rPr>
                  <w:t>16.09.2019</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0.400024pt;margin-top:25.820492pt;width:7.2pt;height:12.45pt;mso-position-horizontal-relative:page;mso-position-vertical-relative:page;z-index:-251769856" type="#_x0000_t202" filled="false" stroked="false">
          <v:textbox inset="0,0,0,0">
            <w:txbxContent>
              <w:p>
                <w:pPr>
                  <w:pStyle w:val="BodyText"/>
                  <w:spacing w:before="20"/>
                  <w:ind w:left="20"/>
                </w:pPr>
                <w:r>
                  <w:rPr>
                    <w:w w:val="103"/>
                  </w:rPr>
                  <w:t>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849" w:hanging="338"/>
        <w:jc w:val="right"/>
      </w:pPr>
      <w:rPr>
        <w:rFonts w:hint="default"/>
        <w:spacing w:val="-2"/>
        <w:w w:val="103"/>
      </w:rPr>
    </w:lvl>
    <w:lvl w:ilvl="1">
      <w:start w:val="0"/>
      <w:numFmt w:val="bullet"/>
      <w:lvlText w:val="•"/>
      <w:lvlJc w:val="left"/>
      <w:pPr>
        <w:ind w:left="2706" w:hanging="338"/>
      </w:pPr>
      <w:rPr>
        <w:rFonts w:hint="default"/>
      </w:rPr>
    </w:lvl>
    <w:lvl w:ilvl="2">
      <w:start w:val="0"/>
      <w:numFmt w:val="bullet"/>
      <w:lvlText w:val="•"/>
      <w:lvlJc w:val="left"/>
      <w:pPr>
        <w:ind w:left="3572" w:hanging="338"/>
      </w:pPr>
      <w:rPr>
        <w:rFonts w:hint="default"/>
      </w:rPr>
    </w:lvl>
    <w:lvl w:ilvl="3">
      <w:start w:val="0"/>
      <w:numFmt w:val="bullet"/>
      <w:lvlText w:val="•"/>
      <w:lvlJc w:val="left"/>
      <w:pPr>
        <w:ind w:left="4438" w:hanging="338"/>
      </w:pPr>
      <w:rPr>
        <w:rFonts w:hint="default"/>
      </w:rPr>
    </w:lvl>
    <w:lvl w:ilvl="4">
      <w:start w:val="0"/>
      <w:numFmt w:val="bullet"/>
      <w:lvlText w:val="•"/>
      <w:lvlJc w:val="left"/>
      <w:pPr>
        <w:ind w:left="5304" w:hanging="338"/>
      </w:pPr>
      <w:rPr>
        <w:rFonts w:hint="default"/>
      </w:rPr>
    </w:lvl>
    <w:lvl w:ilvl="5">
      <w:start w:val="0"/>
      <w:numFmt w:val="bullet"/>
      <w:lvlText w:val="•"/>
      <w:lvlJc w:val="left"/>
      <w:pPr>
        <w:ind w:left="6170" w:hanging="338"/>
      </w:pPr>
      <w:rPr>
        <w:rFonts w:hint="default"/>
      </w:rPr>
    </w:lvl>
    <w:lvl w:ilvl="6">
      <w:start w:val="0"/>
      <w:numFmt w:val="bullet"/>
      <w:lvlText w:val="•"/>
      <w:lvlJc w:val="left"/>
      <w:pPr>
        <w:ind w:left="7036" w:hanging="338"/>
      </w:pPr>
      <w:rPr>
        <w:rFonts w:hint="default"/>
      </w:rPr>
    </w:lvl>
    <w:lvl w:ilvl="7">
      <w:start w:val="0"/>
      <w:numFmt w:val="bullet"/>
      <w:lvlText w:val="•"/>
      <w:lvlJc w:val="left"/>
      <w:pPr>
        <w:ind w:left="7902" w:hanging="338"/>
      </w:pPr>
      <w:rPr>
        <w:rFonts w:hint="default"/>
      </w:rPr>
    </w:lvl>
    <w:lvl w:ilvl="8">
      <w:start w:val="0"/>
      <w:numFmt w:val="bullet"/>
      <w:lvlText w:val="•"/>
      <w:lvlJc w:val="left"/>
      <w:pPr>
        <w:ind w:left="8768" w:hanging="338"/>
      </w:pPr>
      <w:rPr>
        <w:rFonts w:hint="default"/>
      </w:rPr>
    </w:lvl>
  </w:abstractNum>
  <w:abstractNum w:abstractNumId="0">
    <w:multiLevelType w:val="hybridMultilevel"/>
    <w:lvl w:ilvl="0">
      <w:start w:val="1"/>
      <w:numFmt w:val="decimal"/>
      <w:lvlText w:val="%1."/>
      <w:lvlJc w:val="left"/>
      <w:pPr>
        <w:ind w:left="1115" w:hanging="900"/>
        <w:jc w:val="left"/>
      </w:pPr>
      <w:rPr>
        <w:rFonts w:hint="default" w:ascii="Arial" w:hAnsi="Arial" w:eastAsia="Arial" w:cs="Arial"/>
        <w:b/>
        <w:bCs/>
        <w:spacing w:val="-1"/>
        <w:w w:val="103"/>
        <w:sz w:val="18"/>
        <w:szCs w:val="18"/>
      </w:rPr>
    </w:lvl>
    <w:lvl w:ilvl="1">
      <w:start w:val="0"/>
      <w:numFmt w:val="bullet"/>
      <w:lvlText w:val="-"/>
      <w:lvlJc w:val="left"/>
      <w:pPr>
        <w:ind w:left="1446" w:hanging="339"/>
      </w:pPr>
      <w:rPr>
        <w:rFonts w:hint="default" w:ascii="Arial" w:hAnsi="Arial" w:eastAsia="Arial" w:cs="Arial"/>
        <w:w w:val="103"/>
        <w:sz w:val="18"/>
        <w:szCs w:val="18"/>
      </w:rPr>
    </w:lvl>
    <w:lvl w:ilvl="2">
      <w:start w:val="0"/>
      <w:numFmt w:val="bullet"/>
      <w:lvlText w:val="•"/>
      <w:lvlJc w:val="left"/>
      <w:pPr>
        <w:ind w:left="2446" w:hanging="339"/>
      </w:pPr>
      <w:rPr>
        <w:rFonts w:hint="default"/>
      </w:rPr>
    </w:lvl>
    <w:lvl w:ilvl="3">
      <w:start w:val="0"/>
      <w:numFmt w:val="bullet"/>
      <w:lvlText w:val="•"/>
      <w:lvlJc w:val="left"/>
      <w:pPr>
        <w:ind w:left="3453" w:hanging="339"/>
      </w:pPr>
      <w:rPr>
        <w:rFonts w:hint="default"/>
      </w:rPr>
    </w:lvl>
    <w:lvl w:ilvl="4">
      <w:start w:val="0"/>
      <w:numFmt w:val="bullet"/>
      <w:lvlText w:val="•"/>
      <w:lvlJc w:val="left"/>
      <w:pPr>
        <w:ind w:left="4460" w:hanging="339"/>
      </w:pPr>
      <w:rPr>
        <w:rFonts w:hint="default"/>
      </w:rPr>
    </w:lvl>
    <w:lvl w:ilvl="5">
      <w:start w:val="0"/>
      <w:numFmt w:val="bullet"/>
      <w:lvlText w:val="•"/>
      <w:lvlJc w:val="left"/>
      <w:pPr>
        <w:ind w:left="5466" w:hanging="339"/>
      </w:pPr>
      <w:rPr>
        <w:rFonts w:hint="default"/>
      </w:rPr>
    </w:lvl>
    <w:lvl w:ilvl="6">
      <w:start w:val="0"/>
      <w:numFmt w:val="bullet"/>
      <w:lvlText w:val="•"/>
      <w:lvlJc w:val="left"/>
      <w:pPr>
        <w:ind w:left="6473" w:hanging="339"/>
      </w:pPr>
      <w:rPr>
        <w:rFonts w:hint="default"/>
      </w:rPr>
    </w:lvl>
    <w:lvl w:ilvl="7">
      <w:start w:val="0"/>
      <w:numFmt w:val="bullet"/>
      <w:lvlText w:val="•"/>
      <w:lvlJc w:val="left"/>
      <w:pPr>
        <w:ind w:left="7480" w:hanging="339"/>
      </w:pPr>
      <w:rPr>
        <w:rFonts w:hint="default"/>
      </w:rPr>
    </w:lvl>
    <w:lvl w:ilvl="8">
      <w:start w:val="0"/>
      <w:numFmt w:val="bullet"/>
      <w:lvlText w:val="•"/>
      <w:lvlJc w:val="left"/>
      <w:pPr>
        <w:ind w:left="8486" w:hanging="33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1115" w:hanging="901"/>
      <w:outlineLvl w:val="1"/>
    </w:pPr>
    <w:rPr>
      <w:rFonts w:ascii="Arial" w:hAnsi="Arial" w:eastAsia="Arial" w:cs="Arial"/>
      <w:b/>
      <w:bCs/>
      <w:sz w:val="18"/>
      <w:szCs w:val="18"/>
    </w:rPr>
  </w:style>
  <w:style w:styleId="ListParagraph" w:type="paragraph">
    <w:name w:val="List Paragraph"/>
    <w:basedOn w:val="Normal"/>
    <w:uiPriority w:val="1"/>
    <w:qFormat/>
    <w:pPr>
      <w:ind w:left="1115" w:hanging="90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Wholesale Distribution Steering Group - September 2019</dc:title>
  <dcterms:created xsi:type="dcterms:W3CDTF">2020-06-01T02:22:11Z</dcterms:created>
  <dcterms:modified xsi:type="dcterms:W3CDTF">2020-06-01T02:22:11Z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2019-10-14T00:00:00Z</vt:filetime>
  </property>
  <property fmtid="{D5CDD505-2E9C-101B-9397-08002B2CF9AE}" pid="3" name="LastSaved">
    <vt:filetime>2020-06-01T00:00:00Z</vt:filetime>
  </property>
</Properties>
</file>