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4" w:lineRule="auto" w:before="74"/>
        <w:ind w:left="801" w:right="791"/>
        <w:jc w:val="center"/>
      </w:pPr>
      <w:r>
        <w:rPr/>
        <w:t>Minutes of the Meeting of the Working Group on Sterling Risk-Free Reference Rates Wednesday 22 November 2016</w:t>
      </w:r>
    </w:p>
    <w:p>
      <w:pPr>
        <w:spacing w:before="1"/>
        <w:ind w:left="797" w:right="791" w:firstLine="0"/>
        <w:jc w:val="center"/>
        <w:rPr>
          <w:b/>
          <w:sz w:val="20"/>
        </w:rPr>
      </w:pPr>
      <w:r>
        <w:rPr>
          <w:b/>
          <w:sz w:val="20"/>
        </w:rPr>
        <w:t>Bank of England offices – Moorgate</w:t>
      </w:r>
    </w:p>
    <w:p>
      <w:pPr>
        <w:pStyle w:val="BodyText"/>
        <w:spacing w:before="10"/>
        <w:rPr>
          <w:b/>
          <w:sz w:val="30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Obligations under competition law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0" w:after="0"/>
        <w:ind w:left="119" w:right="300" w:firstLine="0"/>
        <w:jc w:val="left"/>
        <w:rPr>
          <w:sz w:val="20"/>
        </w:rPr>
      </w:pPr>
      <w:r>
        <w:rPr>
          <w:sz w:val="20"/>
        </w:rPr>
        <w:t>The Chairman reminded all members of the Group of their responsibilities in relation to compliance with competition law and the importance of taking their own independent competition law</w:t>
      </w:r>
      <w:r>
        <w:rPr>
          <w:spacing w:val="-29"/>
          <w:sz w:val="20"/>
        </w:rPr>
        <w:t> </w:t>
      </w:r>
      <w:r>
        <w:rPr>
          <w:sz w:val="20"/>
        </w:rPr>
        <w:t>advice.</w:t>
      </w:r>
    </w:p>
    <w:p>
      <w:pPr>
        <w:pStyle w:val="Heading1"/>
        <w:spacing w:before="122"/>
      </w:pPr>
      <w:r>
        <w:rPr/>
        <w:t>Minutes of previous meeting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240" w:lineRule="auto" w:before="0" w:after="0"/>
        <w:ind w:left="545" w:right="0" w:hanging="427"/>
        <w:jc w:val="left"/>
        <w:rPr>
          <w:sz w:val="20"/>
        </w:rPr>
      </w:pPr>
      <w:r>
        <w:rPr>
          <w:sz w:val="20"/>
        </w:rPr>
        <w:t>The minutes of the previous meeting on 2 November were</w:t>
      </w:r>
      <w:r>
        <w:rPr>
          <w:spacing w:val="-17"/>
          <w:sz w:val="20"/>
        </w:rPr>
        <w:t> </w:t>
      </w:r>
      <w:r>
        <w:rPr>
          <w:sz w:val="20"/>
        </w:rPr>
        <w:t>approved.</w:t>
      </w:r>
    </w:p>
    <w:p>
      <w:pPr>
        <w:pStyle w:val="BodyText"/>
        <w:spacing w:before="5"/>
      </w:pPr>
    </w:p>
    <w:p>
      <w:pPr>
        <w:pStyle w:val="Heading1"/>
      </w:pPr>
      <w:r>
        <w:rPr/>
        <w:t>Chair’s report on conversations with Group members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0" w:after="0"/>
        <w:ind w:left="119" w:right="137" w:firstLine="0"/>
        <w:jc w:val="left"/>
        <w:rPr>
          <w:sz w:val="20"/>
        </w:rPr>
      </w:pPr>
      <w:r>
        <w:rPr>
          <w:sz w:val="20"/>
        </w:rPr>
        <w:t>The Chair summarised recent bilateral discussions he had had with individual Group members, reflecting on the progress of the Group and the trajectory towards voting on a recommended RFR. It was clear that there was not a consensus as to a preference between an unsecured or a secured RFR at this point. Some members felt they already had sufficient information to proceed to a vote. However for others, further work on the feasibility or otherwise of an OIS transition – to move the OIS market from SONIA to a secured RFR – was required before a decision could be</w:t>
      </w:r>
      <w:r>
        <w:rPr>
          <w:spacing w:val="-16"/>
          <w:sz w:val="20"/>
        </w:rPr>
        <w:t> </w:t>
      </w:r>
      <w:r>
        <w:rPr>
          <w:sz w:val="20"/>
        </w:rPr>
        <w:t>taken.</w:t>
      </w:r>
    </w:p>
    <w:p>
      <w:pPr>
        <w:pStyle w:val="Heading1"/>
        <w:spacing w:before="121"/>
      </w:pPr>
      <w:r>
        <w:rPr/>
        <w:t>Agreement of candidate RFRs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0" w:after="0"/>
        <w:ind w:left="119" w:right="115" w:firstLine="0"/>
        <w:jc w:val="left"/>
        <w:rPr>
          <w:sz w:val="20"/>
        </w:rPr>
      </w:pPr>
      <w:r>
        <w:rPr>
          <w:sz w:val="20"/>
        </w:rPr>
        <w:t>The Group considered the set of candidate RFRs. It was agreed that there were three currently, or soon-to-be, available candidates: Bank of England reformed SONIA, as an unsecured RFR; ICAP sterling Repo Index Rate, as a secured RFR; or FTSE-Russell sterling SONET, as a secured</w:t>
      </w:r>
      <w:r>
        <w:rPr>
          <w:spacing w:val="-33"/>
          <w:sz w:val="20"/>
        </w:rPr>
        <w:t> </w:t>
      </w:r>
      <w:r>
        <w:rPr>
          <w:sz w:val="20"/>
        </w:rPr>
        <w:t>RFR.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121" w:after="0"/>
        <w:ind w:left="119" w:right="234" w:firstLine="0"/>
        <w:jc w:val="left"/>
        <w:rPr>
          <w:sz w:val="20"/>
        </w:rPr>
      </w:pPr>
      <w:r>
        <w:rPr>
          <w:sz w:val="20"/>
        </w:rPr>
        <w:t>Some Group members felt that other candidate RFRs remained worthy of consideration. There was a brief discussion on the potential merits of an index which measured both secured and unsecured money market activity (a ‘hybrid’ rate). In addition, a few members of the Group queried whether the Bank would be willing to produce a secured rate, perhaps through a reform of the existing RONIA rate; the Bank re-stated its view that a credible secured RFR could be produced by the private sector, and it had no plans to produce a secured</w:t>
      </w:r>
      <w:r>
        <w:rPr>
          <w:spacing w:val="-9"/>
          <w:sz w:val="20"/>
        </w:rPr>
        <w:t> </w:t>
      </w:r>
      <w:r>
        <w:rPr>
          <w:sz w:val="20"/>
        </w:rPr>
        <w:t>rate.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120" w:after="0"/>
        <w:ind w:left="119" w:right="151" w:firstLine="0"/>
        <w:jc w:val="left"/>
        <w:rPr>
          <w:sz w:val="20"/>
        </w:rPr>
      </w:pPr>
      <w:r>
        <w:rPr>
          <w:sz w:val="20"/>
        </w:rPr>
        <w:t>It was agreed that implementation of any other secured or hybrid rates would also require a transition of the sterling OIS market away from SONIA. The Group thought it most helpful to consider the choice between reformed SONIA and a generic ‘secured RFR’ in the first instance. A decision on which particular secured rate would be taken subsequently, if</w:t>
      </w:r>
      <w:r>
        <w:rPr>
          <w:spacing w:val="-14"/>
          <w:sz w:val="20"/>
        </w:rPr>
        <w:t> </w:t>
      </w:r>
      <w:r>
        <w:rPr>
          <w:sz w:val="20"/>
        </w:rPr>
        <w:t>necessary.</w:t>
      </w:r>
    </w:p>
    <w:p>
      <w:pPr>
        <w:pStyle w:val="Heading1"/>
        <w:spacing w:before="121"/>
      </w:pPr>
      <w:r>
        <w:rPr/>
        <w:t>Review of Initial Selection Criteria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0" w:after="0"/>
        <w:ind w:left="119" w:right="980" w:firstLine="0"/>
        <w:jc w:val="left"/>
        <w:rPr>
          <w:sz w:val="20"/>
        </w:rPr>
      </w:pPr>
      <w:r>
        <w:rPr>
          <w:sz w:val="20"/>
        </w:rPr>
        <w:t>The Group reviewed the previously-agreed initial selection criteria to ascertain whether any amendments or additions were required; some minor clarifications were</w:t>
      </w:r>
      <w:r>
        <w:rPr>
          <w:spacing w:val="-14"/>
          <w:sz w:val="20"/>
        </w:rPr>
        <w:t> </w:t>
      </w:r>
      <w:r>
        <w:rPr>
          <w:sz w:val="20"/>
        </w:rPr>
        <w:t>proposed.</w:t>
      </w:r>
      <w:r>
        <w:rPr>
          <w:sz w:val="20"/>
          <w:vertAlign w:val="superscript"/>
        </w:rPr>
        <w:t>1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120" w:after="0"/>
        <w:ind w:left="120" w:right="622" w:firstLine="0"/>
        <w:jc w:val="left"/>
        <w:rPr>
          <w:sz w:val="20"/>
        </w:rPr>
      </w:pPr>
      <w:r>
        <w:rPr>
          <w:sz w:val="20"/>
        </w:rPr>
        <w:t>The Group also had a preliminary discussion of available candidate RFRs against the selection criteria.</w:t>
      </w:r>
      <w:r>
        <w:rPr>
          <w:spacing w:val="-5"/>
          <w:sz w:val="20"/>
        </w:rPr>
        <w:t> </w:t>
      </w:r>
      <w:r>
        <w:rPr>
          <w:sz w:val="20"/>
        </w:rPr>
        <w:t>Overall,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5"/>
          <w:sz w:val="20"/>
        </w:rPr>
        <w:t> </w:t>
      </w:r>
      <w:r>
        <w:rPr>
          <w:sz w:val="20"/>
        </w:rPr>
        <w:t>felt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majority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criteria</w:t>
      </w:r>
      <w:r>
        <w:rPr>
          <w:spacing w:val="-4"/>
          <w:sz w:val="20"/>
        </w:rPr>
        <w:t> </w:t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broadly</w:t>
      </w:r>
      <w:r>
        <w:rPr>
          <w:spacing w:val="-5"/>
          <w:sz w:val="20"/>
        </w:rPr>
        <w:t> </w:t>
      </w:r>
      <w:r>
        <w:rPr>
          <w:sz w:val="20"/>
        </w:rPr>
        <w:t>met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candidate</w:t>
      </w:r>
      <w:r>
        <w:rPr>
          <w:spacing w:val="-4"/>
          <w:sz w:val="20"/>
        </w:rPr>
        <w:t> </w:t>
      </w:r>
      <w:r>
        <w:rPr>
          <w:sz w:val="20"/>
        </w:rPr>
        <w:t>RFRs,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72pt;margin-top:11.835703pt;width:144pt;height:.1pt;mso-position-horizontal-relative:page;mso-position-vertical-relative:paragraph;z-index:-251658240;mso-wrap-distance-left:0;mso-wrap-distance-right:0" coordorigin="1440,237" coordsize="2880,0" path="m1440,237l4320,23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34"/>
        <w:ind w:left="120" w:right="0" w:firstLine="0"/>
        <w:jc w:val="left"/>
        <w:rPr>
          <w:sz w:val="18"/>
        </w:rPr>
      </w:pPr>
      <w:r>
        <w:rPr>
          <w:position w:val="9"/>
          <w:sz w:val="12"/>
        </w:rPr>
        <w:t>1 </w:t>
      </w:r>
      <w:r>
        <w:rPr>
          <w:sz w:val="18"/>
        </w:rPr>
        <w:t>See </w:t>
      </w:r>
      <w:hyperlink r:id="rId5">
        <w:r>
          <w:rPr>
            <w:color w:val="0000FF"/>
            <w:sz w:val="18"/>
            <w:u w:val="single" w:color="0000FF"/>
          </w:rPr>
          <w:t>http://www.bankofengland.co.uk/markets/Documents/sterlingoperations/rfr/rfrselection.pdf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for more information.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200" w:bottom="280" w:left="1320" w:right="1020"/>
        </w:sectPr>
      </w:pPr>
    </w:p>
    <w:p>
      <w:pPr>
        <w:pStyle w:val="BodyText"/>
        <w:spacing w:line="360" w:lineRule="auto" w:before="72"/>
        <w:ind w:left="120"/>
      </w:pPr>
      <w:r>
        <w:rPr/>
        <w:t>although additional information would be needed in relation to a few of the criteria. Notable areas of discussion included:</w:t>
      </w:r>
    </w:p>
    <w:p>
      <w:pPr>
        <w:pStyle w:val="ListParagraph"/>
        <w:numPr>
          <w:ilvl w:val="1"/>
          <w:numId w:val="1"/>
        </w:numPr>
        <w:tabs>
          <w:tab w:pos="970" w:val="left" w:leader="none"/>
          <w:tab w:pos="971" w:val="left" w:leader="none"/>
        </w:tabs>
        <w:spacing w:line="352" w:lineRule="auto" w:before="120" w:after="0"/>
        <w:ind w:left="970" w:right="251" w:hanging="360"/>
        <w:jc w:val="left"/>
        <w:rPr>
          <w:sz w:val="20"/>
        </w:rPr>
      </w:pPr>
      <w:r>
        <w:rPr>
          <w:sz w:val="20"/>
        </w:rPr>
        <w:t>The potential future robustness of an RFR based on the secured market versus the unsecured market;</w:t>
      </w:r>
    </w:p>
    <w:p>
      <w:pPr>
        <w:pStyle w:val="ListParagraph"/>
        <w:numPr>
          <w:ilvl w:val="1"/>
          <w:numId w:val="1"/>
        </w:numPr>
        <w:tabs>
          <w:tab w:pos="970" w:val="left" w:leader="none"/>
          <w:tab w:pos="971" w:val="left" w:leader="none"/>
        </w:tabs>
        <w:spacing w:line="352" w:lineRule="auto" w:before="125" w:after="0"/>
        <w:ind w:left="970" w:right="410" w:hanging="360"/>
        <w:jc w:val="left"/>
        <w:rPr>
          <w:sz w:val="20"/>
        </w:rPr>
      </w:pPr>
      <w:r>
        <w:rPr>
          <w:sz w:val="20"/>
        </w:rPr>
        <w:t>Whether the more profound market change necessary for the introduction of a secured RFR could catalyse a more successful adoption</w:t>
      </w:r>
      <w:r>
        <w:rPr>
          <w:spacing w:val="-8"/>
          <w:sz w:val="20"/>
        </w:rPr>
        <w:t> </w:t>
      </w:r>
      <w:r>
        <w:rPr>
          <w:sz w:val="20"/>
        </w:rPr>
        <w:t>process;</w:t>
      </w:r>
    </w:p>
    <w:p>
      <w:pPr>
        <w:pStyle w:val="ListParagraph"/>
        <w:numPr>
          <w:ilvl w:val="1"/>
          <w:numId w:val="1"/>
        </w:numPr>
        <w:tabs>
          <w:tab w:pos="970" w:val="left" w:leader="none"/>
          <w:tab w:pos="971" w:val="left" w:leader="none"/>
        </w:tabs>
        <w:spacing w:line="357" w:lineRule="auto" w:before="126" w:after="0"/>
        <w:ind w:left="970" w:right="441" w:hanging="361"/>
        <w:jc w:val="left"/>
        <w:rPr>
          <w:sz w:val="20"/>
        </w:rPr>
      </w:pPr>
      <w:r>
        <w:rPr>
          <w:sz w:val="20"/>
        </w:rPr>
        <w:t>That different types of market activity by end-users might be associated with different preferences and hence demand for an RFR (e.g. a secured rate might be preferred by users managing portfolios of gilts and accompanying repo exposures; whereas an unsecured rate might be preferred by users who manage portfolios of unsecured commercial lending);</w:t>
      </w:r>
      <w:r>
        <w:rPr>
          <w:spacing w:val="-3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970" w:val="left" w:leader="none"/>
          <w:tab w:pos="971" w:val="left" w:leader="none"/>
        </w:tabs>
        <w:spacing w:line="350" w:lineRule="auto" w:before="120" w:after="0"/>
        <w:ind w:left="970" w:right="368" w:hanging="360"/>
        <w:jc w:val="left"/>
        <w:rPr>
          <w:sz w:val="20"/>
        </w:rPr>
      </w:pPr>
      <w:r>
        <w:rPr>
          <w:sz w:val="20"/>
        </w:rPr>
        <w:t>It was noted that there was no strong reason to expect a medium-term forward basis in either direction between a secured and unsecured overnight</w:t>
      </w:r>
      <w:r>
        <w:rPr>
          <w:spacing w:val="-9"/>
          <w:sz w:val="20"/>
        </w:rPr>
        <w:t> </w:t>
      </w:r>
      <w:r>
        <w:rPr>
          <w:sz w:val="20"/>
        </w:rPr>
        <w:t>rate.</w:t>
      </w:r>
    </w:p>
    <w:p>
      <w:pPr>
        <w:pStyle w:val="Heading1"/>
        <w:spacing w:before="132"/>
        <w:ind w:left="120"/>
      </w:pPr>
      <w:r>
        <w:rPr/>
        <w:t>Next steps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360" w:lineRule="auto" w:before="0" w:after="0"/>
        <w:ind w:left="120" w:right="111" w:firstLine="0"/>
        <w:jc w:val="left"/>
        <w:rPr>
          <w:sz w:val="20"/>
        </w:rPr>
      </w:pPr>
      <w:r>
        <w:rPr>
          <w:sz w:val="20"/>
        </w:rPr>
        <w:t>The Chair outlined his thoughts for the upcoming meetings and potential vote. One option was to ask the Group after the next meeting to vote on a firm choice for its recommended RFR and to then progress towards developing plans for transition and broader adoption. A second option would be for the Group to agree a less firm ‘direction of travel’ for their preference, which in turn could provide a foundation for end- user outreach on the choice and any required</w:t>
      </w:r>
      <w:r>
        <w:rPr>
          <w:spacing w:val="-9"/>
          <w:sz w:val="20"/>
        </w:rPr>
        <w:t> </w:t>
      </w:r>
      <w:r>
        <w:rPr>
          <w:sz w:val="20"/>
        </w:rPr>
        <w:t>transition.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121" w:after="0"/>
        <w:ind w:left="120" w:right="499" w:firstLine="0"/>
        <w:jc w:val="left"/>
        <w:rPr>
          <w:sz w:val="20"/>
        </w:rPr>
      </w:pPr>
      <w:r>
        <w:rPr>
          <w:sz w:val="20"/>
        </w:rPr>
        <w:t>It was agreed that an additional meeting would be held for further discussion of candidate RFRs, before a vote could be</w:t>
      </w:r>
      <w:r>
        <w:rPr>
          <w:spacing w:val="-7"/>
          <w:sz w:val="20"/>
        </w:rPr>
        <w:t> </w:t>
      </w:r>
      <w:r>
        <w:rPr>
          <w:sz w:val="20"/>
        </w:rPr>
        <w:t>held.</w:t>
      </w:r>
    </w:p>
    <w:p>
      <w:pPr>
        <w:spacing w:before="122"/>
        <w:ind w:left="1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Post-meeting update</w:t>
      </w:r>
    </w:p>
    <w:p>
      <w:pPr>
        <w:pStyle w:val="BodyText"/>
        <w:spacing w:before="3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0" w:after="0"/>
        <w:ind w:left="120" w:right="228" w:firstLine="0"/>
        <w:jc w:val="left"/>
        <w:rPr>
          <w:i/>
          <w:sz w:val="20"/>
        </w:rPr>
      </w:pPr>
      <w:r>
        <w:rPr>
          <w:i/>
          <w:sz w:val="20"/>
        </w:rPr>
        <w:t>Subsequent to the meeting the Chair notified the Group that he had decided to delay a vote on the </w:t>
      </w:r>
      <w:r>
        <w:rPr>
          <w:i/>
          <w:sz w:val="20"/>
        </w:rPr>
        <w:t>recommended RFR until the New Year to allow for further advocacy and potential work on OIS</w:t>
      </w:r>
      <w:r>
        <w:rPr>
          <w:i/>
          <w:spacing w:val="-24"/>
          <w:sz w:val="20"/>
        </w:rPr>
        <w:t> </w:t>
      </w:r>
      <w:r>
        <w:rPr>
          <w:i/>
          <w:sz w:val="20"/>
        </w:rPr>
        <w:t>transition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360" w:lineRule="auto" w:before="120" w:after="0"/>
        <w:ind w:left="120" w:right="344" w:firstLine="0"/>
        <w:jc w:val="left"/>
        <w:rPr>
          <w:i/>
          <w:sz w:val="20"/>
        </w:rPr>
      </w:pPr>
      <w:r>
        <w:rPr>
          <w:i/>
          <w:sz w:val="20"/>
        </w:rPr>
        <w:t>In addition Chris Salmon (Executive Director for Markets, Bank of England) had sent a letter to the </w:t>
      </w:r>
      <w:r>
        <w:rPr>
          <w:i/>
          <w:sz w:val="20"/>
        </w:rPr>
        <w:t>Chair, copied to Group members, which was posted on the Group’s web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page.</w:t>
      </w:r>
      <w:r>
        <w:rPr>
          <w:i/>
          <w:sz w:val="20"/>
          <w:vertAlign w:val="superscript"/>
        </w:rPr>
        <w:t>2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24"/>
        </w:rPr>
      </w:pPr>
      <w:r>
        <w:rPr/>
        <w:pict>
          <v:shape style="position:absolute;margin-left:72pt;margin-top:16.374962pt;width:144pt;height:.1pt;mso-position-horizontal-relative:page;mso-position-vertical-relative:paragraph;z-index:-251657216;mso-wrap-distance-left:0;mso-wrap-distance-right:0" coordorigin="1440,327" coordsize="2880,0" path="m1440,327l4320,32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34"/>
        <w:ind w:left="120" w:right="0" w:firstLine="0"/>
        <w:jc w:val="left"/>
        <w:rPr>
          <w:sz w:val="18"/>
        </w:rPr>
      </w:pPr>
      <w:r>
        <w:rPr>
          <w:position w:val="9"/>
          <w:sz w:val="12"/>
        </w:rPr>
        <w:t>2 </w:t>
      </w:r>
      <w:hyperlink r:id="rId6">
        <w:r>
          <w:rPr>
            <w:color w:val="0000FF"/>
            <w:sz w:val="18"/>
            <w:u w:val="single" w:color="0000FF"/>
          </w:rPr>
          <w:t>http://www.bankofengland.co.uk/markets/Documents/sterlingoperations/rfr/2016/letter061216.pdf</w:t>
        </w:r>
      </w:hyperlink>
    </w:p>
    <w:p>
      <w:pPr>
        <w:spacing w:after="0"/>
        <w:jc w:val="left"/>
        <w:rPr>
          <w:sz w:val="18"/>
        </w:rPr>
        <w:sectPr>
          <w:pgSz w:w="11910" w:h="16840"/>
          <w:pgMar w:top="1200" w:bottom="280" w:left="1320" w:right="1020"/>
        </w:sectPr>
      </w:pPr>
    </w:p>
    <w:p>
      <w:pPr>
        <w:pStyle w:val="Heading1"/>
        <w:spacing w:before="74"/>
        <w:ind w:left="120"/>
      </w:pPr>
      <w:r>
        <w:rPr/>
        <w:t>Private sector attendees</w:t>
      </w:r>
    </w:p>
    <w:p>
      <w:pPr>
        <w:pStyle w:val="BodyText"/>
        <w:spacing w:before="5"/>
        <w:rPr>
          <w:b/>
          <w:sz w:val="23"/>
        </w:rPr>
      </w:pPr>
    </w:p>
    <w:p>
      <w:pPr>
        <w:tabs>
          <w:tab w:pos="3205" w:val="left" w:leader="none"/>
        </w:tabs>
        <w:spacing w:before="1"/>
        <w:ind w:left="227" w:right="0" w:firstLine="0"/>
        <w:jc w:val="left"/>
        <w:rPr>
          <w:b/>
          <w:sz w:val="20"/>
        </w:rPr>
      </w:pPr>
      <w:r>
        <w:rPr>
          <w:sz w:val="20"/>
        </w:rPr>
        <w:t>Nick</w:t>
      </w:r>
      <w:r>
        <w:rPr>
          <w:spacing w:val="-4"/>
          <w:sz w:val="20"/>
        </w:rPr>
        <w:t> </w:t>
      </w:r>
      <w:r>
        <w:rPr>
          <w:sz w:val="20"/>
        </w:rPr>
        <w:t>Saggers</w:t>
        <w:tab/>
      </w:r>
      <w:r>
        <w:rPr>
          <w:b/>
          <w:sz w:val="20"/>
        </w:rPr>
        <w:t>Bank of America-Merrill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Lynch</w:t>
      </w:r>
    </w:p>
    <w:p>
      <w:pPr>
        <w:tabs>
          <w:tab w:pos="3205" w:val="left" w:leader="none"/>
        </w:tabs>
        <w:spacing w:line="312" w:lineRule="auto" w:before="70"/>
        <w:ind w:left="227" w:right="4069" w:firstLine="0"/>
        <w:jc w:val="left"/>
        <w:rPr>
          <w:b/>
          <w:sz w:val="20"/>
        </w:rPr>
      </w:pPr>
      <w:r>
        <w:rPr>
          <w:sz w:val="20"/>
        </w:rPr>
        <w:t>Francois</w:t>
      </w:r>
      <w:r>
        <w:rPr>
          <w:spacing w:val="-1"/>
          <w:sz w:val="20"/>
        </w:rPr>
        <w:t> </w:t>
      </w:r>
      <w:r>
        <w:rPr>
          <w:sz w:val="20"/>
        </w:rPr>
        <w:t>Jourdain</w:t>
        <w:tab/>
      </w:r>
      <w:r>
        <w:rPr>
          <w:b/>
          <w:sz w:val="20"/>
        </w:rPr>
        <w:t>Barclays (Chairman) </w:t>
      </w:r>
      <w:r>
        <w:rPr>
          <w:sz w:val="20"/>
        </w:rPr>
        <w:t>Andreas</w:t>
      </w:r>
      <w:r>
        <w:rPr>
          <w:spacing w:val="-4"/>
          <w:sz w:val="20"/>
        </w:rPr>
        <w:t> </w:t>
      </w:r>
      <w:r>
        <w:rPr>
          <w:sz w:val="20"/>
        </w:rPr>
        <w:t>Giannopoulos</w:t>
        <w:tab/>
      </w:r>
      <w:r>
        <w:rPr>
          <w:b/>
          <w:sz w:val="20"/>
        </w:rPr>
        <w:t>Barclays (Chair’s office) </w:t>
      </w:r>
      <w:r>
        <w:rPr>
          <w:sz w:val="20"/>
        </w:rPr>
        <w:t>Nicole</w:t>
      </w:r>
      <w:r>
        <w:rPr>
          <w:spacing w:val="-4"/>
          <w:sz w:val="20"/>
        </w:rPr>
        <w:t> </w:t>
      </w:r>
      <w:r>
        <w:rPr>
          <w:sz w:val="20"/>
        </w:rPr>
        <w:t>Bijoux</w:t>
        <w:tab/>
      </w:r>
      <w:r>
        <w:rPr>
          <w:b/>
          <w:sz w:val="20"/>
        </w:rPr>
        <w:t>Barclays (Chair’s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office)</w:t>
      </w:r>
    </w:p>
    <w:p>
      <w:pPr>
        <w:tabs>
          <w:tab w:pos="3205" w:val="left" w:leader="none"/>
        </w:tabs>
        <w:spacing w:before="3"/>
        <w:ind w:left="227" w:right="0" w:firstLine="0"/>
        <w:jc w:val="left"/>
        <w:rPr>
          <w:b/>
          <w:sz w:val="20"/>
        </w:rPr>
      </w:pPr>
      <w:r>
        <w:rPr>
          <w:sz w:val="20"/>
        </w:rPr>
        <w:t>Mike</w:t>
      </w:r>
      <w:r>
        <w:rPr>
          <w:spacing w:val="-3"/>
          <w:sz w:val="20"/>
        </w:rPr>
        <w:t> </w:t>
      </w:r>
      <w:r>
        <w:rPr>
          <w:sz w:val="20"/>
        </w:rPr>
        <w:t>Manna</w:t>
        <w:tab/>
      </w:r>
      <w:r>
        <w:rPr>
          <w:b/>
          <w:sz w:val="20"/>
        </w:rPr>
        <w:t>Barclays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Stephen</w:t>
      </w:r>
      <w:r>
        <w:rPr>
          <w:spacing w:val="-5"/>
          <w:sz w:val="20"/>
        </w:rPr>
        <w:t> </w:t>
      </w:r>
      <w:r>
        <w:rPr>
          <w:sz w:val="20"/>
        </w:rPr>
        <w:t>Randall</w:t>
        <w:tab/>
      </w:r>
      <w:r>
        <w:rPr>
          <w:b/>
          <w:sz w:val="20"/>
        </w:rPr>
        <w:t>Citigroup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Arif</w:t>
      </w:r>
      <w:r>
        <w:rPr>
          <w:spacing w:val="-4"/>
          <w:sz w:val="20"/>
        </w:rPr>
        <w:t> </w:t>
      </w:r>
      <w:r>
        <w:rPr>
          <w:sz w:val="20"/>
        </w:rPr>
        <w:t>Merali</w:t>
        <w:tab/>
      </w:r>
      <w:r>
        <w:rPr>
          <w:b/>
          <w:sz w:val="20"/>
        </w:rPr>
        <w:t>Credit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Suisse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John</w:t>
      </w:r>
      <w:r>
        <w:rPr>
          <w:spacing w:val="-3"/>
          <w:sz w:val="20"/>
        </w:rPr>
        <w:t> </w:t>
      </w:r>
      <w:r>
        <w:rPr>
          <w:sz w:val="20"/>
        </w:rPr>
        <w:t>Hilty</w:t>
        <w:tab/>
      </w:r>
      <w:r>
        <w:rPr>
          <w:b/>
          <w:sz w:val="20"/>
        </w:rPr>
        <w:t>Deutsche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Bank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Ryan</w:t>
      </w:r>
      <w:r>
        <w:rPr>
          <w:spacing w:val="-2"/>
          <w:sz w:val="20"/>
        </w:rPr>
        <w:t> </w:t>
      </w:r>
      <w:r>
        <w:rPr>
          <w:sz w:val="20"/>
        </w:rPr>
        <w:t>Sbarra</w:t>
        <w:tab/>
      </w:r>
      <w:r>
        <w:rPr>
          <w:b/>
          <w:sz w:val="20"/>
        </w:rPr>
        <w:t>Deutsche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Bank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Michael</w:t>
      </w:r>
      <w:r>
        <w:rPr>
          <w:spacing w:val="-2"/>
          <w:sz w:val="20"/>
        </w:rPr>
        <w:t> </w:t>
      </w:r>
      <w:r>
        <w:rPr>
          <w:sz w:val="20"/>
        </w:rPr>
        <w:t>Graham</w:t>
        <w:tab/>
      </w:r>
      <w:r>
        <w:rPr>
          <w:b/>
          <w:sz w:val="20"/>
        </w:rPr>
        <w:t>Goldman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Sachs</w:t>
      </w:r>
    </w:p>
    <w:p>
      <w:pPr>
        <w:pStyle w:val="BodyText"/>
        <w:tabs>
          <w:tab w:pos="3205" w:val="left" w:leader="none"/>
        </w:tabs>
        <w:spacing w:before="70"/>
        <w:ind w:left="227"/>
        <w:rPr>
          <w:b/>
        </w:rPr>
      </w:pPr>
      <w:r>
        <w:rPr/>
        <w:t>Christophe</w:t>
      </w:r>
      <w:r>
        <w:rPr>
          <w:spacing w:val="-2"/>
        </w:rPr>
        <w:t> </w:t>
      </w:r>
      <w:r>
        <w:rPr/>
        <w:t>Rivoire</w:t>
        <w:tab/>
      </w:r>
      <w:r>
        <w:rPr>
          <w:b/>
        </w:rPr>
        <w:t>HSBC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Kari</w:t>
      </w:r>
      <w:r>
        <w:rPr>
          <w:spacing w:val="-6"/>
          <w:sz w:val="20"/>
        </w:rPr>
        <w:t> </w:t>
      </w:r>
      <w:r>
        <w:rPr>
          <w:sz w:val="20"/>
        </w:rPr>
        <w:t>Hallgrimsson</w:t>
        <w:tab/>
      </w:r>
      <w:r>
        <w:rPr>
          <w:b/>
          <w:sz w:val="20"/>
        </w:rPr>
        <w:t>JP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Morgan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Christophe</w:t>
      </w:r>
      <w:r>
        <w:rPr>
          <w:spacing w:val="-2"/>
          <w:sz w:val="20"/>
        </w:rPr>
        <w:t> </w:t>
      </w:r>
      <w:r>
        <w:rPr>
          <w:sz w:val="20"/>
        </w:rPr>
        <w:t>Coutte</w:t>
        <w:tab/>
      </w:r>
      <w:r>
        <w:rPr>
          <w:b/>
          <w:sz w:val="20"/>
        </w:rPr>
        <w:t>Lloyds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Freddie</w:t>
      </w:r>
      <w:r>
        <w:rPr>
          <w:spacing w:val="-2"/>
          <w:sz w:val="20"/>
        </w:rPr>
        <w:t> </w:t>
      </w:r>
      <w:r>
        <w:rPr>
          <w:sz w:val="20"/>
        </w:rPr>
        <w:t>Napier</w:t>
        <w:tab/>
      </w:r>
      <w:r>
        <w:rPr>
          <w:b/>
          <w:sz w:val="20"/>
        </w:rPr>
        <w:t>Morgan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Stanley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Guy</w:t>
      </w:r>
      <w:r>
        <w:rPr>
          <w:spacing w:val="-4"/>
          <w:sz w:val="20"/>
        </w:rPr>
        <w:t> </w:t>
      </w:r>
      <w:r>
        <w:rPr>
          <w:sz w:val="20"/>
        </w:rPr>
        <w:t>Winkworth</w:t>
        <w:tab/>
      </w:r>
      <w:r>
        <w:rPr>
          <w:b/>
          <w:sz w:val="20"/>
        </w:rPr>
        <w:t>Morgan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Stanley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Mike</w:t>
      </w:r>
      <w:r>
        <w:rPr>
          <w:spacing w:val="-4"/>
          <w:sz w:val="20"/>
        </w:rPr>
        <w:t> </w:t>
      </w:r>
      <w:r>
        <w:rPr>
          <w:sz w:val="20"/>
        </w:rPr>
        <w:t>Curtis</w:t>
        <w:tab/>
      </w:r>
      <w:r>
        <w:rPr>
          <w:b/>
          <w:sz w:val="20"/>
        </w:rPr>
        <w:t>Nomura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David</w:t>
      </w:r>
      <w:r>
        <w:rPr>
          <w:spacing w:val="-3"/>
          <w:sz w:val="20"/>
        </w:rPr>
        <w:t> </w:t>
      </w:r>
      <w:r>
        <w:rPr>
          <w:sz w:val="20"/>
        </w:rPr>
        <w:t>Bradley</w:t>
        <w:tab/>
      </w:r>
      <w:r>
        <w:rPr>
          <w:b/>
          <w:sz w:val="20"/>
        </w:rPr>
        <w:t>Royal Bank 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Scotland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Toby</w:t>
      </w:r>
      <w:r>
        <w:rPr>
          <w:spacing w:val="-4"/>
          <w:sz w:val="20"/>
        </w:rPr>
        <w:t> </w:t>
      </w:r>
      <w:r>
        <w:rPr>
          <w:sz w:val="20"/>
        </w:rPr>
        <w:t>Stevenson</w:t>
        <w:tab/>
      </w:r>
      <w:r>
        <w:rPr>
          <w:b/>
          <w:sz w:val="20"/>
        </w:rPr>
        <w:t>Royal Bank 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Scotland</w:t>
      </w:r>
    </w:p>
    <w:p>
      <w:pPr>
        <w:tabs>
          <w:tab w:pos="3205" w:val="left" w:leader="none"/>
        </w:tabs>
        <w:spacing w:before="70"/>
        <w:ind w:left="227" w:right="0" w:firstLine="0"/>
        <w:jc w:val="left"/>
        <w:rPr>
          <w:b/>
          <w:sz w:val="20"/>
        </w:rPr>
      </w:pPr>
      <w:r>
        <w:rPr>
          <w:sz w:val="20"/>
        </w:rPr>
        <w:t>Alan</w:t>
      </w:r>
      <w:r>
        <w:rPr>
          <w:spacing w:val="-1"/>
          <w:sz w:val="20"/>
        </w:rPr>
        <w:t> </w:t>
      </w:r>
      <w:r>
        <w:rPr>
          <w:sz w:val="20"/>
        </w:rPr>
        <w:t>Williams</w:t>
        <w:tab/>
      </w:r>
      <w:r>
        <w:rPr>
          <w:b/>
          <w:sz w:val="20"/>
        </w:rPr>
        <w:t>Santander</w:t>
      </w:r>
    </w:p>
    <w:p>
      <w:pPr>
        <w:pStyle w:val="BodyText"/>
        <w:tabs>
          <w:tab w:pos="3205" w:val="left" w:leader="none"/>
        </w:tabs>
        <w:spacing w:before="70"/>
        <w:ind w:left="227"/>
        <w:rPr>
          <w:b/>
        </w:rPr>
      </w:pPr>
      <w:r>
        <w:rPr/>
        <w:t>Chirag</w:t>
      </w:r>
      <w:r>
        <w:rPr>
          <w:spacing w:val="-3"/>
        </w:rPr>
        <w:t> </w:t>
      </w:r>
      <w:r>
        <w:rPr/>
        <w:t>Dave</w:t>
        <w:tab/>
      </w:r>
      <w:r>
        <w:rPr>
          <w:b/>
        </w:rPr>
        <w:t>UBS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Heading1"/>
        <w:ind w:left="120"/>
      </w:pPr>
      <w:r>
        <w:rPr/>
        <w:t>Official sector attendees</w:t>
      </w:r>
    </w:p>
    <w:p>
      <w:pPr>
        <w:pStyle w:val="BodyText"/>
        <w:spacing w:before="7"/>
        <w:rPr>
          <w:b/>
          <w:sz w:val="23"/>
        </w:rPr>
      </w:pPr>
    </w:p>
    <w:p>
      <w:pPr>
        <w:tabs>
          <w:tab w:pos="3388" w:val="left" w:leader="none"/>
        </w:tabs>
        <w:spacing w:before="0"/>
        <w:ind w:left="227" w:right="0" w:firstLine="0"/>
        <w:jc w:val="left"/>
        <w:rPr>
          <w:b/>
          <w:sz w:val="20"/>
        </w:rPr>
      </w:pPr>
      <w:r>
        <w:rPr>
          <w:sz w:val="20"/>
        </w:rPr>
        <w:t>Tim</w:t>
      </w:r>
      <w:r>
        <w:rPr>
          <w:spacing w:val="-3"/>
          <w:sz w:val="20"/>
        </w:rPr>
        <w:t> </w:t>
      </w:r>
      <w:r>
        <w:rPr>
          <w:sz w:val="20"/>
        </w:rPr>
        <w:t>Taylor</w:t>
        <w:tab/>
      </w:r>
      <w:r>
        <w:rPr>
          <w:b/>
          <w:sz w:val="20"/>
        </w:rPr>
        <w:t>Bank 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England</w:t>
      </w:r>
    </w:p>
    <w:p>
      <w:pPr>
        <w:tabs>
          <w:tab w:pos="3388" w:val="left" w:leader="none"/>
        </w:tabs>
        <w:spacing w:before="73"/>
        <w:ind w:left="227" w:right="0" w:firstLine="0"/>
        <w:jc w:val="left"/>
        <w:rPr>
          <w:b/>
          <w:sz w:val="20"/>
        </w:rPr>
      </w:pP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Parry</w:t>
        <w:tab/>
      </w:r>
      <w:r>
        <w:rPr>
          <w:b/>
          <w:sz w:val="20"/>
        </w:rPr>
        <w:t>Bank 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England</w:t>
      </w:r>
    </w:p>
    <w:p>
      <w:pPr>
        <w:tabs>
          <w:tab w:pos="3388" w:val="left" w:leader="none"/>
        </w:tabs>
        <w:spacing w:before="73"/>
        <w:ind w:left="227" w:right="0" w:firstLine="0"/>
        <w:jc w:val="left"/>
        <w:rPr>
          <w:b/>
          <w:sz w:val="20"/>
        </w:rPr>
      </w:pPr>
      <w:r>
        <w:rPr>
          <w:sz w:val="20"/>
        </w:rPr>
        <w:t>Rob</w:t>
      </w:r>
      <w:r>
        <w:rPr>
          <w:spacing w:val="-3"/>
          <w:sz w:val="20"/>
        </w:rPr>
        <w:t> </w:t>
      </w:r>
      <w:r>
        <w:rPr>
          <w:sz w:val="20"/>
        </w:rPr>
        <w:t>Harris</w:t>
        <w:tab/>
      </w:r>
      <w:r>
        <w:rPr>
          <w:b/>
          <w:sz w:val="20"/>
        </w:rPr>
        <w:t>Bank 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England</w:t>
      </w:r>
    </w:p>
    <w:p>
      <w:pPr>
        <w:tabs>
          <w:tab w:pos="3388" w:val="left" w:leader="none"/>
        </w:tabs>
        <w:spacing w:before="73"/>
        <w:ind w:left="227" w:right="0" w:firstLine="0"/>
        <w:jc w:val="left"/>
        <w:rPr>
          <w:b/>
          <w:sz w:val="20"/>
        </w:rPr>
      </w:pPr>
      <w:r>
        <w:rPr>
          <w:sz w:val="20"/>
        </w:rPr>
        <w:t>Sakshi</w:t>
      </w:r>
      <w:r>
        <w:rPr>
          <w:spacing w:val="-4"/>
          <w:sz w:val="20"/>
        </w:rPr>
        <w:t> </w:t>
      </w:r>
      <w:r>
        <w:rPr>
          <w:sz w:val="20"/>
        </w:rPr>
        <w:t>Gupta</w:t>
        <w:tab/>
      </w:r>
      <w:r>
        <w:rPr>
          <w:b/>
          <w:sz w:val="20"/>
        </w:rPr>
        <w:t>Bank 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England</w:t>
      </w:r>
    </w:p>
    <w:p>
      <w:pPr>
        <w:tabs>
          <w:tab w:pos="3388" w:val="left" w:leader="none"/>
        </w:tabs>
        <w:spacing w:before="73"/>
        <w:ind w:left="227" w:right="0" w:firstLine="0"/>
        <w:jc w:val="left"/>
        <w:rPr>
          <w:b/>
          <w:sz w:val="20"/>
        </w:rPr>
      </w:pPr>
      <w:r>
        <w:rPr>
          <w:sz w:val="20"/>
        </w:rPr>
        <w:t>David</w:t>
      </w:r>
      <w:r>
        <w:rPr>
          <w:spacing w:val="-2"/>
          <w:sz w:val="20"/>
        </w:rPr>
        <w:t> </w:t>
      </w:r>
      <w:r>
        <w:rPr>
          <w:sz w:val="20"/>
        </w:rPr>
        <w:t>Geen</w:t>
        <w:tab/>
      </w:r>
      <w:r>
        <w:rPr>
          <w:b/>
          <w:sz w:val="20"/>
        </w:rPr>
        <w:t>Bank 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England</w:t>
      </w:r>
    </w:p>
    <w:p>
      <w:pPr>
        <w:tabs>
          <w:tab w:pos="3388" w:val="left" w:leader="none"/>
        </w:tabs>
        <w:spacing w:before="73"/>
        <w:ind w:left="227" w:right="0" w:firstLine="0"/>
        <w:jc w:val="left"/>
        <w:rPr>
          <w:b/>
          <w:sz w:val="20"/>
        </w:rPr>
      </w:pPr>
      <w:r>
        <w:rPr>
          <w:sz w:val="20"/>
        </w:rPr>
        <w:t>Harriet</w:t>
      </w:r>
      <w:r>
        <w:rPr>
          <w:spacing w:val="-5"/>
          <w:sz w:val="20"/>
        </w:rPr>
        <w:t> </w:t>
      </w:r>
      <w:r>
        <w:rPr>
          <w:sz w:val="20"/>
        </w:rPr>
        <w:t>Hunnable</w:t>
        <w:tab/>
      </w:r>
      <w:r>
        <w:rPr>
          <w:b/>
          <w:sz w:val="20"/>
        </w:rPr>
        <w:t>Financial Conduct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Authority</w:t>
      </w:r>
    </w:p>
    <w:p>
      <w:pPr>
        <w:tabs>
          <w:tab w:pos="3388" w:val="left" w:leader="none"/>
        </w:tabs>
        <w:spacing w:before="73"/>
        <w:ind w:left="227" w:right="0" w:firstLine="0"/>
        <w:jc w:val="left"/>
        <w:rPr>
          <w:b/>
          <w:sz w:val="20"/>
        </w:rPr>
      </w:pPr>
      <w:r>
        <w:rPr>
          <w:sz w:val="20"/>
        </w:rPr>
        <w:t>Heather</w:t>
      </w:r>
      <w:r>
        <w:rPr>
          <w:spacing w:val="-4"/>
          <w:sz w:val="20"/>
        </w:rPr>
        <w:t> </w:t>
      </w:r>
      <w:r>
        <w:rPr>
          <w:sz w:val="20"/>
        </w:rPr>
        <w:t>Pilley</w:t>
        <w:tab/>
      </w:r>
      <w:r>
        <w:rPr>
          <w:b/>
          <w:sz w:val="20"/>
        </w:rPr>
        <w:t>Financial Conduct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Authority</w:t>
      </w:r>
    </w:p>
    <w:p>
      <w:pPr>
        <w:tabs>
          <w:tab w:pos="3388" w:val="left" w:leader="none"/>
        </w:tabs>
        <w:spacing w:before="73"/>
        <w:ind w:left="227" w:right="0" w:firstLine="0"/>
        <w:jc w:val="left"/>
        <w:rPr>
          <w:b/>
          <w:sz w:val="20"/>
        </w:rPr>
      </w:pPr>
      <w:r>
        <w:rPr>
          <w:sz w:val="20"/>
        </w:rPr>
        <w:t>Devid</w:t>
      </w:r>
      <w:r>
        <w:rPr>
          <w:spacing w:val="-5"/>
          <w:sz w:val="20"/>
        </w:rPr>
        <w:t> </w:t>
      </w:r>
      <w:r>
        <w:rPr>
          <w:sz w:val="20"/>
        </w:rPr>
        <w:t>Mazzonetto</w:t>
        <w:tab/>
      </w:r>
      <w:r>
        <w:rPr>
          <w:b/>
          <w:sz w:val="20"/>
        </w:rPr>
        <w:t>Financial Conduct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Authority</w:t>
      </w:r>
    </w:p>
    <w:sectPr>
      <w:pgSz w:w="11910" w:h="16840"/>
      <w:pgMar w:top="1200" w:bottom="280" w:left="13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20" w:hanging="426"/>
        <w:jc w:val="left"/>
      </w:pPr>
      <w:rPr>
        <w:rFonts w:hint="default"/>
        <w:w w:val="100"/>
      </w:rPr>
    </w:lvl>
    <w:lvl w:ilvl="1">
      <w:start w:val="0"/>
      <w:numFmt w:val="bullet"/>
      <w:lvlText w:val=""/>
      <w:lvlJc w:val="left"/>
      <w:pPr>
        <w:ind w:left="970" w:hanging="361"/>
      </w:pPr>
      <w:rPr>
        <w:rFonts w:hint="default" w:ascii="Symbol" w:hAnsi="Symbol" w:eastAsia="Symbol" w:cs="Symbol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93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6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ankofengland.co.uk/markets/Documents/sterlingoperations/rfr/rfrselection.pdf" TargetMode="External"/><Relationship Id="rId6" Type="http://schemas.openxmlformats.org/officeDocument/2006/relationships/hyperlink" Target="http://www.bankofengland.co.uk/markets/Documents/sterlingoperations/rfr/2016/letter061216.pdf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Minutes of the Meeting of the Working Group on Sterling Risk_free Reference Rates - Wed 22 Nov</dc:title>
  <dcterms:created xsi:type="dcterms:W3CDTF">2020-06-01T02:22:21Z</dcterms:created>
  <dcterms:modified xsi:type="dcterms:W3CDTF">2020-06-01T02:22:21Z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2020-06-01T00:00:00Z</vt:filetime>
  </property>
</Properties>
</file>