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7" w:lineRule="auto" w:before="76"/>
        <w:ind w:left="881" w:right="775"/>
        <w:jc w:val="center"/>
      </w:pPr>
      <w:r>
        <w:rPr/>
        <w:t>Minutes of the Meeting of the Working Group on Sterling Risk-Free Reference</w:t>
      </w:r>
      <w:r>
        <w:rPr>
          <w:spacing w:val="-20"/>
        </w:rPr>
        <w:t> </w:t>
      </w:r>
      <w:r>
        <w:rPr/>
        <w:t>Rates Monday 18</w:t>
      </w:r>
      <w:r>
        <w:rPr>
          <w:spacing w:val="-1"/>
        </w:rPr>
        <w:t> </w:t>
      </w:r>
      <w:r>
        <w:rPr/>
        <w:t>April</w:t>
      </w:r>
    </w:p>
    <w:p>
      <w:pPr>
        <w:spacing w:line="227" w:lineRule="exact" w:before="0"/>
        <w:ind w:left="881" w:right="775" w:firstLine="0"/>
        <w:jc w:val="center"/>
        <w:rPr>
          <w:b/>
          <w:sz w:val="20"/>
        </w:rPr>
      </w:pPr>
      <w:r>
        <w:rPr>
          <w:b/>
          <w:sz w:val="20"/>
        </w:rPr>
        <w:t>Bank of</w:t>
      </w:r>
      <w:r>
        <w:rPr>
          <w:b/>
          <w:spacing w:val="-6"/>
          <w:sz w:val="20"/>
        </w:rPr>
        <w:t> </w:t>
      </w:r>
      <w:r>
        <w:rPr>
          <w:b/>
          <w:sz w:val="20"/>
        </w:rPr>
        <w:t>England</w:t>
      </w:r>
    </w:p>
    <w:p>
      <w:pPr>
        <w:pStyle w:val="BodyText"/>
        <w:spacing w:before="8"/>
        <w:rPr>
          <w:b/>
          <w:sz w:val="30"/>
        </w:rPr>
      </w:pPr>
    </w:p>
    <w:p>
      <w:pPr>
        <w:spacing w:before="0"/>
        <w:ind w:left="200" w:right="0" w:firstLine="0"/>
        <w:jc w:val="left"/>
        <w:rPr>
          <w:b/>
          <w:sz w:val="20"/>
        </w:rPr>
      </w:pPr>
      <w:r>
        <w:rPr>
          <w:b/>
          <w:sz w:val="20"/>
        </w:rPr>
        <w:t>Minutes of previous meeting</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08" w:firstLine="0"/>
        <w:jc w:val="left"/>
        <w:rPr>
          <w:sz w:val="20"/>
        </w:rPr>
      </w:pPr>
      <w:r>
        <w:rPr>
          <w:sz w:val="20"/>
        </w:rPr>
        <w:t>The minutes of the previous meeting on 1 March 2016 had been approved by written procedure</w:t>
      </w:r>
      <w:r>
        <w:rPr>
          <w:spacing w:val="-27"/>
          <w:sz w:val="20"/>
        </w:rPr>
        <w:t> </w:t>
      </w:r>
      <w:r>
        <w:rPr>
          <w:sz w:val="20"/>
        </w:rPr>
        <w:t>prior to the</w:t>
      </w:r>
      <w:r>
        <w:rPr>
          <w:spacing w:val="-3"/>
          <w:sz w:val="20"/>
        </w:rPr>
        <w:t> </w:t>
      </w:r>
      <w:r>
        <w:rPr>
          <w:sz w:val="20"/>
        </w:rPr>
        <w:t>meeting.</w:t>
      </w:r>
    </w:p>
    <w:p>
      <w:pPr>
        <w:pStyle w:val="Heading1"/>
        <w:spacing w:before="119"/>
      </w:pPr>
      <w:r>
        <w:rPr/>
        <w:t>Sterling Repo Index Rate</w:t>
      </w:r>
    </w:p>
    <w:p>
      <w:pPr>
        <w:pStyle w:val="BodyText"/>
        <w:spacing w:before="6"/>
        <w:rPr>
          <w:b/>
        </w:rPr>
      </w:pPr>
    </w:p>
    <w:p>
      <w:pPr>
        <w:pStyle w:val="ListParagraph"/>
        <w:numPr>
          <w:ilvl w:val="0"/>
          <w:numId w:val="1"/>
        </w:numPr>
        <w:tabs>
          <w:tab w:pos="627" w:val="left" w:leader="none"/>
          <w:tab w:pos="628" w:val="left" w:leader="none"/>
        </w:tabs>
        <w:spacing w:line="360" w:lineRule="auto" w:before="0" w:after="0"/>
        <w:ind w:left="200" w:right="272" w:firstLine="0"/>
        <w:jc w:val="left"/>
        <w:rPr>
          <w:sz w:val="20"/>
        </w:rPr>
      </w:pPr>
      <w:r>
        <w:rPr>
          <w:sz w:val="20"/>
        </w:rPr>
        <w:t>EBS BrokerTec and ICAP Information Services had previously presented to the Working Group a proposed new secured benchmark that was, at that time, under development. The benchmark had now been launched as the Sterling Repo Index Rate (RIR), and BrokerTec/ICAP were invited to present on the details of the new</w:t>
      </w:r>
      <w:r>
        <w:rPr>
          <w:spacing w:val="-3"/>
          <w:sz w:val="20"/>
        </w:rPr>
        <w:t> </w:t>
      </w:r>
      <w:r>
        <w:rPr>
          <w:sz w:val="20"/>
        </w:rPr>
        <w:t>benchmark.</w:t>
      </w:r>
    </w:p>
    <w:p>
      <w:pPr>
        <w:pStyle w:val="ListParagraph"/>
        <w:numPr>
          <w:ilvl w:val="0"/>
          <w:numId w:val="1"/>
        </w:numPr>
        <w:tabs>
          <w:tab w:pos="627" w:val="left" w:leader="none"/>
          <w:tab w:pos="628" w:val="left" w:leader="none"/>
        </w:tabs>
        <w:spacing w:line="360" w:lineRule="auto" w:before="121" w:after="0"/>
        <w:ind w:left="200" w:right="416" w:firstLine="0"/>
        <w:jc w:val="left"/>
        <w:rPr>
          <w:sz w:val="20"/>
        </w:rPr>
      </w:pPr>
      <w:r>
        <w:rPr>
          <w:sz w:val="20"/>
        </w:rPr>
        <w:t>The Sterling RIR benchmark is compiled using data on cleared, inter-dealer, one-day maturity gilt repo transactions from the BrokerTec trading platforms, although data from other platforms is being considered. The rate is now being published daily, with a 10-year time series of rates and volumes publically available. The rate closely tracks existing overnight market interest rates, with average daily Repo volumes around £15-20bn per day through 2015.</w:t>
      </w:r>
    </w:p>
    <w:p>
      <w:pPr>
        <w:pStyle w:val="ListParagraph"/>
        <w:numPr>
          <w:ilvl w:val="0"/>
          <w:numId w:val="1"/>
        </w:numPr>
        <w:tabs>
          <w:tab w:pos="627" w:val="left" w:leader="none"/>
          <w:tab w:pos="628" w:val="left" w:leader="none"/>
        </w:tabs>
        <w:spacing w:line="360" w:lineRule="auto" w:before="120" w:after="0"/>
        <w:ind w:left="200" w:right="138" w:firstLine="0"/>
        <w:jc w:val="left"/>
        <w:rPr>
          <w:sz w:val="20"/>
        </w:rPr>
      </w:pPr>
      <w:r>
        <w:rPr>
          <w:sz w:val="20"/>
        </w:rPr>
        <w:t>ICAP briefly outlined their intentions to generate legal definitions for the benchmark – alongside their equivalent euro-denominated repo benchmarks (RepoFunds Rate) – in order to facilitate the development of an OIS or futures product which referenced the Sterling</w:t>
      </w:r>
      <w:r>
        <w:rPr>
          <w:spacing w:val="-5"/>
          <w:sz w:val="20"/>
        </w:rPr>
        <w:t> </w:t>
      </w:r>
      <w:r>
        <w:rPr>
          <w:sz w:val="20"/>
        </w:rPr>
        <w:t>RIR.</w:t>
      </w:r>
    </w:p>
    <w:p>
      <w:pPr>
        <w:pStyle w:val="ListParagraph"/>
        <w:numPr>
          <w:ilvl w:val="0"/>
          <w:numId w:val="1"/>
        </w:numPr>
        <w:tabs>
          <w:tab w:pos="627" w:val="left" w:leader="none"/>
          <w:tab w:pos="628" w:val="left" w:leader="none"/>
        </w:tabs>
        <w:spacing w:line="360" w:lineRule="auto" w:before="120" w:after="0"/>
        <w:ind w:left="200" w:right="101" w:firstLine="0"/>
        <w:jc w:val="left"/>
        <w:rPr>
          <w:sz w:val="20"/>
        </w:rPr>
      </w:pPr>
      <w:r>
        <w:rPr>
          <w:sz w:val="20"/>
        </w:rPr>
        <w:t>The</w:t>
      </w:r>
      <w:r>
        <w:rPr>
          <w:spacing w:val="-6"/>
          <w:sz w:val="20"/>
        </w:rPr>
        <w:t> </w:t>
      </w:r>
      <w:r>
        <w:rPr>
          <w:sz w:val="20"/>
        </w:rPr>
        <w:t>Group</w:t>
      </w:r>
      <w:r>
        <w:rPr>
          <w:spacing w:val="-2"/>
          <w:sz w:val="20"/>
        </w:rPr>
        <w:t> </w:t>
      </w:r>
      <w:r>
        <w:rPr>
          <w:sz w:val="20"/>
        </w:rPr>
        <w:t>welcomed</w:t>
      </w:r>
      <w:r>
        <w:rPr>
          <w:spacing w:val="-5"/>
          <w:sz w:val="20"/>
        </w:rPr>
        <w:t> </w:t>
      </w:r>
      <w:r>
        <w:rPr>
          <w:sz w:val="20"/>
        </w:rPr>
        <w:t>the</w:t>
      </w:r>
      <w:r>
        <w:rPr>
          <w:spacing w:val="-5"/>
          <w:sz w:val="20"/>
        </w:rPr>
        <w:t> </w:t>
      </w:r>
      <w:r>
        <w:rPr>
          <w:sz w:val="20"/>
        </w:rPr>
        <w:t>development</w:t>
      </w:r>
      <w:r>
        <w:rPr>
          <w:spacing w:val="-4"/>
          <w:sz w:val="20"/>
        </w:rPr>
        <w:t> </w:t>
      </w:r>
      <w:r>
        <w:rPr>
          <w:sz w:val="20"/>
        </w:rPr>
        <w:t>of</w:t>
      </w:r>
      <w:r>
        <w:rPr>
          <w:spacing w:val="-2"/>
          <w:sz w:val="20"/>
        </w:rPr>
        <w:t> </w:t>
      </w:r>
      <w:r>
        <w:rPr>
          <w:sz w:val="20"/>
        </w:rPr>
        <w:t>ICAP’s</w:t>
      </w:r>
      <w:r>
        <w:rPr>
          <w:spacing w:val="-4"/>
          <w:sz w:val="20"/>
        </w:rPr>
        <w:t> </w:t>
      </w:r>
      <w:r>
        <w:rPr>
          <w:sz w:val="20"/>
        </w:rPr>
        <w:t>Sterling</w:t>
      </w:r>
      <w:r>
        <w:rPr>
          <w:spacing w:val="-5"/>
          <w:sz w:val="20"/>
        </w:rPr>
        <w:t> </w:t>
      </w:r>
      <w:r>
        <w:rPr>
          <w:sz w:val="20"/>
        </w:rPr>
        <w:t>RIR</w:t>
      </w:r>
      <w:r>
        <w:rPr>
          <w:spacing w:val="-2"/>
          <w:sz w:val="20"/>
        </w:rPr>
        <w:t> </w:t>
      </w:r>
      <w:r>
        <w:rPr>
          <w:sz w:val="20"/>
        </w:rPr>
        <w:t>as</w:t>
      </w:r>
      <w:r>
        <w:rPr>
          <w:spacing w:val="-4"/>
          <w:sz w:val="20"/>
        </w:rPr>
        <w:t> </w:t>
      </w:r>
      <w:r>
        <w:rPr>
          <w:sz w:val="20"/>
        </w:rPr>
        <w:t>bringing</w:t>
      </w:r>
      <w:r>
        <w:rPr>
          <w:spacing w:val="-5"/>
          <w:sz w:val="20"/>
        </w:rPr>
        <w:t> </w:t>
      </w:r>
      <w:r>
        <w:rPr>
          <w:sz w:val="20"/>
        </w:rPr>
        <w:t>further</w:t>
      </w:r>
      <w:r>
        <w:rPr>
          <w:spacing w:val="-4"/>
          <w:sz w:val="20"/>
        </w:rPr>
        <w:t> </w:t>
      </w:r>
      <w:r>
        <w:rPr>
          <w:sz w:val="20"/>
        </w:rPr>
        <w:t>transparency</w:t>
      </w:r>
      <w:r>
        <w:rPr>
          <w:spacing w:val="-7"/>
          <w:sz w:val="20"/>
        </w:rPr>
        <w:t> </w:t>
      </w:r>
      <w:r>
        <w:rPr>
          <w:sz w:val="20"/>
        </w:rPr>
        <w:t>to</w:t>
      </w:r>
      <w:r>
        <w:rPr>
          <w:spacing w:val="-3"/>
          <w:sz w:val="20"/>
        </w:rPr>
        <w:t> </w:t>
      </w:r>
      <w:r>
        <w:rPr>
          <w:sz w:val="20"/>
        </w:rPr>
        <w:t>the gilt repo market. In discussion, they noted that the benchmark covered a broader portion of the inter- dealer gilt repo market than currently available benchmarks, but did not include uncleared or dealer-client transactions, which make up a significant part of the</w:t>
      </w:r>
      <w:r>
        <w:rPr>
          <w:spacing w:val="-4"/>
          <w:sz w:val="20"/>
        </w:rPr>
        <w:t> </w:t>
      </w:r>
      <w:r>
        <w:rPr>
          <w:sz w:val="20"/>
        </w:rPr>
        <w:t>market.</w:t>
      </w:r>
    </w:p>
    <w:p>
      <w:pPr>
        <w:pStyle w:val="Heading1"/>
        <w:spacing w:before="118"/>
      </w:pPr>
      <w:r>
        <w:rPr/>
        <w:t>Update on other potential secured benchmark</w:t>
      </w:r>
      <w:r>
        <w:rPr>
          <w:spacing w:val="-17"/>
        </w:rPr>
        <w:t> </w:t>
      </w:r>
      <w:r>
        <w:rPr/>
        <w:t>providers</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23" w:firstLine="0"/>
        <w:jc w:val="left"/>
        <w:rPr>
          <w:sz w:val="20"/>
        </w:rPr>
      </w:pPr>
      <w:r>
        <w:rPr>
          <w:sz w:val="20"/>
        </w:rPr>
        <w:t>The secured rate sub-Group provided an update on their recent discussions with the other firms who had expressed an interest in producing a secured benchmark. Following discussions, the sub-Group had provided initial feedback and areas for further consideration, with a view to each proposal being presented to the full Working Group in due</w:t>
      </w:r>
      <w:r>
        <w:rPr>
          <w:spacing w:val="-4"/>
          <w:sz w:val="20"/>
        </w:rPr>
        <w:t> </w:t>
      </w:r>
      <w:r>
        <w:rPr>
          <w:sz w:val="20"/>
        </w:rPr>
        <w:t>course.</w:t>
      </w:r>
    </w:p>
    <w:p>
      <w:pPr>
        <w:pStyle w:val="Heading1"/>
        <w:spacing w:before="118"/>
      </w:pPr>
      <w:r>
        <w:rPr/>
        <w:t>Future robustness of overnight benchmarks</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294" w:firstLine="0"/>
        <w:jc w:val="left"/>
        <w:rPr>
          <w:sz w:val="20"/>
        </w:rPr>
      </w:pPr>
      <w:r>
        <w:rPr>
          <w:sz w:val="20"/>
        </w:rPr>
        <w:t>Following the request from the Chair at the previous meeting, the secured sub-Group’s leads presented their initial views on whether there were actions the official sector could consider to support activity in the secured money markets. In the context of the FPC’s recent discussion of whether there were possible refinements to internationally agreed post-crisis regulations that could further promote market effectiveness without compromising resilience,</w:t>
      </w:r>
      <w:r>
        <w:rPr>
          <w:sz w:val="20"/>
          <w:vertAlign w:val="superscript"/>
        </w:rPr>
        <w:t>1</w:t>
      </w:r>
      <w:r>
        <w:rPr>
          <w:sz w:val="20"/>
          <w:vertAlign w:val="baseline"/>
        </w:rPr>
        <w:t> the leads noted that the removal of central bank money and high quality government bonds from the leverage ratio exposure measure could</w:t>
      </w:r>
      <w:r>
        <w:rPr>
          <w:spacing w:val="-17"/>
          <w:sz w:val="20"/>
          <w:vertAlign w:val="baseline"/>
        </w:rPr>
        <w:t> </w:t>
      </w:r>
      <w:r>
        <w:rPr>
          <w:sz w:val="20"/>
          <w:vertAlign w:val="baseline"/>
        </w:rPr>
        <w:t>promote</w:t>
      </w:r>
    </w:p>
    <w:p>
      <w:pPr>
        <w:pStyle w:val="BodyText"/>
        <w:spacing w:before="9"/>
        <w:rPr>
          <w:sz w:val="12"/>
        </w:rPr>
      </w:pPr>
      <w:r>
        <w:rPr/>
        <w:pict>
          <v:shape style="position:absolute;margin-left:72.024002pt;margin-top:9.717287pt;width:144.050pt;height:.1pt;mso-position-horizontal-relative:page;mso-position-vertical-relative:paragraph;z-index:-251658240;mso-wrap-distance-left:0;mso-wrap-distance-right:0" coordorigin="1440,194" coordsize="2881,0" path="m1440,194l4321,194e" filled="false" stroked="true" strokeweight=".71997pt" strokecolor="#000000">
            <v:path arrowok="t"/>
            <v:stroke dashstyle="solid"/>
            <w10:wrap type="topAndBottom"/>
          </v:shape>
        </w:pict>
      </w:r>
    </w:p>
    <w:p>
      <w:pPr>
        <w:spacing w:line="247" w:lineRule="auto" w:before="36"/>
        <w:ind w:left="200" w:right="1945" w:firstLine="0"/>
        <w:jc w:val="left"/>
        <w:rPr>
          <w:sz w:val="18"/>
        </w:rPr>
      </w:pPr>
      <w:r>
        <w:rPr>
          <w:position w:val="10"/>
          <w:sz w:val="13"/>
        </w:rPr>
        <w:t>1 </w:t>
      </w:r>
      <w:r>
        <w:rPr>
          <w:sz w:val="18"/>
        </w:rPr>
        <w:t>See paragraphs 59 and 60 of the Record of the FPC meeting, available at </w:t>
      </w:r>
      <w:hyperlink r:id="rId5">
        <w:r>
          <w:rPr>
            <w:color w:val="0000FF"/>
            <w:sz w:val="18"/>
            <w:u w:val="single" w:color="0000FF"/>
          </w:rPr>
          <w:t>http://www.bankofengland.co.uk/publications/Documents/records/fpc/pdf/2016/record1604.pdf</w:t>
        </w:r>
      </w:hyperlink>
    </w:p>
    <w:p>
      <w:pPr>
        <w:spacing w:after="0" w:line="247" w:lineRule="auto"/>
        <w:jc w:val="left"/>
        <w:rPr>
          <w:sz w:val="18"/>
        </w:rPr>
        <w:sectPr>
          <w:type w:val="continuous"/>
          <w:pgSz w:w="11910" w:h="16840"/>
          <w:pgMar w:top="1340" w:bottom="280" w:left="1240" w:right="1040"/>
        </w:sectPr>
      </w:pPr>
    </w:p>
    <w:p>
      <w:pPr>
        <w:pStyle w:val="BodyText"/>
        <w:spacing w:line="360" w:lineRule="auto" w:before="79"/>
        <w:ind w:left="200" w:right="126"/>
      </w:pPr>
      <w:r>
        <w:rPr/>
        <w:t>liquidity in the gilt repo market, and consequently, benchmark robustness. However Group members recognised that proposing modifications to prudential regulations was beyond the remit of the Group, and such modifications would in any case be subject to far broader considerations than the narrow issue of benchmark robustness.</w:t>
      </w:r>
    </w:p>
    <w:p>
      <w:pPr>
        <w:pStyle w:val="ListParagraph"/>
        <w:numPr>
          <w:ilvl w:val="0"/>
          <w:numId w:val="1"/>
        </w:numPr>
        <w:tabs>
          <w:tab w:pos="627" w:val="left" w:leader="none"/>
          <w:tab w:pos="628" w:val="left" w:leader="none"/>
        </w:tabs>
        <w:spacing w:line="240" w:lineRule="auto" w:before="120" w:after="0"/>
        <w:ind w:left="627" w:right="0" w:hanging="428"/>
        <w:jc w:val="left"/>
        <w:rPr>
          <w:sz w:val="20"/>
        </w:rPr>
      </w:pPr>
      <w:r>
        <w:rPr>
          <w:sz w:val="20"/>
        </w:rPr>
        <w:t>The unsecured market sub-Group would provide their views at the next</w:t>
      </w:r>
      <w:r>
        <w:rPr>
          <w:spacing w:val="-10"/>
          <w:sz w:val="20"/>
        </w:rPr>
        <w:t> </w:t>
      </w:r>
      <w:r>
        <w:rPr>
          <w:sz w:val="20"/>
        </w:rPr>
        <w:t>meeting.</w:t>
      </w:r>
    </w:p>
    <w:p>
      <w:pPr>
        <w:pStyle w:val="BodyText"/>
        <w:spacing w:before="3"/>
      </w:pPr>
    </w:p>
    <w:p>
      <w:pPr>
        <w:pStyle w:val="Heading1"/>
      </w:pPr>
      <w:r>
        <w:rPr/>
        <w:t>Workstream on RFR adoption plans</w:t>
      </w:r>
    </w:p>
    <w:p>
      <w:pPr>
        <w:pStyle w:val="BodyText"/>
        <w:spacing w:before="6"/>
        <w:rPr>
          <w:b/>
        </w:rPr>
      </w:pPr>
    </w:p>
    <w:p>
      <w:pPr>
        <w:pStyle w:val="ListParagraph"/>
        <w:numPr>
          <w:ilvl w:val="0"/>
          <w:numId w:val="1"/>
        </w:numPr>
        <w:tabs>
          <w:tab w:pos="627" w:val="left" w:leader="none"/>
          <w:tab w:pos="628" w:val="left" w:leader="none"/>
        </w:tabs>
        <w:spacing w:line="360" w:lineRule="auto" w:before="0" w:after="0"/>
        <w:ind w:left="200" w:right="131" w:firstLine="0"/>
        <w:jc w:val="left"/>
        <w:rPr>
          <w:sz w:val="20"/>
        </w:rPr>
      </w:pPr>
      <w:r>
        <w:rPr>
          <w:sz w:val="20"/>
        </w:rPr>
        <w:t>The workstream lead for RFR adoption plans presented initial thoughts to the Group, with</w:t>
      </w:r>
      <w:r>
        <w:rPr>
          <w:spacing w:val="-28"/>
          <w:sz w:val="20"/>
        </w:rPr>
        <w:t> </w:t>
      </w:r>
      <w:r>
        <w:rPr>
          <w:sz w:val="20"/>
        </w:rPr>
        <w:t>suggested further work. Areas under consideration included:</w:t>
      </w:r>
    </w:p>
    <w:p>
      <w:pPr>
        <w:pStyle w:val="ListParagraph"/>
        <w:numPr>
          <w:ilvl w:val="1"/>
          <w:numId w:val="1"/>
        </w:numPr>
        <w:tabs>
          <w:tab w:pos="908" w:val="left" w:leader="none"/>
          <w:tab w:pos="909" w:val="left" w:leader="none"/>
        </w:tabs>
        <w:spacing w:line="360" w:lineRule="auto" w:before="121" w:after="0"/>
        <w:ind w:left="908" w:right="256" w:hanging="449"/>
        <w:jc w:val="left"/>
        <w:rPr>
          <w:sz w:val="20"/>
        </w:rPr>
      </w:pPr>
      <w:r>
        <w:rPr>
          <w:sz w:val="20"/>
        </w:rPr>
        <w:t>Accounting and hedge accounting practices – to consider issues related to re-designation of fair value and cash flow relationships and any associated impact on profit &amp;</w:t>
      </w:r>
      <w:r>
        <w:rPr>
          <w:spacing w:val="-11"/>
          <w:sz w:val="20"/>
        </w:rPr>
        <w:t> </w:t>
      </w:r>
      <w:r>
        <w:rPr>
          <w:sz w:val="20"/>
        </w:rPr>
        <w:t>loss;</w:t>
      </w:r>
    </w:p>
    <w:p>
      <w:pPr>
        <w:pStyle w:val="ListParagraph"/>
        <w:numPr>
          <w:ilvl w:val="1"/>
          <w:numId w:val="1"/>
        </w:numPr>
        <w:tabs>
          <w:tab w:pos="908" w:val="left" w:leader="none"/>
          <w:tab w:pos="909" w:val="left" w:leader="none"/>
        </w:tabs>
        <w:spacing w:line="360" w:lineRule="auto" w:before="120" w:after="0"/>
        <w:ind w:left="908" w:right="378" w:hanging="492"/>
        <w:jc w:val="left"/>
        <w:rPr>
          <w:sz w:val="20"/>
        </w:rPr>
      </w:pPr>
      <w:r>
        <w:rPr>
          <w:sz w:val="20"/>
        </w:rPr>
        <w:t>Systems and operational issues – the initial view was that banking systems will be able to deal with multiple reference rates, although further investigation was</w:t>
      </w:r>
      <w:r>
        <w:rPr>
          <w:spacing w:val="-4"/>
          <w:sz w:val="20"/>
        </w:rPr>
        <w:t> </w:t>
      </w:r>
      <w:r>
        <w:rPr>
          <w:sz w:val="20"/>
        </w:rPr>
        <w:t>required;</w:t>
      </w:r>
    </w:p>
    <w:p>
      <w:pPr>
        <w:pStyle w:val="ListParagraph"/>
        <w:numPr>
          <w:ilvl w:val="1"/>
          <w:numId w:val="1"/>
        </w:numPr>
        <w:tabs>
          <w:tab w:pos="908" w:val="left" w:leader="none"/>
          <w:tab w:pos="909" w:val="left" w:leader="none"/>
        </w:tabs>
        <w:spacing w:line="360" w:lineRule="auto" w:before="121" w:after="0"/>
        <w:ind w:left="908" w:right="455" w:hanging="538"/>
        <w:jc w:val="left"/>
        <w:rPr>
          <w:sz w:val="20"/>
        </w:rPr>
      </w:pPr>
      <w:r>
        <w:rPr>
          <w:sz w:val="20"/>
        </w:rPr>
        <w:t>The potential role of cash markets in generating interest in the RFR – where cash market instruments, such as corporate loan and deposit markets, also refer once the RFR, this would generate a need to hedge those exposures using derivatives which reference the</w:t>
      </w:r>
      <w:r>
        <w:rPr>
          <w:spacing w:val="-8"/>
          <w:sz w:val="20"/>
        </w:rPr>
        <w:t> </w:t>
      </w:r>
      <w:r>
        <w:rPr>
          <w:sz w:val="20"/>
        </w:rPr>
        <w:t>RFR;</w:t>
      </w:r>
    </w:p>
    <w:p>
      <w:pPr>
        <w:pStyle w:val="ListParagraph"/>
        <w:numPr>
          <w:ilvl w:val="1"/>
          <w:numId w:val="1"/>
        </w:numPr>
        <w:tabs>
          <w:tab w:pos="908" w:val="left" w:leader="none"/>
          <w:tab w:pos="909" w:val="left" w:leader="none"/>
        </w:tabs>
        <w:spacing w:line="360" w:lineRule="auto" w:before="119" w:after="0"/>
        <w:ind w:left="908" w:right="824" w:hanging="548"/>
        <w:jc w:val="left"/>
        <w:rPr>
          <w:sz w:val="20"/>
        </w:rPr>
      </w:pPr>
      <w:r>
        <w:rPr>
          <w:sz w:val="20"/>
        </w:rPr>
        <w:t>Legal issues and/or constraints regarding large-scale adoption – further investigation was required;</w:t>
      </w:r>
    </w:p>
    <w:p>
      <w:pPr>
        <w:pStyle w:val="ListParagraph"/>
        <w:numPr>
          <w:ilvl w:val="1"/>
          <w:numId w:val="1"/>
        </w:numPr>
        <w:tabs>
          <w:tab w:pos="908" w:val="left" w:leader="none"/>
          <w:tab w:pos="909" w:val="left" w:leader="none"/>
        </w:tabs>
        <w:spacing w:line="360" w:lineRule="auto" w:before="122" w:after="0"/>
        <w:ind w:left="908" w:right="180" w:hanging="504"/>
        <w:jc w:val="left"/>
        <w:rPr>
          <w:sz w:val="20"/>
        </w:rPr>
      </w:pPr>
      <w:r>
        <w:rPr>
          <w:sz w:val="20"/>
        </w:rPr>
        <w:t>The impact of pricing and valuation adjustments – this had been discussed extensively, but corporate lending which references LIBOR should be considered, since pricing may be based on multi-year income models;</w:t>
      </w:r>
      <w:r>
        <w:rPr>
          <w:spacing w:val="-2"/>
          <w:sz w:val="20"/>
        </w:rPr>
        <w:t> </w:t>
      </w:r>
      <w:r>
        <w:rPr>
          <w:sz w:val="20"/>
        </w:rPr>
        <w:t>and</w:t>
      </w:r>
    </w:p>
    <w:p>
      <w:pPr>
        <w:pStyle w:val="ListParagraph"/>
        <w:numPr>
          <w:ilvl w:val="1"/>
          <w:numId w:val="1"/>
        </w:numPr>
        <w:tabs>
          <w:tab w:pos="908" w:val="left" w:leader="none"/>
          <w:tab w:pos="909" w:val="left" w:leader="none"/>
        </w:tabs>
        <w:spacing w:line="240" w:lineRule="auto" w:before="120" w:after="0"/>
        <w:ind w:left="908" w:right="0" w:hanging="548"/>
        <w:jc w:val="left"/>
        <w:rPr>
          <w:sz w:val="20"/>
        </w:rPr>
      </w:pPr>
      <w:r>
        <w:rPr>
          <w:sz w:val="20"/>
        </w:rPr>
        <w:t>The potential for inertia and costs associated with adoption.</w:t>
      </w:r>
    </w:p>
    <w:p>
      <w:pPr>
        <w:pStyle w:val="BodyText"/>
      </w:pPr>
    </w:p>
    <w:p>
      <w:pPr>
        <w:pStyle w:val="Heading1"/>
      </w:pPr>
      <w:r>
        <w:rPr/>
        <w:t>Interim Report of the Working Group</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96" w:firstLine="0"/>
        <w:jc w:val="left"/>
        <w:rPr>
          <w:sz w:val="20"/>
        </w:rPr>
      </w:pPr>
      <w:r>
        <w:rPr>
          <w:sz w:val="20"/>
        </w:rPr>
        <w:t>Recognising increased interest in the deliberations of the Working Group, and the need to broaden the scope of end-user engagement, the Chair had proposed the production of an Interim Report. The Chair’s office and Bank of England secretariat shared an outline Report, and comments were welcomed. A first draft would be produced for discussion at the next</w:t>
      </w:r>
      <w:r>
        <w:rPr>
          <w:spacing w:val="-10"/>
          <w:sz w:val="20"/>
        </w:rPr>
        <w:t> </w:t>
      </w:r>
      <w:r>
        <w:rPr>
          <w:sz w:val="20"/>
        </w:rPr>
        <w:t>meeting.</w:t>
      </w:r>
    </w:p>
    <w:p>
      <w:pPr>
        <w:spacing w:after="0" w:line="360" w:lineRule="auto"/>
        <w:jc w:val="left"/>
        <w:rPr>
          <w:sz w:val="20"/>
        </w:rPr>
        <w:sectPr>
          <w:pgSz w:w="11910" w:h="16840"/>
          <w:pgMar w:top="1340" w:bottom="280" w:left="1240" w:right="1040"/>
        </w:sectPr>
      </w:pPr>
    </w:p>
    <w:p>
      <w:pPr>
        <w:pStyle w:val="Heading1"/>
        <w:spacing w:before="79"/>
      </w:pPr>
      <w:r>
        <w:rPr/>
        <w:t>Private sector</w:t>
      </w:r>
      <w:r>
        <w:rPr>
          <w:spacing w:val="-12"/>
        </w:rPr>
        <w:t> </w:t>
      </w:r>
      <w:r>
        <w:rPr/>
        <w:t>attendees</w:t>
      </w:r>
    </w:p>
    <w:p>
      <w:pPr>
        <w:pStyle w:val="BodyText"/>
        <w:spacing w:before="9" w:after="1"/>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4"/>
        <w:gridCol w:w="3936"/>
      </w:tblGrid>
      <w:tr>
        <w:trPr>
          <w:trHeight w:val="262" w:hRule="atLeast"/>
        </w:trPr>
        <w:tc>
          <w:tcPr>
            <w:tcW w:w="2704" w:type="dxa"/>
          </w:tcPr>
          <w:p>
            <w:pPr>
              <w:pStyle w:val="TableParagraph"/>
              <w:spacing w:line="225" w:lineRule="exact" w:before="0"/>
              <w:rPr>
                <w:sz w:val="20"/>
              </w:rPr>
            </w:pPr>
            <w:r>
              <w:rPr>
                <w:sz w:val="20"/>
              </w:rPr>
              <w:t>Nick Saggers</w:t>
            </w:r>
          </w:p>
        </w:tc>
        <w:tc>
          <w:tcPr>
            <w:tcW w:w="3936" w:type="dxa"/>
          </w:tcPr>
          <w:p>
            <w:pPr>
              <w:pStyle w:val="TableParagraph"/>
              <w:spacing w:line="223" w:lineRule="exact" w:before="0"/>
              <w:ind w:left="472"/>
              <w:rPr>
                <w:b/>
                <w:sz w:val="20"/>
              </w:rPr>
            </w:pPr>
            <w:r>
              <w:rPr>
                <w:b/>
                <w:sz w:val="20"/>
              </w:rPr>
              <w:t>Bank of America-Merrill Lynch</w:t>
            </w:r>
          </w:p>
        </w:tc>
      </w:tr>
      <w:tr>
        <w:trPr>
          <w:trHeight w:val="300" w:hRule="atLeast"/>
        </w:trPr>
        <w:tc>
          <w:tcPr>
            <w:tcW w:w="2704" w:type="dxa"/>
          </w:tcPr>
          <w:p>
            <w:pPr>
              <w:pStyle w:val="TableParagraph"/>
              <w:spacing w:before="32"/>
              <w:rPr>
                <w:sz w:val="20"/>
              </w:rPr>
            </w:pPr>
            <w:r>
              <w:rPr>
                <w:sz w:val="20"/>
              </w:rPr>
              <w:t>Francois Jourdain</w:t>
            </w:r>
          </w:p>
        </w:tc>
        <w:tc>
          <w:tcPr>
            <w:tcW w:w="3936" w:type="dxa"/>
          </w:tcPr>
          <w:p>
            <w:pPr>
              <w:pStyle w:val="TableParagraph"/>
              <w:ind w:left="472"/>
              <w:rPr>
                <w:b/>
                <w:sz w:val="20"/>
              </w:rPr>
            </w:pPr>
            <w:r>
              <w:rPr>
                <w:b/>
                <w:sz w:val="20"/>
              </w:rPr>
              <w:t>Barclays (Chairman)</w:t>
            </w:r>
          </w:p>
        </w:tc>
      </w:tr>
      <w:tr>
        <w:trPr>
          <w:trHeight w:val="300" w:hRule="atLeast"/>
        </w:trPr>
        <w:tc>
          <w:tcPr>
            <w:tcW w:w="2704" w:type="dxa"/>
          </w:tcPr>
          <w:p>
            <w:pPr>
              <w:pStyle w:val="TableParagraph"/>
              <w:spacing w:before="32"/>
              <w:rPr>
                <w:sz w:val="20"/>
              </w:rPr>
            </w:pPr>
            <w:r>
              <w:rPr>
                <w:sz w:val="20"/>
              </w:rPr>
              <w:t>Andreas Giannopoulos</w:t>
            </w:r>
          </w:p>
        </w:tc>
        <w:tc>
          <w:tcPr>
            <w:tcW w:w="3936" w:type="dxa"/>
          </w:tcPr>
          <w:p>
            <w:pPr>
              <w:pStyle w:val="TableParagraph"/>
              <w:ind w:left="472"/>
              <w:rPr>
                <w:b/>
                <w:sz w:val="20"/>
              </w:rPr>
            </w:pPr>
            <w:r>
              <w:rPr>
                <w:b/>
                <w:sz w:val="20"/>
              </w:rPr>
              <w:t>Barclays (Chair’s office)</w:t>
            </w:r>
          </w:p>
        </w:tc>
      </w:tr>
      <w:tr>
        <w:trPr>
          <w:trHeight w:val="300" w:hRule="atLeast"/>
        </w:trPr>
        <w:tc>
          <w:tcPr>
            <w:tcW w:w="2704" w:type="dxa"/>
          </w:tcPr>
          <w:p>
            <w:pPr>
              <w:pStyle w:val="TableParagraph"/>
              <w:spacing w:before="32"/>
              <w:rPr>
                <w:sz w:val="20"/>
              </w:rPr>
            </w:pPr>
            <w:r>
              <w:rPr>
                <w:sz w:val="20"/>
              </w:rPr>
              <w:t>Mike Manna</w:t>
            </w:r>
          </w:p>
        </w:tc>
        <w:tc>
          <w:tcPr>
            <w:tcW w:w="3936" w:type="dxa"/>
          </w:tcPr>
          <w:p>
            <w:pPr>
              <w:pStyle w:val="TableParagraph"/>
              <w:ind w:left="472"/>
              <w:rPr>
                <w:b/>
                <w:sz w:val="20"/>
              </w:rPr>
            </w:pPr>
            <w:r>
              <w:rPr>
                <w:b/>
                <w:sz w:val="20"/>
              </w:rPr>
              <w:t>Barclays</w:t>
            </w:r>
          </w:p>
        </w:tc>
      </w:tr>
      <w:tr>
        <w:trPr>
          <w:trHeight w:val="300" w:hRule="atLeast"/>
        </w:trPr>
        <w:tc>
          <w:tcPr>
            <w:tcW w:w="2704" w:type="dxa"/>
          </w:tcPr>
          <w:p>
            <w:pPr>
              <w:pStyle w:val="TableParagraph"/>
              <w:spacing w:before="32"/>
              <w:rPr>
                <w:sz w:val="20"/>
              </w:rPr>
            </w:pPr>
            <w:r>
              <w:rPr>
                <w:sz w:val="20"/>
              </w:rPr>
              <w:t>Bruno Chauviere</w:t>
            </w:r>
          </w:p>
        </w:tc>
        <w:tc>
          <w:tcPr>
            <w:tcW w:w="3936" w:type="dxa"/>
          </w:tcPr>
          <w:p>
            <w:pPr>
              <w:pStyle w:val="TableParagraph"/>
              <w:ind w:left="472"/>
              <w:rPr>
                <w:b/>
                <w:sz w:val="20"/>
              </w:rPr>
            </w:pPr>
            <w:r>
              <w:rPr>
                <w:b/>
                <w:sz w:val="20"/>
              </w:rPr>
              <w:t>BNP Paribas</w:t>
            </w:r>
          </w:p>
        </w:tc>
      </w:tr>
      <w:tr>
        <w:trPr>
          <w:trHeight w:val="300" w:hRule="atLeast"/>
        </w:trPr>
        <w:tc>
          <w:tcPr>
            <w:tcW w:w="2704" w:type="dxa"/>
          </w:tcPr>
          <w:p>
            <w:pPr>
              <w:pStyle w:val="TableParagraph"/>
              <w:spacing w:before="32"/>
              <w:rPr>
                <w:sz w:val="20"/>
              </w:rPr>
            </w:pPr>
            <w:r>
              <w:rPr>
                <w:sz w:val="20"/>
              </w:rPr>
              <w:t>Alain Verdickt</w:t>
            </w:r>
          </w:p>
        </w:tc>
        <w:tc>
          <w:tcPr>
            <w:tcW w:w="3936" w:type="dxa"/>
          </w:tcPr>
          <w:p>
            <w:pPr>
              <w:pStyle w:val="TableParagraph"/>
              <w:ind w:left="472"/>
              <w:rPr>
                <w:b/>
                <w:sz w:val="20"/>
              </w:rPr>
            </w:pPr>
            <w:r>
              <w:rPr>
                <w:b/>
                <w:sz w:val="20"/>
              </w:rPr>
              <w:t>Citigroup</w:t>
            </w:r>
          </w:p>
        </w:tc>
      </w:tr>
      <w:tr>
        <w:trPr>
          <w:trHeight w:val="300" w:hRule="atLeast"/>
        </w:trPr>
        <w:tc>
          <w:tcPr>
            <w:tcW w:w="2704" w:type="dxa"/>
          </w:tcPr>
          <w:p>
            <w:pPr>
              <w:pStyle w:val="TableParagraph"/>
              <w:spacing w:before="32"/>
              <w:rPr>
                <w:sz w:val="20"/>
              </w:rPr>
            </w:pPr>
            <w:r>
              <w:rPr>
                <w:sz w:val="20"/>
              </w:rPr>
              <w:t>Stephen Randall</w:t>
            </w:r>
          </w:p>
        </w:tc>
        <w:tc>
          <w:tcPr>
            <w:tcW w:w="3936" w:type="dxa"/>
          </w:tcPr>
          <w:p>
            <w:pPr>
              <w:pStyle w:val="TableParagraph"/>
              <w:ind w:left="472"/>
              <w:rPr>
                <w:b/>
                <w:sz w:val="20"/>
              </w:rPr>
            </w:pPr>
            <w:r>
              <w:rPr>
                <w:b/>
                <w:sz w:val="20"/>
              </w:rPr>
              <w:t>Citigroup</w:t>
            </w:r>
          </w:p>
        </w:tc>
      </w:tr>
      <w:tr>
        <w:trPr>
          <w:trHeight w:val="300" w:hRule="atLeast"/>
        </w:trPr>
        <w:tc>
          <w:tcPr>
            <w:tcW w:w="2704" w:type="dxa"/>
          </w:tcPr>
          <w:p>
            <w:pPr>
              <w:pStyle w:val="TableParagraph"/>
              <w:spacing w:before="32"/>
              <w:rPr>
                <w:sz w:val="20"/>
              </w:rPr>
            </w:pPr>
            <w:r>
              <w:rPr>
                <w:sz w:val="20"/>
              </w:rPr>
              <w:t>Arif Merali</w:t>
            </w:r>
          </w:p>
        </w:tc>
        <w:tc>
          <w:tcPr>
            <w:tcW w:w="3936" w:type="dxa"/>
          </w:tcPr>
          <w:p>
            <w:pPr>
              <w:pStyle w:val="TableParagraph"/>
              <w:ind w:left="472"/>
              <w:rPr>
                <w:b/>
                <w:sz w:val="20"/>
              </w:rPr>
            </w:pPr>
            <w:r>
              <w:rPr>
                <w:b/>
                <w:sz w:val="20"/>
              </w:rPr>
              <w:t>Credit Suisse</w:t>
            </w:r>
          </w:p>
        </w:tc>
      </w:tr>
      <w:tr>
        <w:trPr>
          <w:trHeight w:val="300" w:hRule="atLeast"/>
        </w:trPr>
        <w:tc>
          <w:tcPr>
            <w:tcW w:w="2704" w:type="dxa"/>
          </w:tcPr>
          <w:p>
            <w:pPr>
              <w:pStyle w:val="TableParagraph"/>
              <w:spacing w:before="32"/>
              <w:rPr>
                <w:sz w:val="20"/>
              </w:rPr>
            </w:pPr>
            <w:r>
              <w:rPr>
                <w:sz w:val="20"/>
              </w:rPr>
              <w:t>John Hilty</w:t>
            </w:r>
          </w:p>
        </w:tc>
        <w:tc>
          <w:tcPr>
            <w:tcW w:w="3936" w:type="dxa"/>
          </w:tcPr>
          <w:p>
            <w:pPr>
              <w:pStyle w:val="TableParagraph"/>
              <w:ind w:left="472"/>
              <w:rPr>
                <w:b/>
                <w:sz w:val="20"/>
              </w:rPr>
            </w:pPr>
            <w:r>
              <w:rPr>
                <w:b/>
                <w:sz w:val="20"/>
              </w:rPr>
              <w:t>Deutsche Bank</w:t>
            </w:r>
          </w:p>
        </w:tc>
      </w:tr>
      <w:tr>
        <w:trPr>
          <w:trHeight w:val="300" w:hRule="atLeast"/>
        </w:trPr>
        <w:tc>
          <w:tcPr>
            <w:tcW w:w="2704" w:type="dxa"/>
          </w:tcPr>
          <w:p>
            <w:pPr>
              <w:pStyle w:val="TableParagraph"/>
              <w:spacing w:before="32"/>
              <w:rPr>
                <w:sz w:val="20"/>
              </w:rPr>
            </w:pPr>
            <w:r>
              <w:rPr>
                <w:sz w:val="20"/>
              </w:rPr>
              <w:t>Ryan Sbarra</w:t>
            </w:r>
          </w:p>
        </w:tc>
        <w:tc>
          <w:tcPr>
            <w:tcW w:w="3936" w:type="dxa"/>
          </w:tcPr>
          <w:p>
            <w:pPr>
              <w:pStyle w:val="TableParagraph"/>
              <w:ind w:left="472"/>
              <w:rPr>
                <w:b/>
                <w:sz w:val="20"/>
              </w:rPr>
            </w:pPr>
            <w:r>
              <w:rPr>
                <w:b/>
                <w:sz w:val="20"/>
              </w:rPr>
              <w:t>Deutsche Bank</w:t>
            </w:r>
          </w:p>
        </w:tc>
      </w:tr>
      <w:tr>
        <w:trPr>
          <w:trHeight w:val="300" w:hRule="atLeast"/>
        </w:trPr>
        <w:tc>
          <w:tcPr>
            <w:tcW w:w="2704" w:type="dxa"/>
          </w:tcPr>
          <w:p>
            <w:pPr>
              <w:pStyle w:val="TableParagraph"/>
              <w:spacing w:before="32"/>
              <w:rPr>
                <w:sz w:val="20"/>
              </w:rPr>
            </w:pPr>
            <w:r>
              <w:rPr>
                <w:sz w:val="20"/>
              </w:rPr>
              <w:t>Nikhil Choraria</w:t>
            </w:r>
          </w:p>
        </w:tc>
        <w:tc>
          <w:tcPr>
            <w:tcW w:w="3936" w:type="dxa"/>
          </w:tcPr>
          <w:p>
            <w:pPr>
              <w:pStyle w:val="TableParagraph"/>
              <w:ind w:left="472"/>
              <w:rPr>
                <w:b/>
                <w:sz w:val="20"/>
              </w:rPr>
            </w:pPr>
            <w:r>
              <w:rPr>
                <w:b/>
                <w:sz w:val="20"/>
              </w:rPr>
              <w:t>Goldman Sachs</w:t>
            </w:r>
          </w:p>
        </w:tc>
      </w:tr>
      <w:tr>
        <w:trPr>
          <w:trHeight w:val="300" w:hRule="atLeast"/>
        </w:trPr>
        <w:tc>
          <w:tcPr>
            <w:tcW w:w="2704" w:type="dxa"/>
          </w:tcPr>
          <w:p>
            <w:pPr>
              <w:pStyle w:val="TableParagraph"/>
              <w:spacing w:before="32"/>
              <w:rPr>
                <w:sz w:val="20"/>
              </w:rPr>
            </w:pPr>
            <w:r>
              <w:rPr>
                <w:sz w:val="20"/>
              </w:rPr>
              <w:t>Michael Graham</w:t>
            </w:r>
          </w:p>
        </w:tc>
        <w:tc>
          <w:tcPr>
            <w:tcW w:w="3936" w:type="dxa"/>
          </w:tcPr>
          <w:p>
            <w:pPr>
              <w:pStyle w:val="TableParagraph"/>
              <w:ind w:left="472"/>
              <w:rPr>
                <w:b/>
                <w:sz w:val="20"/>
              </w:rPr>
            </w:pPr>
            <w:r>
              <w:rPr>
                <w:b/>
                <w:sz w:val="20"/>
              </w:rPr>
              <w:t>Goldman Sachs</w:t>
            </w:r>
          </w:p>
        </w:tc>
      </w:tr>
      <w:tr>
        <w:trPr>
          <w:trHeight w:val="300" w:hRule="atLeast"/>
        </w:trPr>
        <w:tc>
          <w:tcPr>
            <w:tcW w:w="2704" w:type="dxa"/>
          </w:tcPr>
          <w:p>
            <w:pPr>
              <w:pStyle w:val="TableParagraph"/>
              <w:spacing w:before="33"/>
              <w:rPr>
                <w:sz w:val="20"/>
              </w:rPr>
            </w:pPr>
            <w:r>
              <w:rPr>
                <w:sz w:val="20"/>
              </w:rPr>
              <w:t>Glenn Handley</w:t>
            </w:r>
          </w:p>
        </w:tc>
        <w:tc>
          <w:tcPr>
            <w:tcW w:w="3936" w:type="dxa"/>
          </w:tcPr>
          <w:p>
            <w:pPr>
              <w:pStyle w:val="TableParagraph"/>
              <w:ind w:left="472"/>
              <w:rPr>
                <w:b/>
                <w:sz w:val="20"/>
              </w:rPr>
            </w:pPr>
            <w:r>
              <w:rPr>
                <w:b/>
                <w:sz w:val="20"/>
              </w:rPr>
              <w:t>HSBC</w:t>
            </w:r>
          </w:p>
        </w:tc>
      </w:tr>
      <w:tr>
        <w:trPr>
          <w:trHeight w:val="300" w:hRule="atLeast"/>
        </w:trPr>
        <w:tc>
          <w:tcPr>
            <w:tcW w:w="2704" w:type="dxa"/>
          </w:tcPr>
          <w:p>
            <w:pPr>
              <w:pStyle w:val="TableParagraph"/>
              <w:spacing w:before="32"/>
              <w:rPr>
                <w:sz w:val="20"/>
              </w:rPr>
            </w:pPr>
            <w:r>
              <w:rPr>
                <w:sz w:val="20"/>
              </w:rPr>
              <w:t>Ian Fox</w:t>
            </w:r>
          </w:p>
        </w:tc>
        <w:tc>
          <w:tcPr>
            <w:tcW w:w="3936" w:type="dxa"/>
          </w:tcPr>
          <w:p>
            <w:pPr>
              <w:pStyle w:val="TableParagraph"/>
              <w:ind w:left="472"/>
              <w:rPr>
                <w:b/>
                <w:sz w:val="20"/>
              </w:rPr>
            </w:pPr>
            <w:r>
              <w:rPr>
                <w:b/>
                <w:sz w:val="20"/>
              </w:rPr>
              <w:t>Lloyds</w:t>
            </w:r>
          </w:p>
        </w:tc>
      </w:tr>
      <w:tr>
        <w:trPr>
          <w:trHeight w:val="300" w:hRule="atLeast"/>
        </w:trPr>
        <w:tc>
          <w:tcPr>
            <w:tcW w:w="2704" w:type="dxa"/>
          </w:tcPr>
          <w:p>
            <w:pPr>
              <w:pStyle w:val="TableParagraph"/>
              <w:spacing w:before="32"/>
              <w:rPr>
                <w:sz w:val="20"/>
              </w:rPr>
            </w:pPr>
            <w:r>
              <w:rPr>
                <w:sz w:val="20"/>
              </w:rPr>
              <w:t>Freddie Napier</w:t>
            </w:r>
          </w:p>
        </w:tc>
        <w:tc>
          <w:tcPr>
            <w:tcW w:w="3936" w:type="dxa"/>
          </w:tcPr>
          <w:p>
            <w:pPr>
              <w:pStyle w:val="TableParagraph"/>
              <w:ind w:left="472"/>
              <w:rPr>
                <w:b/>
                <w:sz w:val="20"/>
              </w:rPr>
            </w:pPr>
            <w:r>
              <w:rPr>
                <w:b/>
                <w:sz w:val="20"/>
              </w:rPr>
              <w:t>Morgan Stanley</w:t>
            </w:r>
          </w:p>
        </w:tc>
      </w:tr>
      <w:tr>
        <w:trPr>
          <w:trHeight w:val="300" w:hRule="atLeast"/>
        </w:trPr>
        <w:tc>
          <w:tcPr>
            <w:tcW w:w="2704" w:type="dxa"/>
          </w:tcPr>
          <w:p>
            <w:pPr>
              <w:pStyle w:val="TableParagraph"/>
              <w:spacing w:before="32"/>
              <w:rPr>
                <w:sz w:val="20"/>
              </w:rPr>
            </w:pPr>
            <w:r>
              <w:rPr>
                <w:sz w:val="20"/>
              </w:rPr>
              <w:t>Mike Curtis</w:t>
            </w:r>
          </w:p>
        </w:tc>
        <w:tc>
          <w:tcPr>
            <w:tcW w:w="3936" w:type="dxa"/>
          </w:tcPr>
          <w:p>
            <w:pPr>
              <w:pStyle w:val="TableParagraph"/>
              <w:ind w:left="472"/>
              <w:rPr>
                <w:b/>
                <w:sz w:val="20"/>
              </w:rPr>
            </w:pPr>
            <w:r>
              <w:rPr>
                <w:b/>
                <w:sz w:val="20"/>
              </w:rPr>
              <w:t>Nomura</w:t>
            </w:r>
          </w:p>
        </w:tc>
      </w:tr>
      <w:tr>
        <w:trPr>
          <w:trHeight w:val="300" w:hRule="atLeast"/>
        </w:trPr>
        <w:tc>
          <w:tcPr>
            <w:tcW w:w="2704" w:type="dxa"/>
          </w:tcPr>
          <w:p>
            <w:pPr>
              <w:pStyle w:val="TableParagraph"/>
              <w:spacing w:before="32"/>
              <w:rPr>
                <w:sz w:val="20"/>
              </w:rPr>
            </w:pPr>
            <w:r>
              <w:rPr>
                <w:sz w:val="20"/>
              </w:rPr>
              <w:t>Toby Stevenson</w:t>
            </w:r>
          </w:p>
        </w:tc>
        <w:tc>
          <w:tcPr>
            <w:tcW w:w="3936" w:type="dxa"/>
          </w:tcPr>
          <w:p>
            <w:pPr>
              <w:pStyle w:val="TableParagraph"/>
              <w:ind w:left="472"/>
              <w:rPr>
                <w:b/>
                <w:sz w:val="20"/>
              </w:rPr>
            </w:pPr>
            <w:r>
              <w:rPr>
                <w:b/>
                <w:sz w:val="20"/>
              </w:rPr>
              <w:t>Royal Bank of Scotland</w:t>
            </w:r>
          </w:p>
        </w:tc>
      </w:tr>
      <w:tr>
        <w:trPr>
          <w:trHeight w:val="300" w:hRule="atLeast"/>
        </w:trPr>
        <w:tc>
          <w:tcPr>
            <w:tcW w:w="2704" w:type="dxa"/>
          </w:tcPr>
          <w:p>
            <w:pPr>
              <w:pStyle w:val="TableParagraph"/>
              <w:spacing w:before="32"/>
              <w:rPr>
                <w:sz w:val="20"/>
              </w:rPr>
            </w:pPr>
            <w:r>
              <w:rPr>
                <w:sz w:val="20"/>
              </w:rPr>
              <w:t>David Bradley</w:t>
            </w:r>
          </w:p>
        </w:tc>
        <w:tc>
          <w:tcPr>
            <w:tcW w:w="3936" w:type="dxa"/>
          </w:tcPr>
          <w:p>
            <w:pPr>
              <w:pStyle w:val="TableParagraph"/>
              <w:ind w:left="472"/>
              <w:rPr>
                <w:b/>
                <w:sz w:val="20"/>
              </w:rPr>
            </w:pPr>
            <w:r>
              <w:rPr>
                <w:b/>
                <w:sz w:val="20"/>
              </w:rPr>
              <w:t>Royal Bank of Scotland</w:t>
            </w:r>
          </w:p>
        </w:tc>
      </w:tr>
      <w:tr>
        <w:trPr>
          <w:trHeight w:val="300" w:hRule="atLeast"/>
        </w:trPr>
        <w:tc>
          <w:tcPr>
            <w:tcW w:w="2704" w:type="dxa"/>
          </w:tcPr>
          <w:p>
            <w:pPr>
              <w:pStyle w:val="TableParagraph"/>
              <w:spacing w:before="32"/>
              <w:rPr>
                <w:sz w:val="20"/>
              </w:rPr>
            </w:pPr>
            <w:r>
              <w:rPr>
                <w:sz w:val="20"/>
              </w:rPr>
              <w:t>Paul Barnes</w:t>
            </w:r>
          </w:p>
        </w:tc>
        <w:tc>
          <w:tcPr>
            <w:tcW w:w="3936" w:type="dxa"/>
          </w:tcPr>
          <w:p>
            <w:pPr>
              <w:pStyle w:val="TableParagraph"/>
              <w:ind w:left="472"/>
              <w:rPr>
                <w:b/>
                <w:sz w:val="20"/>
              </w:rPr>
            </w:pPr>
            <w:r>
              <w:rPr>
                <w:b/>
                <w:sz w:val="20"/>
              </w:rPr>
              <w:t>Santander</w:t>
            </w:r>
          </w:p>
        </w:tc>
      </w:tr>
      <w:tr>
        <w:trPr>
          <w:trHeight w:val="300" w:hRule="atLeast"/>
        </w:trPr>
        <w:tc>
          <w:tcPr>
            <w:tcW w:w="2704" w:type="dxa"/>
          </w:tcPr>
          <w:p>
            <w:pPr>
              <w:pStyle w:val="TableParagraph"/>
              <w:spacing w:before="32"/>
              <w:rPr>
                <w:sz w:val="20"/>
              </w:rPr>
            </w:pPr>
            <w:r>
              <w:rPr>
                <w:sz w:val="20"/>
              </w:rPr>
              <w:t>Chirag Dave</w:t>
            </w:r>
          </w:p>
        </w:tc>
        <w:tc>
          <w:tcPr>
            <w:tcW w:w="3936" w:type="dxa"/>
          </w:tcPr>
          <w:p>
            <w:pPr>
              <w:pStyle w:val="TableParagraph"/>
              <w:ind w:left="472"/>
              <w:rPr>
                <w:b/>
                <w:sz w:val="20"/>
              </w:rPr>
            </w:pPr>
            <w:r>
              <w:rPr>
                <w:b/>
                <w:sz w:val="20"/>
              </w:rPr>
              <w:t>UBS</w:t>
            </w:r>
          </w:p>
        </w:tc>
      </w:tr>
      <w:tr>
        <w:trPr>
          <w:trHeight w:val="300" w:hRule="atLeast"/>
        </w:trPr>
        <w:tc>
          <w:tcPr>
            <w:tcW w:w="2704" w:type="dxa"/>
          </w:tcPr>
          <w:p>
            <w:pPr>
              <w:pStyle w:val="TableParagraph"/>
              <w:spacing w:before="32"/>
              <w:rPr>
                <w:sz w:val="20"/>
              </w:rPr>
            </w:pPr>
            <w:r>
              <w:rPr>
                <w:sz w:val="20"/>
              </w:rPr>
              <w:t>Catherine Farrer</w:t>
            </w:r>
          </w:p>
        </w:tc>
        <w:tc>
          <w:tcPr>
            <w:tcW w:w="3936" w:type="dxa"/>
          </w:tcPr>
          <w:p>
            <w:pPr>
              <w:pStyle w:val="TableParagraph"/>
              <w:ind w:left="472"/>
              <w:rPr>
                <w:b/>
                <w:sz w:val="20"/>
              </w:rPr>
            </w:pPr>
            <w:r>
              <w:rPr>
                <w:b/>
                <w:sz w:val="20"/>
              </w:rPr>
              <w:t>ISDA (Observer only)</w:t>
            </w:r>
          </w:p>
        </w:tc>
      </w:tr>
      <w:tr>
        <w:trPr>
          <w:trHeight w:val="300" w:hRule="atLeast"/>
        </w:trPr>
        <w:tc>
          <w:tcPr>
            <w:tcW w:w="2704" w:type="dxa"/>
          </w:tcPr>
          <w:p>
            <w:pPr>
              <w:pStyle w:val="TableParagraph"/>
              <w:spacing w:before="32"/>
              <w:rPr>
                <w:sz w:val="20"/>
              </w:rPr>
            </w:pPr>
            <w:r>
              <w:rPr>
                <w:sz w:val="20"/>
              </w:rPr>
              <w:t>Philip Whitehurst</w:t>
            </w:r>
          </w:p>
        </w:tc>
        <w:tc>
          <w:tcPr>
            <w:tcW w:w="3936" w:type="dxa"/>
          </w:tcPr>
          <w:p>
            <w:pPr>
              <w:pStyle w:val="TableParagraph"/>
              <w:ind w:left="472"/>
              <w:rPr>
                <w:b/>
                <w:sz w:val="20"/>
              </w:rPr>
            </w:pPr>
            <w:r>
              <w:rPr>
                <w:b/>
                <w:sz w:val="20"/>
              </w:rPr>
              <w:t>LCH.Clearnet (Observer only)</w:t>
            </w:r>
          </w:p>
        </w:tc>
      </w:tr>
      <w:tr>
        <w:trPr>
          <w:trHeight w:val="300" w:hRule="atLeast"/>
        </w:trPr>
        <w:tc>
          <w:tcPr>
            <w:tcW w:w="2704" w:type="dxa"/>
          </w:tcPr>
          <w:p>
            <w:pPr>
              <w:pStyle w:val="TableParagraph"/>
              <w:spacing w:before="32"/>
              <w:rPr>
                <w:sz w:val="20"/>
              </w:rPr>
            </w:pPr>
            <w:r>
              <w:rPr>
                <w:sz w:val="20"/>
              </w:rPr>
              <w:t>John Edwards</w:t>
            </w:r>
          </w:p>
        </w:tc>
        <w:tc>
          <w:tcPr>
            <w:tcW w:w="3936" w:type="dxa"/>
          </w:tcPr>
          <w:p>
            <w:pPr>
              <w:pStyle w:val="TableParagraph"/>
              <w:ind w:left="472"/>
              <w:rPr>
                <w:b/>
                <w:sz w:val="20"/>
              </w:rPr>
            </w:pPr>
            <w:r>
              <w:rPr>
                <w:b/>
                <w:sz w:val="20"/>
              </w:rPr>
              <w:t>EBS Brokertec (Guest)</w:t>
            </w:r>
          </w:p>
        </w:tc>
      </w:tr>
      <w:tr>
        <w:trPr>
          <w:trHeight w:val="262" w:hRule="atLeast"/>
        </w:trPr>
        <w:tc>
          <w:tcPr>
            <w:tcW w:w="2704" w:type="dxa"/>
          </w:tcPr>
          <w:p>
            <w:pPr>
              <w:pStyle w:val="TableParagraph"/>
              <w:spacing w:line="210" w:lineRule="exact" w:before="32"/>
              <w:rPr>
                <w:sz w:val="20"/>
              </w:rPr>
            </w:pPr>
            <w:r>
              <w:rPr>
                <w:sz w:val="20"/>
              </w:rPr>
              <w:t>Jan de Smedt</w:t>
            </w:r>
          </w:p>
        </w:tc>
        <w:tc>
          <w:tcPr>
            <w:tcW w:w="3936" w:type="dxa"/>
          </w:tcPr>
          <w:p>
            <w:pPr>
              <w:pStyle w:val="TableParagraph"/>
              <w:spacing w:line="212" w:lineRule="exact"/>
              <w:ind w:left="472"/>
              <w:rPr>
                <w:b/>
                <w:sz w:val="20"/>
              </w:rPr>
            </w:pPr>
            <w:r>
              <w:rPr>
                <w:b/>
                <w:sz w:val="20"/>
              </w:rPr>
              <w:t>ICAP Information Services (Guest)</w:t>
            </w:r>
          </w:p>
        </w:tc>
      </w:tr>
    </w:tbl>
    <w:p>
      <w:pPr>
        <w:pStyle w:val="BodyText"/>
        <w:rPr>
          <w:b/>
          <w:sz w:val="22"/>
        </w:rPr>
      </w:pPr>
    </w:p>
    <w:p>
      <w:pPr>
        <w:pStyle w:val="BodyText"/>
        <w:rPr>
          <w:b/>
          <w:sz w:val="22"/>
        </w:rPr>
      </w:pPr>
    </w:p>
    <w:p>
      <w:pPr>
        <w:pStyle w:val="BodyText"/>
        <w:spacing w:before="6"/>
        <w:rPr>
          <w:b/>
          <w:sz w:val="25"/>
        </w:rPr>
      </w:pPr>
    </w:p>
    <w:p>
      <w:pPr>
        <w:spacing w:before="0"/>
        <w:ind w:left="200" w:right="0" w:firstLine="0"/>
        <w:jc w:val="left"/>
        <w:rPr>
          <w:b/>
          <w:sz w:val="20"/>
        </w:rPr>
      </w:pPr>
      <w:r>
        <w:rPr>
          <w:b/>
          <w:sz w:val="20"/>
        </w:rPr>
        <w:t>Official sector</w:t>
      </w:r>
      <w:r>
        <w:rPr>
          <w:b/>
          <w:spacing w:val="-12"/>
          <w:sz w:val="20"/>
        </w:rPr>
        <w:t> </w:t>
      </w:r>
      <w:r>
        <w:rPr>
          <w:b/>
          <w:sz w:val="20"/>
        </w:rPr>
        <w:t>attendees</w:t>
      </w:r>
    </w:p>
    <w:p>
      <w:pPr>
        <w:pStyle w:val="BodyText"/>
        <w:spacing w:before="10"/>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3564"/>
      </w:tblGrid>
      <w:tr>
        <w:trPr>
          <w:trHeight w:val="262" w:hRule="atLeast"/>
        </w:trPr>
        <w:tc>
          <w:tcPr>
            <w:tcW w:w="2487" w:type="dxa"/>
          </w:tcPr>
          <w:p>
            <w:pPr>
              <w:pStyle w:val="TableParagraph"/>
              <w:spacing w:line="225" w:lineRule="exact" w:before="0"/>
              <w:rPr>
                <w:sz w:val="20"/>
              </w:rPr>
            </w:pPr>
            <w:r>
              <w:rPr>
                <w:sz w:val="20"/>
              </w:rPr>
              <w:t>Ed Ocampo</w:t>
            </w:r>
          </w:p>
        </w:tc>
        <w:tc>
          <w:tcPr>
            <w:tcW w:w="3564" w:type="dxa"/>
          </w:tcPr>
          <w:p>
            <w:pPr>
              <w:pStyle w:val="TableParagraph"/>
              <w:spacing w:line="223" w:lineRule="exact" w:before="0"/>
              <w:ind w:left="689"/>
              <w:rPr>
                <w:b/>
                <w:sz w:val="20"/>
              </w:rPr>
            </w:pPr>
            <w:r>
              <w:rPr>
                <w:b/>
                <w:sz w:val="20"/>
              </w:rPr>
              <w:t>Bank of England</w:t>
            </w:r>
          </w:p>
        </w:tc>
      </w:tr>
      <w:tr>
        <w:trPr>
          <w:trHeight w:val="300" w:hRule="atLeast"/>
        </w:trPr>
        <w:tc>
          <w:tcPr>
            <w:tcW w:w="2487" w:type="dxa"/>
          </w:tcPr>
          <w:p>
            <w:pPr>
              <w:pStyle w:val="TableParagraph"/>
              <w:spacing w:before="32"/>
              <w:rPr>
                <w:sz w:val="20"/>
              </w:rPr>
            </w:pPr>
            <w:r>
              <w:rPr>
                <w:sz w:val="20"/>
              </w:rPr>
              <w:t>Tim Taylor</w:t>
            </w:r>
          </w:p>
        </w:tc>
        <w:tc>
          <w:tcPr>
            <w:tcW w:w="3564" w:type="dxa"/>
          </w:tcPr>
          <w:p>
            <w:pPr>
              <w:pStyle w:val="TableParagraph"/>
              <w:ind w:left="689"/>
              <w:rPr>
                <w:b/>
                <w:sz w:val="20"/>
              </w:rPr>
            </w:pPr>
            <w:r>
              <w:rPr>
                <w:b/>
                <w:sz w:val="20"/>
              </w:rPr>
              <w:t>Bank of England</w:t>
            </w:r>
          </w:p>
        </w:tc>
      </w:tr>
      <w:tr>
        <w:trPr>
          <w:trHeight w:val="300" w:hRule="atLeast"/>
        </w:trPr>
        <w:tc>
          <w:tcPr>
            <w:tcW w:w="2487" w:type="dxa"/>
          </w:tcPr>
          <w:p>
            <w:pPr>
              <w:pStyle w:val="TableParagraph"/>
              <w:spacing w:before="32"/>
              <w:rPr>
                <w:sz w:val="20"/>
              </w:rPr>
            </w:pPr>
            <w:r>
              <w:rPr>
                <w:sz w:val="20"/>
              </w:rPr>
              <w:t>Will Parry</w:t>
            </w:r>
          </w:p>
        </w:tc>
        <w:tc>
          <w:tcPr>
            <w:tcW w:w="3564" w:type="dxa"/>
          </w:tcPr>
          <w:p>
            <w:pPr>
              <w:pStyle w:val="TableParagraph"/>
              <w:ind w:left="689"/>
              <w:rPr>
                <w:b/>
                <w:sz w:val="20"/>
              </w:rPr>
            </w:pPr>
            <w:r>
              <w:rPr>
                <w:b/>
                <w:sz w:val="20"/>
              </w:rPr>
              <w:t>Bank of England</w:t>
            </w:r>
          </w:p>
        </w:tc>
      </w:tr>
      <w:tr>
        <w:trPr>
          <w:trHeight w:val="299" w:hRule="atLeast"/>
        </w:trPr>
        <w:tc>
          <w:tcPr>
            <w:tcW w:w="2487" w:type="dxa"/>
          </w:tcPr>
          <w:p>
            <w:pPr>
              <w:pStyle w:val="TableParagraph"/>
              <w:spacing w:before="32"/>
              <w:rPr>
                <w:sz w:val="20"/>
              </w:rPr>
            </w:pPr>
            <w:r>
              <w:rPr>
                <w:sz w:val="20"/>
              </w:rPr>
              <w:t>Rob Harris</w:t>
            </w:r>
          </w:p>
        </w:tc>
        <w:tc>
          <w:tcPr>
            <w:tcW w:w="3564" w:type="dxa"/>
          </w:tcPr>
          <w:p>
            <w:pPr>
              <w:pStyle w:val="TableParagraph"/>
              <w:ind w:left="689"/>
              <w:rPr>
                <w:b/>
                <w:sz w:val="20"/>
              </w:rPr>
            </w:pPr>
            <w:r>
              <w:rPr>
                <w:b/>
                <w:sz w:val="20"/>
              </w:rPr>
              <w:t>Bank of England</w:t>
            </w:r>
          </w:p>
        </w:tc>
      </w:tr>
      <w:tr>
        <w:trPr>
          <w:trHeight w:val="300" w:hRule="atLeast"/>
        </w:trPr>
        <w:tc>
          <w:tcPr>
            <w:tcW w:w="2487" w:type="dxa"/>
          </w:tcPr>
          <w:p>
            <w:pPr>
              <w:pStyle w:val="TableParagraph"/>
              <w:spacing w:before="32"/>
              <w:rPr>
                <w:sz w:val="20"/>
              </w:rPr>
            </w:pPr>
            <w:r>
              <w:rPr>
                <w:sz w:val="20"/>
              </w:rPr>
              <w:t>Renée Horrell</w:t>
            </w:r>
          </w:p>
        </w:tc>
        <w:tc>
          <w:tcPr>
            <w:tcW w:w="3564" w:type="dxa"/>
          </w:tcPr>
          <w:p>
            <w:pPr>
              <w:pStyle w:val="TableParagraph"/>
              <w:ind w:left="689"/>
              <w:rPr>
                <w:b/>
                <w:sz w:val="20"/>
              </w:rPr>
            </w:pPr>
            <w:r>
              <w:rPr>
                <w:b/>
                <w:sz w:val="20"/>
              </w:rPr>
              <w:t>Bank of England</w:t>
            </w:r>
          </w:p>
        </w:tc>
      </w:tr>
      <w:tr>
        <w:trPr>
          <w:trHeight w:val="300" w:hRule="atLeast"/>
        </w:trPr>
        <w:tc>
          <w:tcPr>
            <w:tcW w:w="2487" w:type="dxa"/>
          </w:tcPr>
          <w:p>
            <w:pPr>
              <w:pStyle w:val="TableParagraph"/>
              <w:spacing w:before="32"/>
              <w:rPr>
                <w:sz w:val="20"/>
              </w:rPr>
            </w:pPr>
            <w:r>
              <w:rPr>
                <w:sz w:val="20"/>
              </w:rPr>
              <w:t>Neel Acharya</w:t>
            </w:r>
          </w:p>
        </w:tc>
        <w:tc>
          <w:tcPr>
            <w:tcW w:w="3564" w:type="dxa"/>
          </w:tcPr>
          <w:p>
            <w:pPr>
              <w:pStyle w:val="TableParagraph"/>
              <w:ind w:left="689"/>
              <w:rPr>
                <w:b/>
                <w:sz w:val="20"/>
              </w:rPr>
            </w:pPr>
            <w:r>
              <w:rPr>
                <w:b/>
                <w:sz w:val="20"/>
              </w:rPr>
              <w:t>Bank of England</w:t>
            </w:r>
          </w:p>
        </w:tc>
      </w:tr>
      <w:tr>
        <w:trPr>
          <w:trHeight w:val="300" w:hRule="atLeast"/>
        </w:trPr>
        <w:tc>
          <w:tcPr>
            <w:tcW w:w="2487" w:type="dxa"/>
          </w:tcPr>
          <w:p>
            <w:pPr>
              <w:pStyle w:val="TableParagraph"/>
              <w:spacing w:before="32"/>
              <w:rPr>
                <w:sz w:val="20"/>
              </w:rPr>
            </w:pPr>
            <w:r>
              <w:rPr>
                <w:sz w:val="20"/>
              </w:rPr>
              <w:t>Devid Mazzonetto</w:t>
            </w:r>
          </w:p>
        </w:tc>
        <w:tc>
          <w:tcPr>
            <w:tcW w:w="3564" w:type="dxa"/>
          </w:tcPr>
          <w:p>
            <w:pPr>
              <w:pStyle w:val="TableParagraph"/>
              <w:ind w:left="689"/>
              <w:rPr>
                <w:b/>
                <w:sz w:val="20"/>
              </w:rPr>
            </w:pPr>
            <w:r>
              <w:rPr>
                <w:b/>
                <w:sz w:val="20"/>
              </w:rPr>
              <w:t>Financial Conduct Authority</w:t>
            </w:r>
          </w:p>
        </w:tc>
      </w:tr>
      <w:tr>
        <w:trPr>
          <w:trHeight w:val="262" w:hRule="atLeast"/>
        </w:trPr>
        <w:tc>
          <w:tcPr>
            <w:tcW w:w="2487" w:type="dxa"/>
          </w:tcPr>
          <w:p>
            <w:pPr>
              <w:pStyle w:val="TableParagraph"/>
              <w:spacing w:line="210" w:lineRule="exact" w:before="32"/>
              <w:rPr>
                <w:sz w:val="20"/>
              </w:rPr>
            </w:pPr>
            <w:r>
              <w:rPr>
                <w:sz w:val="20"/>
              </w:rPr>
              <w:t>Heather Pilley</w:t>
            </w:r>
          </w:p>
        </w:tc>
        <w:tc>
          <w:tcPr>
            <w:tcW w:w="3564" w:type="dxa"/>
          </w:tcPr>
          <w:p>
            <w:pPr>
              <w:pStyle w:val="TableParagraph"/>
              <w:spacing w:line="212" w:lineRule="exact"/>
              <w:ind w:left="689"/>
              <w:rPr>
                <w:b/>
                <w:sz w:val="20"/>
              </w:rPr>
            </w:pPr>
            <w:r>
              <w:rPr>
                <w:b/>
                <w:sz w:val="20"/>
              </w:rPr>
              <w:t>Financial Conduct Authority</w:t>
            </w:r>
          </w:p>
        </w:tc>
      </w:tr>
    </w:tbl>
    <w:sectPr>
      <w:pgSz w:w="11910" w:h="16840"/>
      <w:pgMar w:top="1340" w:bottom="280" w:left="12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0" w:hanging="428"/>
        <w:jc w:val="left"/>
      </w:pPr>
      <w:rPr>
        <w:rFonts w:hint="default" w:ascii="Arial" w:hAnsi="Arial" w:eastAsia="Arial" w:cs="Arial"/>
        <w:w w:val="99"/>
        <w:sz w:val="20"/>
        <w:szCs w:val="20"/>
        <w:lang w:val="en-gb" w:eastAsia="en-gb" w:bidi="en-gb"/>
      </w:rPr>
    </w:lvl>
    <w:lvl w:ilvl="1">
      <w:start w:val="1"/>
      <w:numFmt w:val="lowerRoman"/>
      <w:lvlText w:val="%2."/>
      <w:lvlJc w:val="left"/>
      <w:pPr>
        <w:ind w:left="908" w:hanging="449"/>
        <w:jc w:val="right"/>
      </w:pPr>
      <w:rPr>
        <w:rFonts w:hint="default" w:ascii="Arial" w:hAnsi="Arial" w:eastAsia="Arial" w:cs="Arial"/>
        <w:spacing w:val="-2"/>
        <w:w w:val="99"/>
        <w:sz w:val="20"/>
        <w:szCs w:val="20"/>
        <w:lang w:val="en-gb" w:eastAsia="en-gb" w:bidi="en-gb"/>
      </w:rPr>
    </w:lvl>
    <w:lvl w:ilvl="2">
      <w:start w:val="0"/>
      <w:numFmt w:val="bullet"/>
      <w:lvlText w:val="•"/>
      <w:lvlJc w:val="left"/>
      <w:pPr>
        <w:ind w:left="1869" w:hanging="449"/>
      </w:pPr>
      <w:rPr>
        <w:rFonts w:hint="default"/>
        <w:lang w:val="en-gb" w:eastAsia="en-gb" w:bidi="en-gb"/>
      </w:rPr>
    </w:lvl>
    <w:lvl w:ilvl="3">
      <w:start w:val="0"/>
      <w:numFmt w:val="bullet"/>
      <w:lvlText w:val="•"/>
      <w:lvlJc w:val="left"/>
      <w:pPr>
        <w:ind w:left="2839" w:hanging="449"/>
      </w:pPr>
      <w:rPr>
        <w:rFonts w:hint="default"/>
        <w:lang w:val="en-gb" w:eastAsia="en-gb" w:bidi="en-gb"/>
      </w:rPr>
    </w:lvl>
    <w:lvl w:ilvl="4">
      <w:start w:val="0"/>
      <w:numFmt w:val="bullet"/>
      <w:lvlText w:val="•"/>
      <w:lvlJc w:val="left"/>
      <w:pPr>
        <w:ind w:left="3808" w:hanging="449"/>
      </w:pPr>
      <w:rPr>
        <w:rFonts w:hint="default"/>
        <w:lang w:val="en-gb" w:eastAsia="en-gb" w:bidi="en-gb"/>
      </w:rPr>
    </w:lvl>
    <w:lvl w:ilvl="5">
      <w:start w:val="0"/>
      <w:numFmt w:val="bullet"/>
      <w:lvlText w:val="•"/>
      <w:lvlJc w:val="left"/>
      <w:pPr>
        <w:ind w:left="4778" w:hanging="449"/>
      </w:pPr>
      <w:rPr>
        <w:rFonts w:hint="default"/>
        <w:lang w:val="en-gb" w:eastAsia="en-gb" w:bidi="en-gb"/>
      </w:rPr>
    </w:lvl>
    <w:lvl w:ilvl="6">
      <w:start w:val="0"/>
      <w:numFmt w:val="bullet"/>
      <w:lvlText w:val="•"/>
      <w:lvlJc w:val="left"/>
      <w:pPr>
        <w:ind w:left="5748" w:hanging="449"/>
      </w:pPr>
      <w:rPr>
        <w:rFonts w:hint="default"/>
        <w:lang w:val="en-gb" w:eastAsia="en-gb" w:bidi="en-gb"/>
      </w:rPr>
    </w:lvl>
    <w:lvl w:ilvl="7">
      <w:start w:val="0"/>
      <w:numFmt w:val="bullet"/>
      <w:lvlText w:val="•"/>
      <w:lvlJc w:val="left"/>
      <w:pPr>
        <w:ind w:left="6717" w:hanging="449"/>
      </w:pPr>
      <w:rPr>
        <w:rFonts w:hint="default"/>
        <w:lang w:val="en-gb" w:eastAsia="en-gb" w:bidi="en-gb"/>
      </w:rPr>
    </w:lvl>
    <w:lvl w:ilvl="8">
      <w:start w:val="0"/>
      <w:numFmt w:val="bullet"/>
      <w:lvlText w:val="•"/>
      <w:lvlJc w:val="left"/>
      <w:pPr>
        <w:ind w:left="7687" w:hanging="449"/>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0"/>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Documents/records/fpc/pdf/2016/record1604.pdf"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 Working Group on Sterling Risk-Free Reference Rates </dc:title>
  <dcterms:created xsi:type="dcterms:W3CDTF">2020-06-01T02:22:31Z</dcterms:created>
  <dcterms:modified xsi:type="dcterms:W3CDTF">2020-06-01T02:22:31Z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2016-05-12T00:00:00Z</vt:filetime>
  </property>
  <property fmtid="{D5CDD505-2E9C-101B-9397-08002B2CF9AE}" pid="3" name="LastSaved">
    <vt:filetime>2020-06-01T00:00:00Z</vt:filetime>
  </property>
</Properties>
</file>