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960" w:right="877"/>
        <w:jc w:val="center"/>
      </w:pPr>
      <w:r>
        <w:rPr/>
        <w:t>Minutes of the Meeting of the Working Group on Sterling Risk-Free Reference Rates Tuesday 12 December 2017</w:t>
      </w:r>
    </w:p>
    <w:p>
      <w:pPr>
        <w:spacing w:before="4"/>
        <w:ind w:left="959" w:right="877" w:firstLine="0"/>
        <w:jc w:val="center"/>
        <w:rPr>
          <w:b/>
          <w:sz w:val="20"/>
        </w:rPr>
      </w:pPr>
      <w:r>
        <w:rPr>
          <w:b/>
          <w:sz w:val="20"/>
        </w:rPr>
        <w:t>Barclays’ offices – 5 North Colonnade</w:t>
      </w:r>
    </w:p>
    <w:p>
      <w:pPr>
        <w:pStyle w:val="BodyText"/>
        <w:spacing w:before="11"/>
        <w:rPr>
          <w:b/>
          <w:sz w:val="30"/>
        </w:rPr>
      </w:pPr>
    </w:p>
    <w:p>
      <w:pPr>
        <w:spacing w:before="0"/>
        <w:ind w:left="197"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4" w:val="left" w:leader="none"/>
          <w:tab w:pos="625" w:val="left" w:leader="none"/>
        </w:tabs>
        <w:spacing w:line="360" w:lineRule="auto" w:before="0" w:after="0"/>
        <w:ind w:left="197" w:right="452" w:firstLine="0"/>
        <w:jc w:val="left"/>
        <w:rPr>
          <w:sz w:val="20"/>
        </w:rPr>
      </w:pPr>
      <w:r>
        <w:rPr>
          <w:sz w:val="20"/>
        </w:rPr>
        <w:t>The Chair reminded all members of the Group of their responsibilities in relation to compliance</w:t>
      </w:r>
      <w:r>
        <w:rPr>
          <w:spacing w:val="-34"/>
          <w:sz w:val="20"/>
        </w:rPr>
        <w:t> </w:t>
      </w:r>
      <w:r>
        <w:rPr>
          <w:sz w:val="20"/>
        </w:rPr>
        <w:t>with competition law and the importance of taking their own independent competition law</w:t>
      </w:r>
      <w:r>
        <w:rPr>
          <w:spacing w:val="-17"/>
          <w:sz w:val="20"/>
        </w:rPr>
        <w:t> </w:t>
      </w:r>
      <w:r>
        <w:rPr>
          <w:sz w:val="20"/>
        </w:rPr>
        <w:t>advice.</w:t>
      </w:r>
    </w:p>
    <w:p>
      <w:pPr>
        <w:pStyle w:val="Heading1"/>
        <w:spacing w:before="116"/>
      </w:pPr>
      <w:r>
        <w:rPr/>
        <w:t>Minutes of previous meeting</w:t>
      </w:r>
    </w:p>
    <w:p>
      <w:pPr>
        <w:pStyle w:val="BodyText"/>
        <w:spacing w:before="8"/>
        <w:rPr>
          <w:b/>
        </w:rPr>
      </w:pPr>
    </w:p>
    <w:p>
      <w:pPr>
        <w:pStyle w:val="ListParagraph"/>
        <w:numPr>
          <w:ilvl w:val="0"/>
          <w:numId w:val="1"/>
        </w:numPr>
        <w:tabs>
          <w:tab w:pos="624" w:val="left" w:leader="none"/>
          <w:tab w:pos="625" w:val="left" w:leader="none"/>
        </w:tabs>
        <w:spacing w:line="240" w:lineRule="auto" w:before="0" w:after="0"/>
        <w:ind w:left="624" w:right="0" w:hanging="428"/>
        <w:jc w:val="left"/>
        <w:rPr>
          <w:sz w:val="20"/>
        </w:rPr>
      </w:pPr>
      <w:r>
        <w:rPr>
          <w:sz w:val="20"/>
        </w:rPr>
        <w:t>The minutes of the previous meeting on 7 November were</w:t>
      </w:r>
      <w:r>
        <w:rPr>
          <w:spacing w:val="-3"/>
          <w:sz w:val="20"/>
        </w:rPr>
        <w:t> </w:t>
      </w:r>
      <w:r>
        <w:rPr>
          <w:sz w:val="20"/>
        </w:rPr>
        <w:t>approved.</w:t>
      </w:r>
    </w:p>
    <w:p>
      <w:pPr>
        <w:pStyle w:val="BodyText"/>
        <w:spacing w:before="3"/>
      </w:pPr>
    </w:p>
    <w:p>
      <w:pPr>
        <w:pStyle w:val="Heading1"/>
        <w:spacing w:before="1"/>
      </w:pPr>
      <w:r>
        <w:rPr/>
        <w:t>Vice Chair introduction</w:t>
      </w:r>
    </w:p>
    <w:p>
      <w:pPr>
        <w:pStyle w:val="BodyText"/>
        <w:spacing w:before="5"/>
        <w:rPr>
          <w:b/>
        </w:rPr>
      </w:pPr>
    </w:p>
    <w:p>
      <w:pPr>
        <w:pStyle w:val="ListParagraph"/>
        <w:numPr>
          <w:ilvl w:val="0"/>
          <w:numId w:val="1"/>
        </w:numPr>
        <w:tabs>
          <w:tab w:pos="624" w:val="left" w:leader="none"/>
          <w:tab w:pos="625" w:val="left" w:leader="none"/>
        </w:tabs>
        <w:spacing w:line="360" w:lineRule="auto" w:before="0" w:after="0"/>
        <w:ind w:left="197" w:right="266" w:firstLine="0"/>
        <w:jc w:val="left"/>
        <w:rPr>
          <w:sz w:val="20"/>
        </w:rPr>
      </w:pPr>
      <w:r>
        <w:rPr>
          <w:sz w:val="20"/>
        </w:rPr>
        <w:t>Since the previous meeting, the Bank of England and FCA had announced the next phase of sterling Libor transition including broadening the participation in the Working Group</w:t>
      </w:r>
      <w:r>
        <w:rPr>
          <w:sz w:val="20"/>
          <w:vertAlign w:val="superscript"/>
        </w:rPr>
        <w:t>1</w:t>
      </w:r>
      <w:r>
        <w:rPr>
          <w:sz w:val="20"/>
          <w:vertAlign w:val="baseline"/>
        </w:rPr>
        <w:t>. Frances Hinden (Vice President Treasury Operations, Shell International Ltd) and Simon Wilkinson (Head of LDI Funds, Legal</w:t>
      </w:r>
      <w:r>
        <w:rPr>
          <w:spacing w:val="-34"/>
          <w:sz w:val="20"/>
          <w:vertAlign w:val="baseline"/>
        </w:rPr>
        <w:t> </w:t>
      </w:r>
      <w:r>
        <w:rPr>
          <w:sz w:val="20"/>
          <w:vertAlign w:val="baseline"/>
        </w:rPr>
        <w:t>&amp; General Investment Management) had agreed to act as Vice Chairs for the</w:t>
      </w:r>
      <w:r>
        <w:rPr>
          <w:spacing w:val="-3"/>
          <w:sz w:val="20"/>
          <w:vertAlign w:val="baseline"/>
        </w:rPr>
        <w:t> </w:t>
      </w:r>
      <w:r>
        <w:rPr>
          <w:sz w:val="20"/>
          <w:vertAlign w:val="baseline"/>
        </w:rPr>
        <w:t>group.</w:t>
      </w:r>
    </w:p>
    <w:p>
      <w:pPr>
        <w:pStyle w:val="Heading1"/>
        <w:spacing w:before="119"/>
      </w:pPr>
      <w:r>
        <w:rPr/>
        <w:t>Follow-up from press release</w:t>
      </w:r>
    </w:p>
    <w:p>
      <w:pPr>
        <w:pStyle w:val="BodyText"/>
        <w:spacing w:before="7"/>
        <w:rPr>
          <w:b/>
        </w:rPr>
      </w:pPr>
    </w:p>
    <w:p>
      <w:pPr>
        <w:pStyle w:val="ListParagraph"/>
        <w:numPr>
          <w:ilvl w:val="0"/>
          <w:numId w:val="1"/>
        </w:numPr>
        <w:tabs>
          <w:tab w:pos="624" w:val="left" w:leader="none"/>
          <w:tab w:pos="625" w:val="left" w:leader="none"/>
        </w:tabs>
        <w:spacing w:line="360" w:lineRule="auto" w:before="1" w:after="0"/>
        <w:ind w:left="197" w:right="336" w:firstLine="0"/>
        <w:jc w:val="left"/>
        <w:rPr>
          <w:sz w:val="20"/>
        </w:rPr>
      </w:pPr>
      <w:r>
        <w:rPr>
          <w:sz w:val="20"/>
        </w:rPr>
        <w:t>The Bank of England briefed the Working Group on the feedback it had received after publishing</w:t>
      </w:r>
      <w:r>
        <w:rPr>
          <w:spacing w:val="-27"/>
          <w:sz w:val="20"/>
        </w:rPr>
        <w:t> </w:t>
      </w:r>
      <w:r>
        <w:rPr>
          <w:sz w:val="20"/>
        </w:rPr>
        <w:t>the press release. Overall, the feedback had been positive and the Bank had received a number of expressions of interest in being involved in the Working Group’s work going</w:t>
      </w:r>
      <w:r>
        <w:rPr>
          <w:spacing w:val="-18"/>
          <w:sz w:val="20"/>
        </w:rPr>
        <w:t> </w:t>
      </w:r>
      <w:r>
        <w:rPr>
          <w:sz w:val="20"/>
        </w:rPr>
        <w:t>forward.</w:t>
      </w:r>
    </w:p>
    <w:p>
      <w:pPr>
        <w:pStyle w:val="ListParagraph"/>
        <w:numPr>
          <w:ilvl w:val="0"/>
          <w:numId w:val="1"/>
        </w:numPr>
        <w:tabs>
          <w:tab w:pos="624" w:val="left" w:leader="none"/>
          <w:tab w:pos="625" w:val="left" w:leader="none"/>
        </w:tabs>
        <w:spacing w:line="360" w:lineRule="auto" w:before="119" w:after="0"/>
        <w:ind w:left="197" w:right="200" w:firstLine="0"/>
        <w:jc w:val="left"/>
        <w:rPr>
          <w:sz w:val="20"/>
        </w:rPr>
      </w:pPr>
      <w:r>
        <w:rPr>
          <w:sz w:val="20"/>
        </w:rPr>
        <w:t>The Bank and FCA were determining which firms would be invited to participate as members of the group going forward based on three criteria: market footprint in sterling markets; contribution to the overall representativeness and diversity of the group; engagement and contribution to sterling interest rate benchmark</w:t>
      </w:r>
      <w:r>
        <w:rPr>
          <w:spacing w:val="-1"/>
          <w:sz w:val="20"/>
        </w:rPr>
        <w:t> </w:t>
      </w:r>
      <w:r>
        <w:rPr>
          <w:sz w:val="20"/>
        </w:rPr>
        <w:t>reform.</w:t>
      </w:r>
      <w:r>
        <w:rPr>
          <w:spacing w:val="-6"/>
          <w:sz w:val="20"/>
        </w:rPr>
        <w:t> </w:t>
      </w:r>
      <w:r>
        <w:rPr>
          <w:sz w:val="20"/>
        </w:rPr>
        <w:t>The</w:t>
      </w:r>
      <w:r>
        <w:rPr>
          <w:spacing w:val="-6"/>
          <w:sz w:val="20"/>
        </w:rPr>
        <w:t> </w:t>
      </w:r>
      <w:r>
        <w:rPr>
          <w:sz w:val="20"/>
        </w:rPr>
        <w:t>Bank</w:t>
      </w:r>
      <w:r>
        <w:rPr>
          <w:spacing w:val="-1"/>
          <w:sz w:val="20"/>
        </w:rPr>
        <w:t> </w:t>
      </w:r>
      <w:r>
        <w:rPr>
          <w:sz w:val="20"/>
        </w:rPr>
        <w:t>thanked</w:t>
      </w:r>
      <w:r>
        <w:rPr>
          <w:spacing w:val="-6"/>
          <w:sz w:val="20"/>
        </w:rPr>
        <w:t> </w:t>
      </w:r>
      <w:r>
        <w:rPr>
          <w:sz w:val="20"/>
        </w:rPr>
        <w:t>the</w:t>
      </w:r>
      <w:r>
        <w:rPr>
          <w:spacing w:val="-4"/>
          <w:sz w:val="20"/>
        </w:rPr>
        <w:t> </w:t>
      </w:r>
      <w:r>
        <w:rPr>
          <w:sz w:val="20"/>
        </w:rPr>
        <w:t>existing</w:t>
      </w:r>
      <w:r>
        <w:rPr>
          <w:spacing w:val="-3"/>
          <w:sz w:val="20"/>
        </w:rPr>
        <w:t> </w:t>
      </w:r>
      <w:r>
        <w:rPr>
          <w:sz w:val="20"/>
        </w:rPr>
        <w:t>members</w:t>
      </w:r>
      <w:r>
        <w:rPr>
          <w:spacing w:val="-5"/>
          <w:sz w:val="20"/>
        </w:rPr>
        <w:t> </w:t>
      </w:r>
      <w:r>
        <w:rPr>
          <w:sz w:val="20"/>
        </w:rPr>
        <w:t>for</w:t>
      </w:r>
      <w:r>
        <w:rPr>
          <w:spacing w:val="-4"/>
          <w:sz w:val="20"/>
        </w:rPr>
        <w:t> </w:t>
      </w:r>
      <w:r>
        <w:rPr>
          <w:sz w:val="20"/>
        </w:rPr>
        <w:t>their</w:t>
      </w:r>
      <w:r>
        <w:rPr>
          <w:spacing w:val="-4"/>
          <w:sz w:val="20"/>
        </w:rPr>
        <w:t> </w:t>
      </w:r>
      <w:r>
        <w:rPr>
          <w:sz w:val="20"/>
        </w:rPr>
        <w:t>contributions</w:t>
      </w:r>
      <w:r>
        <w:rPr>
          <w:spacing w:val="-3"/>
          <w:sz w:val="20"/>
        </w:rPr>
        <w:t> </w:t>
      </w:r>
      <w:r>
        <w:rPr>
          <w:sz w:val="20"/>
        </w:rPr>
        <w:t>to</w:t>
      </w:r>
      <w:r>
        <w:rPr>
          <w:spacing w:val="-5"/>
          <w:sz w:val="20"/>
        </w:rPr>
        <w:t> </w:t>
      </w:r>
      <w:r>
        <w:rPr>
          <w:sz w:val="20"/>
        </w:rPr>
        <w:t>the</w:t>
      </w:r>
      <w:r>
        <w:rPr>
          <w:spacing w:val="-2"/>
          <w:sz w:val="20"/>
        </w:rPr>
        <w:t> </w:t>
      </w:r>
      <w:r>
        <w:rPr>
          <w:sz w:val="20"/>
        </w:rPr>
        <w:t>group’s</w:t>
      </w:r>
      <w:r>
        <w:rPr>
          <w:spacing w:val="-2"/>
          <w:sz w:val="20"/>
        </w:rPr>
        <w:t> </w:t>
      </w:r>
      <w:r>
        <w:rPr>
          <w:sz w:val="20"/>
        </w:rPr>
        <w:t>work</w:t>
      </w:r>
      <w:r>
        <w:rPr>
          <w:spacing w:val="-1"/>
          <w:sz w:val="20"/>
        </w:rPr>
        <w:t> </w:t>
      </w:r>
      <w:r>
        <w:rPr>
          <w:sz w:val="20"/>
        </w:rPr>
        <w:t>thus far. The Chair added that he would be arranging regular bank/broker dealer stakeholder forum meetings in which a broader range of market participants would be represented including all those who wished to be involved from the current working group</w:t>
      </w:r>
      <w:r>
        <w:rPr>
          <w:spacing w:val="-3"/>
          <w:sz w:val="20"/>
        </w:rPr>
        <w:t> </w:t>
      </w:r>
      <w:r>
        <w:rPr>
          <w:sz w:val="20"/>
        </w:rPr>
        <w:t>membership.</w:t>
      </w:r>
    </w:p>
    <w:p>
      <w:pPr>
        <w:pStyle w:val="Heading1"/>
        <w:spacing w:before="120"/>
      </w:pPr>
      <w:r>
        <w:rPr/>
        <w:t>Update from sub-groups</w:t>
      </w:r>
    </w:p>
    <w:p>
      <w:pPr>
        <w:pStyle w:val="BodyText"/>
        <w:spacing w:before="3"/>
        <w:rPr>
          <w:b/>
        </w:rPr>
      </w:pPr>
    </w:p>
    <w:p>
      <w:pPr>
        <w:spacing w:before="0"/>
        <w:ind w:left="197" w:right="0" w:firstLine="0"/>
        <w:jc w:val="left"/>
        <w:rPr>
          <w:i/>
          <w:sz w:val="20"/>
        </w:rPr>
      </w:pPr>
      <w:r>
        <w:rPr>
          <w:i/>
          <w:sz w:val="20"/>
        </w:rPr>
        <w:t>Pensions and Insurance adoption sub-group</w:t>
      </w:r>
    </w:p>
    <w:p>
      <w:pPr>
        <w:pStyle w:val="BodyText"/>
        <w:spacing w:before="8"/>
        <w:rPr>
          <w:i/>
        </w:rPr>
      </w:pPr>
    </w:p>
    <w:p>
      <w:pPr>
        <w:pStyle w:val="ListParagraph"/>
        <w:numPr>
          <w:ilvl w:val="0"/>
          <w:numId w:val="1"/>
        </w:numPr>
        <w:tabs>
          <w:tab w:pos="624" w:val="left" w:leader="none"/>
          <w:tab w:pos="625" w:val="left" w:leader="none"/>
        </w:tabs>
        <w:spacing w:line="360" w:lineRule="auto" w:before="0" w:after="0"/>
        <w:ind w:left="197" w:right="432" w:firstLine="0"/>
        <w:jc w:val="left"/>
        <w:rPr>
          <w:sz w:val="20"/>
        </w:rPr>
      </w:pPr>
      <w:r>
        <w:rPr>
          <w:sz w:val="20"/>
        </w:rPr>
        <w:t>Chirag Dave of Goldman Sachs proposed that he and David Cobbald from the Pensions Protection Fund would co-chair the group. The membership would include a broad range of participants including pension funds, insurers, trustees, trade bodies and other end-users. The sub-group’s objectives would focus on promoting strategies to adopt SONIA and to convert legacy</w:t>
      </w:r>
      <w:r>
        <w:rPr>
          <w:spacing w:val="-12"/>
          <w:sz w:val="20"/>
        </w:rPr>
        <w:t> </w:t>
      </w:r>
      <w:r>
        <w:rPr>
          <w:sz w:val="20"/>
        </w:rPr>
        <w:t>products.</w:t>
      </w:r>
    </w:p>
    <w:p>
      <w:pPr>
        <w:pStyle w:val="ListParagraph"/>
        <w:numPr>
          <w:ilvl w:val="0"/>
          <w:numId w:val="1"/>
        </w:numPr>
        <w:tabs>
          <w:tab w:pos="624" w:val="left" w:leader="none"/>
          <w:tab w:pos="625" w:val="left" w:leader="none"/>
        </w:tabs>
        <w:spacing w:line="360" w:lineRule="auto" w:before="121" w:after="0"/>
        <w:ind w:left="197" w:right="137" w:firstLine="0"/>
        <w:jc w:val="left"/>
        <w:rPr>
          <w:sz w:val="20"/>
        </w:rPr>
      </w:pPr>
      <w:r>
        <w:rPr>
          <w:sz w:val="20"/>
        </w:rPr>
        <w:t>The Chair agreed and noted that participants in sub-groups would need to be mindful of competition law considerations when engaging. This could be mitigated by the co-chairs ensuring that participants were reminded of their obligations under competition law at each meeting. The sub-groups would also publish key recommendations for wider consultation to facilitate broader transparency regarding their</w:t>
      </w:r>
      <w:r>
        <w:rPr>
          <w:spacing w:val="-16"/>
          <w:sz w:val="20"/>
        </w:rPr>
        <w:t> </w:t>
      </w:r>
      <w:r>
        <w:rPr>
          <w:sz w:val="20"/>
        </w:rPr>
        <w:t>work.</w:t>
      </w:r>
    </w:p>
    <w:p>
      <w:pPr>
        <w:spacing w:before="118"/>
        <w:ind w:left="197" w:right="0" w:firstLine="0"/>
        <w:jc w:val="left"/>
        <w:rPr>
          <w:i/>
          <w:sz w:val="20"/>
        </w:rPr>
      </w:pPr>
      <w:r>
        <w:rPr>
          <w:i/>
          <w:sz w:val="20"/>
        </w:rPr>
        <w:t>Futures sub-group</w:t>
      </w:r>
    </w:p>
    <w:p>
      <w:pPr>
        <w:pStyle w:val="BodyText"/>
        <w:rPr>
          <w:i/>
          <w:sz w:val="26"/>
        </w:rPr>
      </w:pPr>
      <w:r>
        <w:rPr/>
        <w:pict>
          <v:shape style="position:absolute;margin-left:63.863998pt;margin-top:17.321211pt;width:144.050pt;height:.1pt;mso-position-horizontal-relative:page;mso-position-vertical-relative:paragraph;z-index:-251658240;mso-wrap-distance-left:0;mso-wrap-distance-right:0" coordorigin="1277,346" coordsize="2881,0" path="m1277,346l4158,346e" filled="false" stroked="true" strokeweight=".71997pt" strokecolor="#000000">
            <v:path arrowok="t"/>
            <v:stroke dashstyle="solid"/>
            <w10:wrap type="topAndBottom"/>
          </v:shape>
        </w:pict>
      </w:r>
    </w:p>
    <w:p>
      <w:pPr>
        <w:spacing w:before="39"/>
        <w:ind w:left="197" w:right="0" w:firstLine="0"/>
        <w:jc w:val="left"/>
        <w:rPr>
          <w:sz w:val="18"/>
        </w:rPr>
      </w:pPr>
      <w:r>
        <w:rPr>
          <w:position w:val="9"/>
          <w:sz w:val="12"/>
        </w:rPr>
        <w:t>1 </w:t>
      </w:r>
      <w:hyperlink r:id="rId5">
        <w:r>
          <w:rPr>
            <w:color w:val="0000FF"/>
            <w:sz w:val="18"/>
            <w:u w:val="single" w:color="0000FF"/>
          </w:rPr>
          <w:t>www.bankofengland.co.uk/news/2017/november/bank-and-fca-launch-next-phase-of-sterling-libor-transition-work</w:t>
        </w:r>
      </w:hyperlink>
    </w:p>
    <w:p>
      <w:pPr>
        <w:spacing w:after="0"/>
        <w:jc w:val="left"/>
        <w:rPr>
          <w:sz w:val="18"/>
        </w:rPr>
        <w:sectPr>
          <w:type w:val="continuous"/>
          <w:pgSz w:w="11910" w:h="16840"/>
          <w:pgMar w:top="1180" w:bottom="280" w:left="1080" w:right="1020"/>
        </w:sectPr>
      </w:pPr>
    </w:p>
    <w:p>
      <w:pPr>
        <w:pStyle w:val="ListParagraph"/>
        <w:numPr>
          <w:ilvl w:val="0"/>
          <w:numId w:val="1"/>
        </w:numPr>
        <w:tabs>
          <w:tab w:pos="624" w:val="left" w:leader="none"/>
          <w:tab w:pos="625" w:val="left" w:leader="none"/>
        </w:tabs>
        <w:spacing w:line="357" w:lineRule="auto" w:before="75" w:after="0"/>
        <w:ind w:left="197" w:right="301" w:firstLine="0"/>
        <w:jc w:val="left"/>
        <w:rPr>
          <w:sz w:val="20"/>
        </w:rPr>
      </w:pPr>
      <w:r>
        <w:rPr>
          <w:sz w:val="20"/>
        </w:rPr>
        <w:t>The sub-group had formed initial conclusions regarding the design of a futures contract and had subsequently discussed these with exchanges who were invited to participate in the most recent</w:t>
      </w:r>
      <w:r>
        <w:rPr>
          <w:spacing w:val="-32"/>
          <w:sz w:val="20"/>
        </w:rPr>
        <w:t> </w:t>
      </w:r>
      <w:r>
        <w:rPr>
          <w:sz w:val="20"/>
        </w:rPr>
        <w:t>meeting.</w:t>
      </w:r>
    </w:p>
    <w:p>
      <w:pPr>
        <w:pStyle w:val="ListParagraph"/>
        <w:numPr>
          <w:ilvl w:val="0"/>
          <w:numId w:val="1"/>
        </w:numPr>
        <w:tabs>
          <w:tab w:pos="624" w:val="left" w:leader="none"/>
          <w:tab w:pos="625" w:val="left" w:leader="none"/>
        </w:tabs>
        <w:spacing w:line="360" w:lineRule="auto" w:before="124" w:after="0"/>
        <w:ind w:left="197" w:right="189" w:firstLine="0"/>
        <w:jc w:val="left"/>
        <w:rPr>
          <w:sz w:val="20"/>
        </w:rPr>
      </w:pPr>
      <w:r>
        <w:rPr>
          <w:sz w:val="20"/>
        </w:rPr>
        <w:t>The sub-group intended to make a recommendation in early 2018, ahead of the anticipated decision by exchanges to start a new futures contract once the SONIA reforms were implemented on 23 April 2018. Working Group members were invited to comment on the initial conclusions,</w:t>
      </w:r>
      <w:r>
        <w:rPr>
          <w:spacing w:val="-12"/>
          <w:sz w:val="20"/>
        </w:rPr>
        <w:t> </w:t>
      </w:r>
      <w:r>
        <w:rPr>
          <w:sz w:val="20"/>
        </w:rPr>
        <w:t>including:</w:t>
      </w:r>
    </w:p>
    <w:p>
      <w:pPr>
        <w:pStyle w:val="ListParagraph"/>
        <w:numPr>
          <w:ilvl w:val="1"/>
          <w:numId w:val="1"/>
        </w:numPr>
        <w:tabs>
          <w:tab w:pos="1190" w:val="left" w:leader="none"/>
          <w:tab w:pos="1191" w:val="left" w:leader="none"/>
        </w:tabs>
        <w:spacing w:line="352" w:lineRule="auto" w:before="121" w:after="0"/>
        <w:ind w:left="1190" w:right="542" w:hanging="360"/>
        <w:jc w:val="left"/>
        <w:rPr>
          <w:sz w:val="20"/>
        </w:rPr>
      </w:pPr>
      <w:r>
        <w:rPr>
          <w:sz w:val="20"/>
        </w:rPr>
        <w:t>SONIA futures should settle against a realised SONIA rate as opposed to a forward-looking term SONIA</w:t>
      </w:r>
      <w:r>
        <w:rPr>
          <w:spacing w:val="2"/>
          <w:sz w:val="20"/>
        </w:rPr>
        <w:t> </w:t>
      </w:r>
      <w:r>
        <w:rPr>
          <w:sz w:val="20"/>
        </w:rPr>
        <w:t>rate.</w:t>
      </w:r>
    </w:p>
    <w:p>
      <w:pPr>
        <w:pStyle w:val="ListParagraph"/>
        <w:numPr>
          <w:ilvl w:val="1"/>
          <w:numId w:val="1"/>
        </w:numPr>
        <w:tabs>
          <w:tab w:pos="1190" w:val="left" w:leader="none"/>
          <w:tab w:pos="1191" w:val="left" w:leader="none"/>
        </w:tabs>
        <w:spacing w:line="357" w:lineRule="auto" w:before="125" w:after="0"/>
        <w:ind w:left="1190" w:right="317" w:hanging="360"/>
        <w:jc w:val="left"/>
        <w:rPr>
          <w:sz w:val="20"/>
        </w:rPr>
      </w:pPr>
      <w:r>
        <w:rPr>
          <w:sz w:val="20"/>
        </w:rPr>
        <w:t>The primary contract for SONIA futures trading should be a 3 month contract, expiring on</w:t>
      </w:r>
      <w:r>
        <w:rPr>
          <w:spacing w:val="-32"/>
          <w:sz w:val="20"/>
        </w:rPr>
        <w:t> </w:t>
      </w:r>
      <w:r>
        <w:rPr>
          <w:sz w:val="20"/>
        </w:rPr>
        <w:t>IMM dates out to at least five years. This would be consistent with current Short Sterling contracts which should promote liquidity through basis trading, as well as facilitating transition out of current Short Sterling</w:t>
      </w:r>
      <w:r>
        <w:rPr>
          <w:spacing w:val="-2"/>
          <w:sz w:val="20"/>
        </w:rPr>
        <w:t> </w:t>
      </w:r>
      <w:r>
        <w:rPr>
          <w:sz w:val="20"/>
        </w:rPr>
        <w:t>contracts.</w:t>
      </w:r>
    </w:p>
    <w:p>
      <w:pPr>
        <w:pStyle w:val="ListParagraph"/>
        <w:numPr>
          <w:ilvl w:val="1"/>
          <w:numId w:val="1"/>
        </w:numPr>
        <w:tabs>
          <w:tab w:pos="1190" w:val="left" w:leader="none"/>
          <w:tab w:pos="1191" w:val="left" w:leader="none"/>
        </w:tabs>
        <w:spacing w:line="350" w:lineRule="auto" w:before="121" w:after="0"/>
        <w:ind w:left="1190" w:right="141" w:hanging="360"/>
        <w:jc w:val="left"/>
        <w:rPr>
          <w:sz w:val="20"/>
        </w:rPr>
      </w:pPr>
      <w:r>
        <w:rPr>
          <w:sz w:val="20"/>
        </w:rPr>
        <w:t>A 1 month contract settling on calendar dates, out to at least one year, would complement this 3 month contract and give more granularity at the front end of the</w:t>
      </w:r>
      <w:r>
        <w:rPr>
          <w:spacing w:val="-8"/>
          <w:sz w:val="20"/>
        </w:rPr>
        <w:t> </w:t>
      </w:r>
      <w:r>
        <w:rPr>
          <w:sz w:val="20"/>
        </w:rPr>
        <w:t>curve.</w:t>
      </w:r>
    </w:p>
    <w:p>
      <w:pPr>
        <w:pStyle w:val="ListParagraph"/>
        <w:numPr>
          <w:ilvl w:val="1"/>
          <w:numId w:val="1"/>
        </w:numPr>
        <w:tabs>
          <w:tab w:pos="1190" w:val="left" w:leader="none"/>
          <w:tab w:pos="1191" w:val="left" w:leader="none"/>
        </w:tabs>
        <w:spacing w:line="355" w:lineRule="auto" w:before="130" w:after="0"/>
        <w:ind w:left="1190" w:right="124" w:hanging="360"/>
        <w:jc w:val="left"/>
        <w:rPr>
          <w:sz w:val="20"/>
        </w:rPr>
      </w:pPr>
      <w:r>
        <w:rPr>
          <w:sz w:val="20"/>
        </w:rPr>
        <w:t>Fixed tick value across the futures strip, with a minimum tick value of £12.50 and a minimum bid/offer spread of 0.5 basis points. This should support liquidity by allowing trading across short sterling and SONIA futures on a comparable</w:t>
      </w:r>
      <w:r>
        <w:rPr>
          <w:spacing w:val="-4"/>
          <w:sz w:val="20"/>
        </w:rPr>
        <w:t> </w:t>
      </w:r>
      <w:r>
        <w:rPr>
          <w:sz w:val="20"/>
        </w:rPr>
        <w:t>basis.</w:t>
      </w:r>
    </w:p>
    <w:p>
      <w:pPr>
        <w:pStyle w:val="ListParagraph"/>
        <w:numPr>
          <w:ilvl w:val="1"/>
          <w:numId w:val="1"/>
        </w:numPr>
        <w:tabs>
          <w:tab w:pos="1190" w:val="left" w:leader="none"/>
          <w:tab w:pos="1191" w:val="left" w:leader="none"/>
        </w:tabs>
        <w:spacing w:line="357" w:lineRule="auto" w:before="126" w:after="0"/>
        <w:ind w:left="1190" w:right="243" w:hanging="360"/>
        <w:jc w:val="left"/>
        <w:rPr>
          <w:sz w:val="20"/>
        </w:rPr>
      </w:pPr>
      <w:r>
        <w:rPr>
          <w:sz w:val="20"/>
        </w:rPr>
        <w:t>The sub-group had been unable to conclude whether the settlement price should be compounded or averaged realised SONIA over the period; there is a slight preference for compounding for consistency with OTC derivatives. The sub-group chair proposed to leave the decision to the exchanges.</w:t>
      </w:r>
    </w:p>
    <w:p>
      <w:pPr>
        <w:pStyle w:val="ListParagraph"/>
        <w:numPr>
          <w:ilvl w:val="1"/>
          <w:numId w:val="1"/>
        </w:numPr>
        <w:tabs>
          <w:tab w:pos="1190" w:val="left" w:leader="none"/>
          <w:tab w:pos="1191" w:val="left" w:leader="none"/>
        </w:tabs>
        <w:spacing w:line="352" w:lineRule="auto" w:before="118" w:after="0"/>
        <w:ind w:left="1190" w:right="148" w:hanging="360"/>
        <w:jc w:val="left"/>
        <w:rPr>
          <w:sz w:val="20"/>
        </w:rPr>
      </w:pPr>
      <w:r>
        <w:rPr>
          <w:sz w:val="20"/>
        </w:rPr>
        <w:t>Contracts should be named as the month at the start of the period as per the current</w:t>
      </w:r>
      <w:r>
        <w:rPr>
          <w:spacing w:val="-29"/>
          <w:sz w:val="20"/>
        </w:rPr>
        <w:t> </w:t>
      </w:r>
      <w:r>
        <w:rPr>
          <w:sz w:val="20"/>
        </w:rPr>
        <w:t>convention for OTC</w:t>
      </w:r>
      <w:r>
        <w:rPr>
          <w:spacing w:val="-3"/>
          <w:sz w:val="20"/>
        </w:rPr>
        <w:t> </w:t>
      </w:r>
      <w:r>
        <w:rPr>
          <w:sz w:val="20"/>
        </w:rPr>
        <w:t>derivatives.</w:t>
      </w:r>
    </w:p>
    <w:p>
      <w:pPr>
        <w:pStyle w:val="ListParagraph"/>
        <w:numPr>
          <w:ilvl w:val="1"/>
          <w:numId w:val="1"/>
        </w:numPr>
        <w:tabs>
          <w:tab w:pos="1190" w:val="left" w:leader="none"/>
          <w:tab w:pos="1191" w:val="left" w:leader="none"/>
        </w:tabs>
        <w:spacing w:line="350" w:lineRule="auto" w:before="128" w:after="0"/>
        <w:ind w:left="1190" w:right="906" w:hanging="360"/>
        <w:jc w:val="left"/>
        <w:rPr>
          <w:sz w:val="20"/>
        </w:rPr>
      </w:pPr>
      <w:r>
        <w:rPr>
          <w:sz w:val="20"/>
        </w:rPr>
        <w:t>Cross-margining of futures exposures against OTC derivatives exposures at the</w:t>
      </w:r>
      <w:r>
        <w:rPr>
          <w:spacing w:val="-24"/>
          <w:sz w:val="20"/>
        </w:rPr>
        <w:t> </w:t>
      </w:r>
      <w:r>
        <w:rPr>
          <w:sz w:val="20"/>
        </w:rPr>
        <w:t>central counterparty was viewed as</w:t>
      </w:r>
      <w:r>
        <w:rPr>
          <w:spacing w:val="-2"/>
          <w:sz w:val="20"/>
        </w:rPr>
        <w:t> </w:t>
      </w:r>
      <w:r>
        <w:rPr>
          <w:sz w:val="20"/>
        </w:rPr>
        <w:t>desirable.</w:t>
      </w:r>
    </w:p>
    <w:p>
      <w:pPr>
        <w:pStyle w:val="ListParagraph"/>
        <w:numPr>
          <w:ilvl w:val="1"/>
          <w:numId w:val="1"/>
        </w:numPr>
        <w:tabs>
          <w:tab w:pos="1190" w:val="left" w:leader="none"/>
          <w:tab w:pos="1191" w:val="left" w:leader="none"/>
        </w:tabs>
        <w:spacing w:line="240" w:lineRule="auto" w:before="130" w:after="0"/>
        <w:ind w:left="1190" w:right="0" w:hanging="361"/>
        <w:jc w:val="left"/>
        <w:rPr>
          <w:sz w:val="20"/>
        </w:rPr>
      </w:pPr>
      <w:r>
        <w:rPr>
          <w:sz w:val="20"/>
        </w:rPr>
        <w:t>Any options contracts developed would require delivery of a futures contract on</w:t>
      </w:r>
      <w:r>
        <w:rPr>
          <w:spacing w:val="-18"/>
          <w:sz w:val="20"/>
        </w:rPr>
        <w:t> </w:t>
      </w:r>
      <w:r>
        <w:rPr>
          <w:sz w:val="20"/>
        </w:rPr>
        <w:t>expiry.</w:t>
      </w:r>
    </w:p>
    <w:p>
      <w:pPr>
        <w:pStyle w:val="BodyText"/>
        <w:spacing w:before="11"/>
        <w:rPr>
          <w:sz w:val="19"/>
        </w:rPr>
      </w:pPr>
    </w:p>
    <w:p>
      <w:pPr>
        <w:spacing w:before="0"/>
        <w:ind w:left="197" w:right="0" w:firstLine="0"/>
        <w:jc w:val="left"/>
        <w:rPr>
          <w:i/>
          <w:sz w:val="20"/>
        </w:rPr>
      </w:pPr>
      <w:r>
        <w:rPr>
          <w:i/>
          <w:sz w:val="20"/>
        </w:rPr>
        <w:t>Term Reference Rate sub-Group</w:t>
      </w:r>
    </w:p>
    <w:p>
      <w:pPr>
        <w:pStyle w:val="BodyText"/>
        <w:spacing w:before="8"/>
        <w:rPr>
          <w:i/>
        </w:rPr>
      </w:pPr>
    </w:p>
    <w:p>
      <w:pPr>
        <w:pStyle w:val="ListParagraph"/>
        <w:numPr>
          <w:ilvl w:val="0"/>
          <w:numId w:val="1"/>
        </w:numPr>
        <w:tabs>
          <w:tab w:pos="624" w:val="left" w:leader="none"/>
          <w:tab w:pos="625" w:val="left" w:leader="none"/>
        </w:tabs>
        <w:spacing w:line="360" w:lineRule="auto" w:before="0" w:after="0"/>
        <w:ind w:left="197" w:right="133" w:firstLine="0"/>
        <w:jc w:val="left"/>
        <w:rPr>
          <w:sz w:val="20"/>
        </w:rPr>
      </w:pPr>
      <w:r>
        <w:rPr>
          <w:sz w:val="20"/>
        </w:rPr>
        <w:t>The sub-group chair, Nick Saggers of BAML, provided a status update. The sub-group had met seven times since its first meeting on 13 October and had received direct input from a broad range of stakeholders from outside the Working Group, including the Loan Markets Association (LMA), the Association of Corporate Treasurers (ACT), and the International Capital Markets Association</w:t>
      </w:r>
      <w:r>
        <w:rPr>
          <w:spacing w:val="-23"/>
          <w:sz w:val="20"/>
        </w:rPr>
        <w:t> </w:t>
      </w:r>
      <w:r>
        <w:rPr>
          <w:sz w:val="20"/>
        </w:rPr>
        <w:t>(ICMA).</w:t>
      </w:r>
    </w:p>
    <w:p>
      <w:pPr>
        <w:pStyle w:val="ListParagraph"/>
        <w:numPr>
          <w:ilvl w:val="0"/>
          <w:numId w:val="1"/>
        </w:numPr>
        <w:tabs>
          <w:tab w:pos="624" w:val="left" w:leader="none"/>
          <w:tab w:pos="625" w:val="left" w:leader="none"/>
        </w:tabs>
        <w:spacing w:line="357" w:lineRule="auto" w:before="120" w:after="0"/>
        <w:ind w:left="197" w:right="249" w:firstLine="0"/>
        <w:jc w:val="left"/>
        <w:rPr>
          <w:sz w:val="20"/>
        </w:rPr>
      </w:pPr>
      <w:r>
        <w:rPr>
          <w:sz w:val="20"/>
        </w:rPr>
        <w:t>Sub-group terms of reference, which had been approved at the 7 November Working Group</w:t>
      </w:r>
      <w:r>
        <w:rPr>
          <w:spacing w:val="-28"/>
          <w:sz w:val="20"/>
        </w:rPr>
        <w:t> </w:t>
      </w:r>
      <w:r>
        <w:rPr>
          <w:sz w:val="20"/>
        </w:rPr>
        <w:t>meeting, had been published and are available on the Group’s</w:t>
      </w:r>
      <w:r>
        <w:rPr>
          <w:spacing w:val="-4"/>
          <w:sz w:val="20"/>
        </w:rPr>
        <w:t> </w:t>
      </w:r>
      <w:r>
        <w:rPr>
          <w:sz w:val="20"/>
        </w:rPr>
        <w:t>website.</w:t>
      </w:r>
      <w:r>
        <w:rPr>
          <w:sz w:val="20"/>
          <w:vertAlign w:val="superscript"/>
        </w:rPr>
        <w:t>2</w:t>
      </w:r>
      <w:r>
        <w:rPr>
          <w:sz w:val="20"/>
          <w:vertAlign w:val="baseline"/>
        </w:rPr>
        <w:t>.</w:t>
      </w:r>
    </w:p>
    <w:p>
      <w:pPr>
        <w:pStyle w:val="ListParagraph"/>
        <w:numPr>
          <w:ilvl w:val="0"/>
          <w:numId w:val="1"/>
        </w:numPr>
        <w:tabs>
          <w:tab w:pos="624" w:val="left" w:leader="none"/>
          <w:tab w:pos="625" w:val="left" w:leader="none"/>
        </w:tabs>
        <w:spacing w:line="360" w:lineRule="auto" w:before="124" w:after="0"/>
        <w:ind w:left="197" w:right="264" w:firstLine="0"/>
        <w:jc w:val="left"/>
        <w:rPr>
          <w:sz w:val="20"/>
        </w:rPr>
      </w:pPr>
      <w:r>
        <w:rPr>
          <w:sz w:val="20"/>
        </w:rPr>
        <w:t>The sub-group had concluded that there should be no need for term SONIA reference rates (TSRRs) to be used in cleared interest rate swap markets (IRS), and over time a reducing need for TSRRs</w:t>
      </w:r>
      <w:r>
        <w:rPr>
          <w:spacing w:val="-22"/>
          <w:sz w:val="20"/>
        </w:rPr>
        <w:t> </w:t>
      </w:r>
      <w:r>
        <w:rPr>
          <w:sz w:val="20"/>
        </w:rPr>
        <w:t>in</w:t>
      </w:r>
    </w:p>
    <w:p>
      <w:pPr>
        <w:pStyle w:val="BodyText"/>
      </w:pPr>
    </w:p>
    <w:p>
      <w:pPr>
        <w:pStyle w:val="BodyText"/>
        <w:spacing w:before="3"/>
      </w:pPr>
      <w:r>
        <w:rPr/>
        <w:pict>
          <v:shape style="position:absolute;margin-left:63.863998pt;margin-top:14.030166pt;width:144.050pt;height:.1pt;mso-position-horizontal-relative:page;mso-position-vertical-relative:paragraph;z-index:-251657216;mso-wrap-distance-left:0;mso-wrap-distance-right:0" coordorigin="1277,281" coordsize="2881,0" path="m1277,281l4158,281e" filled="false" stroked="true" strokeweight=".71997pt" strokecolor="#000000">
            <v:path arrowok="t"/>
            <v:stroke dashstyle="solid"/>
            <w10:wrap type="topAndBottom"/>
          </v:shape>
        </w:pict>
      </w:r>
    </w:p>
    <w:p>
      <w:pPr>
        <w:spacing w:before="36"/>
        <w:ind w:left="197" w:right="0" w:firstLine="0"/>
        <w:jc w:val="left"/>
        <w:rPr>
          <w:sz w:val="18"/>
        </w:rPr>
      </w:pPr>
      <w:r>
        <w:rPr>
          <w:position w:val="9"/>
          <w:sz w:val="12"/>
        </w:rPr>
        <w:t>2 </w:t>
      </w:r>
      <w:hyperlink r:id="rId6">
        <w:r>
          <w:rPr>
            <w:color w:val="0000FF"/>
            <w:sz w:val="18"/>
            <w:u w:val="single" w:color="0000FF"/>
          </w:rPr>
          <w:t>www.bankofengland.co.uk/-/media/boe/files/markets/benchmarks/sonia-reference-rates-sub-group-terms-of-</w:t>
        </w:r>
      </w:hyperlink>
      <w:r>
        <w:rPr>
          <w:color w:val="0000FF"/>
          <w:sz w:val="18"/>
        </w:rPr>
        <w:t> </w:t>
      </w:r>
      <w:hyperlink r:id="rId6">
        <w:r>
          <w:rPr>
            <w:color w:val="0000FF"/>
            <w:sz w:val="18"/>
            <w:u w:val="single" w:color="0000FF"/>
          </w:rPr>
          <w:t>reference.pdf?la=en&amp;hash=980A1A0B2ED96FD07EABB4C1AF8B1038540201C0</w:t>
        </w:r>
      </w:hyperlink>
    </w:p>
    <w:p>
      <w:pPr>
        <w:spacing w:after="0"/>
        <w:jc w:val="left"/>
        <w:rPr>
          <w:sz w:val="18"/>
        </w:rPr>
        <w:sectPr>
          <w:pgSz w:w="11910" w:h="16840"/>
          <w:pgMar w:top="1180" w:bottom="280" w:left="1080" w:right="1020"/>
        </w:sectPr>
      </w:pPr>
    </w:p>
    <w:p>
      <w:pPr>
        <w:pStyle w:val="BodyText"/>
        <w:spacing w:line="357" w:lineRule="auto" w:before="75"/>
        <w:ind w:left="197" w:right="160"/>
      </w:pPr>
      <w:r>
        <w:rPr/>
        <w:t>bilateral swap markets. In addition, the sub-group had concluded that there should be no need for TSRRs in listed derivative markets.</w:t>
      </w:r>
    </w:p>
    <w:p>
      <w:pPr>
        <w:pStyle w:val="ListParagraph"/>
        <w:numPr>
          <w:ilvl w:val="0"/>
          <w:numId w:val="1"/>
        </w:numPr>
        <w:tabs>
          <w:tab w:pos="624" w:val="left" w:leader="none"/>
          <w:tab w:pos="625" w:val="left" w:leader="none"/>
        </w:tabs>
        <w:spacing w:line="360" w:lineRule="auto" w:before="124" w:after="0"/>
        <w:ind w:left="197" w:right="433" w:firstLine="0"/>
        <w:jc w:val="left"/>
        <w:rPr>
          <w:sz w:val="20"/>
        </w:rPr>
      </w:pPr>
      <w:r>
        <w:rPr>
          <w:sz w:val="20"/>
        </w:rPr>
        <w:t>However, the sub-group had determined that there were well-founded use cases for TSRRs in loan and bond markets. For these applications TSRRs would need to be forward looking and include, at a minimum, fixings for 1, 3, and 6-month</w:t>
      </w:r>
      <w:r>
        <w:rPr>
          <w:spacing w:val="-7"/>
          <w:sz w:val="20"/>
        </w:rPr>
        <w:t> </w:t>
      </w:r>
      <w:r>
        <w:rPr>
          <w:sz w:val="20"/>
        </w:rPr>
        <w:t>tenors.</w:t>
      </w:r>
    </w:p>
    <w:p>
      <w:pPr>
        <w:pStyle w:val="ListParagraph"/>
        <w:numPr>
          <w:ilvl w:val="0"/>
          <w:numId w:val="1"/>
        </w:numPr>
        <w:tabs>
          <w:tab w:pos="625" w:val="left" w:leader="none"/>
        </w:tabs>
        <w:spacing w:line="360" w:lineRule="auto" w:before="120" w:after="0"/>
        <w:ind w:left="197" w:right="122" w:firstLine="0"/>
        <w:jc w:val="both"/>
        <w:rPr>
          <w:sz w:val="20"/>
        </w:rPr>
      </w:pPr>
      <w:r>
        <w:rPr>
          <w:sz w:val="20"/>
        </w:rPr>
        <w:t>The sub group had reached the preliminary view that SONIA markets were sufficiently deep, liquid and transparent to enable the derivation of robust TSRRs, although further analysis of data on trading activity in GBP OIS was required to reach a firm</w:t>
      </w:r>
      <w:r>
        <w:rPr>
          <w:spacing w:val="-2"/>
          <w:sz w:val="20"/>
        </w:rPr>
        <w:t> </w:t>
      </w:r>
      <w:r>
        <w:rPr>
          <w:sz w:val="20"/>
        </w:rPr>
        <w:t>conclusion.</w:t>
      </w:r>
    </w:p>
    <w:p>
      <w:pPr>
        <w:pStyle w:val="ListParagraph"/>
        <w:numPr>
          <w:ilvl w:val="0"/>
          <w:numId w:val="1"/>
        </w:numPr>
        <w:tabs>
          <w:tab w:pos="624" w:val="left" w:leader="none"/>
          <w:tab w:pos="625" w:val="left" w:leader="none"/>
        </w:tabs>
        <w:spacing w:line="360" w:lineRule="auto" w:before="122" w:after="0"/>
        <w:ind w:left="197" w:right="208" w:firstLine="0"/>
        <w:jc w:val="left"/>
        <w:rPr>
          <w:sz w:val="20"/>
        </w:rPr>
      </w:pPr>
      <w:r>
        <w:rPr>
          <w:sz w:val="20"/>
        </w:rPr>
        <w:t>Having completed an initial review of available and potentially available data sources and methodologies to derive a term rate, the sub-group considered that TSRRs derived from actionable</w:t>
      </w:r>
      <w:r>
        <w:rPr>
          <w:spacing w:val="-33"/>
          <w:sz w:val="20"/>
        </w:rPr>
        <w:t> </w:t>
      </w:r>
      <w:r>
        <w:rPr>
          <w:sz w:val="20"/>
        </w:rPr>
        <w:t>quotes in SONIA OIS were, subject to certain conditions, likely to prove more robust than TSRRs derived in other ways that had been considered. The sub-group therefore proposed drafting design principles for TSRRs in 1, 3, and 6-month tenors derived from actionable quotes in SONIA OIS on regulated multi-lateral trading facilities (MTFs) and engaging potential administrators and other stakeholders early in</w:t>
      </w:r>
      <w:r>
        <w:rPr>
          <w:spacing w:val="-10"/>
          <w:sz w:val="20"/>
        </w:rPr>
        <w:t> </w:t>
      </w:r>
      <w:r>
        <w:rPr>
          <w:sz w:val="20"/>
        </w:rPr>
        <w:t>2018.</w:t>
      </w:r>
    </w:p>
    <w:p>
      <w:pPr>
        <w:pStyle w:val="ListParagraph"/>
        <w:numPr>
          <w:ilvl w:val="0"/>
          <w:numId w:val="1"/>
        </w:numPr>
        <w:tabs>
          <w:tab w:pos="624" w:val="left" w:leader="none"/>
          <w:tab w:pos="625" w:val="left" w:leader="none"/>
        </w:tabs>
        <w:spacing w:line="360" w:lineRule="auto" w:before="119" w:after="0"/>
        <w:ind w:left="197" w:right="518" w:firstLine="0"/>
        <w:jc w:val="left"/>
        <w:rPr>
          <w:sz w:val="20"/>
        </w:rPr>
      </w:pPr>
      <w:r>
        <w:rPr>
          <w:sz w:val="20"/>
        </w:rPr>
        <w:t>The chair cautioned that any recommendation to proceed with such a model would be subject to a number of conditions including, but not limited</w:t>
      </w:r>
      <w:r>
        <w:rPr>
          <w:spacing w:val="5"/>
          <w:sz w:val="20"/>
        </w:rPr>
        <w:t> </w:t>
      </w:r>
      <w:r>
        <w:rPr>
          <w:sz w:val="20"/>
        </w:rPr>
        <w:t>to:</w:t>
      </w:r>
    </w:p>
    <w:p>
      <w:pPr>
        <w:pStyle w:val="ListParagraph"/>
        <w:numPr>
          <w:ilvl w:val="1"/>
          <w:numId w:val="1"/>
        </w:numPr>
        <w:tabs>
          <w:tab w:pos="1190" w:val="left" w:leader="none"/>
          <w:tab w:pos="1191" w:val="left" w:leader="none"/>
        </w:tabs>
        <w:spacing w:line="240" w:lineRule="auto" w:before="120" w:after="0"/>
        <w:ind w:left="1190" w:right="0" w:hanging="361"/>
        <w:jc w:val="left"/>
        <w:rPr>
          <w:sz w:val="20"/>
        </w:rPr>
      </w:pPr>
      <w:r>
        <w:rPr>
          <w:sz w:val="20"/>
        </w:rPr>
        <w:t>Further analysis of liquidity in the GBP OIS market as noted</w:t>
      </w:r>
      <w:r>
        <w:rPr>
          <w:spacing w:val="-7"/>
          <w:sz w:val="20"/>
        </w:rPr>
        <w:t> </w:t>
      </w:r>
      <w:r>
        <w:rPr>
          <w:sz w:val="20"/>
        </w:rPr>
        <w:t>above;</w:t>
      </w:r>
    </w:p>
    <w:p>
      <w:pPr>
        <w:pStyle w:val="BodyText"/>
        <w:spacing w:before="5"/>
      </w:pPr>
    </w:p>
    <w:p>
      <w:pPr>
        <w:pStyle w:val="ListParagraph"/>
        <w:numPr>
          <w:ilvl w:val="1"/>
          <w:numId w:val="1"/>
        </w:numPr>
        <w:tabs>
          <w:tab w:pos="1190" w:val="left" w:leader="none"/>
          <w:tab w:pos="1191" w:val="left" w:leader="none"/>
        </w:tabs>
        <w:spacing w:line="240" w:lineRule="auto" w:before="0" w:after="0"/>
        <w:ind w:left="1190" w:right="0" w:hanging="361"/>
        <w:jc w:val="left"/>
        <w:rPr>
          <w:sz w:val="20"/>
        </w:rPr>
      </w:pPr>
      <w:r>
        <w:rPr>
          <w:sz w:val="20"/>
        </w:rPr>
        <w:t>Agreement with a quorum of market makers to list SONIA OIS on multiple</w:t>
      </w:r>
      <w:r>
        <w:rPr>
          <w:spacing w:val="-14"/>
          <w:sz w:val="20"/>
        </w:rPr>
        <w:t> </w:t>
      </w:r>
      <w:r>
        <w:rPr>
          <w:sz w:val="20"/>
        </w:rPr>
        <w:t>MTFs;</w:t>
      </w:r>
    </w:p>
    <w:p>
      <w:pPr>
        <w:pStyle w:val="BodyText"/>
        <w:spacing w:before="2"/>
      </w:pPr>
    </w:p>
    <w:p>
      <w:pPr>
        <w:pStyle w:val="ListParagraph"/>
        <w:numPr>
          <w:ilvl w:val="1"/>
          <w:numId w:val="1"/>
        </w:numPr>
        <w:tabs>
          <w:tab w:pos="1190" w:val="left" w:leader="none"/>
          <w:tab w:pos="1191" w:val="left" w:leader="none"/>
        </w:tabs>
        <w:spacing w:line="240" w:lineRule="auto" w:before="0" w:after="0"/>
        <w:ind w:left="1190" w:right="0" w:hanging="361"/>
        <w:jc w:val="left"/>
        <w:rPr>
          <w:sz w:val="20"/>
        </w:rPr>
      </w:pPr>
      <w:r>
        <w:rPr>
          <w:sz w:val="20"/>
        </w:rPr>
        <w:t>The provision of requisite liquidity on those MTFs;</w:t>
      </w:r>
      <w:r>
        <w:rPr>
          <w:spacing w:val="-7"/>
          <w:sz w:val="20"/>
        </w:rPr>
        <w:t> </w:t>
      </w:r>
      <w:r>
        <w:rPr>
          <w:sz w:val="20"/>
        </w:rPr>
        <w:t>and</w:t>
      </w:r>
    </w:p>
    <w:p>
      <w:pPr>
        <w:pStyle w:val="BodyText"/>
        <w:spacing w:before="5"/>
      </w:pPr>
    </w:p>
    <w:p>
      <w:pPr>
        <w:pStyle w:val="ListParagraph"/>
        <w:numPr>
          <w:ilvl w:val="1"/>
          <w:numId w:val="1"/>
        </w:numPr>
        <w:tabs>
          <w:tab w:pos="1190" w:val="left" w:leader="none"/>
          <w:tab w:pos="1191" w:val="left" w:leader="none"/>
        </w:tabs>
        <w:spacing w:line="350" w:lineRule="auto" w:before="0" w:after="0"/>
        <w:ind w:left="1190" w:right="1021" w:hanging="360"/>
        <w:jc w:val="left"/>
        <w:rPr>
          <w:sz w:val="20"/>
        </w:rPr>
      </w:pPr>
      <w:r>
        <w:rPr>
          <w:sz w:val="20"/>
        </w:rPr>
        <w:t>Assurance that effective measures could be taken to avoid systemic reliance on these benchmarks.</w:t>
      </w:r>
    </w:p>
    <w:p>
      <w:pPr>
        <w:pStyle w:val="Heading1"/>
        <w:spacing w:before="127"/>
      </w:pPr>
      <w:r>
        <w:rPr/>
        <w:t>Update from ISDA Working Group</w:t>
      </w:r>
    </w:p>
    <w:p>
      <w:pPr>
        <w:pStyle w:val="BodyText"/>
        <w:spacing w:before="6"/>
        <w:rPr>
          <w:b/>
        </w:rPr>
      </w:pPr>
    </w:p>
    <w:p>
      <w:pPr>
        <w:pStyle w:val="ListParagraph"/>
        <w:numPr>
          <w:ilvl w:val="0"/>
          <w:numId w:val="1"/>
        </w:numPr>
        <w:tabs>
          <w:tab w:pos="624" w:val="left" w:leader="none"/>
          <w:tab w:pos="625" w:val="left" w:leader="none"/>
        </w:tabs>
        <w:spacing w:line="360" w:lineRule="auto" w:before="0" w:after="0"/>
        <w:ind w:left="197" w:right="125" w:firstLine="0"/>
        <w:jc w:val="left"/>
        <w:rPr>
          <w:sz w:val="20"/>
        </w:rPr>
      </w:pPr>
      <w:r>
        <w:rPr>
          <w:sz w:val="20"/>
        </w:rPr>
        <w:t>The ISDA working group (WG) was assessing methodologies to determine a credit spread to RFR to use in fallbacks in the event of Libor discontinuation. The </w:t>
      </w:r>
      <w:r>
        <w:rPr>
          <w:spacing w:val="4"/>
          <w:sz w:val="20"/>
        </w:rPr>
        <w:t>WG</w:t>
      </w:r>
      <w:r>
        <w:rPr>
          <w:spacing w:val="-38"/>
          <w:sz w:val="20"/>
        </w:rPr>
        <w:t> </w:t>
      </w:r>
      <w:r>
        <w:rPr>
          <w:sz w:val="20"/>
        </w:rPr>
        <w:t>had determined three criteria to assess these methodologies against: minimise economic value transfer; resilience to manipulation; minimise distortions due to market stress. The </w:t>
      </w:r>
      <w:r>
        <w:rPr>
          <w:spacing w:val="2"/>
          <w:sz w:val="20"/>
        </w:rPr>
        <w:t>WG </w:t>
      </w:r>
      <w:r>
        <w:rPr>
          <w:sz w:val="20"/>
        </w:rPr>
        <w:t>had provided an update to the OSSG at its November meeting on potential methodologies.</w:t>
      </w:r>
    </w:p>
    <w:p>
      <w:pPr>
        <w:pStyle w:val="ListParagraph"/>
        <w:numPr>
          <w:ilvl w:val="0"/>
          <w:numId w:val="1"/>
        </w:numPr>
        <w:tabs>
          <w:tab w:pos="624" w:val="left" w:leader="none"/>
          <w:tab w:pos="625" w:val="left" w:leader="none"/>
        </w:tabs>
        <w:spacing w:line="360" w:lineRule="auto" w:before="121" w:after="0"/>
        <w:ind w:left="197" w:right="117" w:firstLine="0"/>
        <w:jc w:val="left"/>
        <w:rPr>
          <w:sz w:val="20"/>
        </w:rPr>
      </w:pPr>
      <w:r>
        <w:rPr>
          <w:sz w:val="20"/>
        </w:rPr>
        <w:t>ISDA had received feedback from certain market participants suggesting they would prefer the fallbacks for existing contracts and new contracts to be published at the same time. Other participants had also noted that there would likely need to be a trade-off between the three criteria identified to assess the credit spread – e.g. one methodology might be more effective at mitigating economic value transfer but less resilient to manipulation. ISDA had also noted that fallbacks for GBP Libor would likely be developed sooner than for other currencies (USD for example) as the GBP transition was ahead in some respects and therefore could set a precedent with regard to fallbacks. ISDA would provide another update to the OSSG later on in the</w:t>
      </w:r>
      <w:r>
        <w:rPr>
          <w:spacing w:val="2"/>
          <w:sz w:val="20"/>
        </w:rPr>
        <w:t> </w:t>
      </w:r>
      <w:r>
        <w:rPr>
          <w:sz w:val="20"/>
        </w:rPr>
        <w:t>week.</w:t>
      </w:r>
    </w:p>
    <w:p>
      <w:pPr>
        <w:spacing w:after="0" w:line="360" w:lineRule="auto"/>
        <w:jc w:val="left"/>
        <w:rPr>
          <w:sz w:val="20"/>
        </w:rPr>
        <w:sectPr>
          <w:pgSz w:w="11910" w:h="16840"/>
          <w:pgMar w:top="1180" w:bottom="280" w:left="1080" w:right="1020"/>
        </w:sectPr>
      </w:pPr>
    </w:p>
    <w:p>
      <w:pPr>
        <w:pStyle w:val="ListParagraph"/>
        <w:numPr>
          <w:ilvl w:val="0"/>
          <w:numId w:val="1"/>
        </w:numPr>
        <w:tabs>
          <w:tab w:pos="624" w:val="left" w:leader="none"/>
          <w:tab w:pos="625" w:val="left" w:leader="none"/>
        </w:tabs>
        <w:spacing w:line="360" w:lineRule="auto" w:before="75" w:after="0"/>
        <w:ind w:left="197" w:right="147" w:firstLine="0"/>
        <w:jc w:val="left"/>
        <w:rPr>
          <w:sz w:val="20"/>
        </w:rPr>
      </w:pPr>
      <w:r>
        <w:rPr>
          <w:sz w:val="20"/>
        </w:rPr>
        <w:t>ISDA had announced that it would be launching a market survey in 2018 designed to provide a consolidated summary of usages of Libor. They were keen that members of the Working Group engaged in this</w:t>
      </w:r>
      <w:r>
        <w:rPr>
          <w:spacing w:val="1"/>
          <w:sz w:val="20"/>
        </w:rPr>
        <w:t> </w:t>
      </w:r>
      <w:r>
        <w:rPr>
          <w:sz w:val="20"/>
        </w:rPr>
        <w:t>work.</w:t>
      </w:r>
    </w:p>
    <w:p>
      <w:pPr>
        <w:pStyle w:val="BodyText"/>
        <w:rPr>
          <w:sz w:val="22"/>
        </w:rPr>
      </w:pPr>
    </w:p>
    <w:p>
      <w:pPr>
        <w:pStyle w:val="BodyText"/>
        <w:spacing w:before="8"/>
        <w:rPr>
          <w:sz w:val="28"/>
        </w:rPr>
      </w:pPr>
    </w:p>
    <w:p>
      <w:pPr>
        <w:pStyle w:val="Heading1"/>
      </w:pPr>
      <w:r>
        <w:rPr/>
        <w:t>Prospective Q&amp;A document</w:t>
      </w:r>
    </w:p>
    <w:p>
      <w:pPr>
        <w:pStyle w:val="BodyText"/>
        <w:spacing w:before="6"/>
        <w:rPr>
          <w:b/>
        </w:rPr>
      </w:pPr>
    </w:p>
    <w:p>
      <w:pPr>
        <w:pStyle w:val="ListParagraph"/>
        <w:numPr>
          <w:ilvl w:val="0"/>
          <w:numId w:val="1"/>
        </w:numPr>
        <w:tabs>
          <w:tab w:pos="624" w:val="left" w:leader="none"/>
          <w:tab w:pos="625" w:val="left" w:leader="none"/>
        </w:tabs>
        <w:spacing w:line="360" w:lineRule="auto" w:before="0" w:after="0"/>
        <w:ind w:left="197" w:right="342" w:firstLine="0"/>
        <w:jc w:val="left"/>
        <w:rPr>
          <w:sz w:val="20"/>
        </w:rPr>
      </w:pPr>
      <w:r>
        <w:rPr>
          <w:sz w:val="20"/>
        </w:rPr>
        <w:t>The Bank of England presented a proposed Q&amp;A document to be displayed on the Working Group’s webpage which would provide an accessible means for interested parties to get answers to some of the more obvious questions regarding RFR transition and the group’s work. Members were asked to provide comments on this document before it is</w:t>
      </w:r>
      <w:r>
        <w:rPr>
          <w:spacing w:val="-2"/>
          <w:sz w:val="20"/>
        </w:rPr>
        <w:t> </w:t>
      </w:r>
      <w:r>
        <w:rPr>
          <w:sz w:val="20"/>
        </w:rPr>
        <w:t>published.</w:t>
      </w:r>
    </w:p>
    <w:p>
      <w:pPr>
        <w:spacing w:after="0" w:line="360" w:lineRule="auto"/>
        <w:jc w:val="left"/>
        <w:rPr>
          <w:sz w:val="20"/>
        </w:rPr>
        <w:sectPr>
          <w:pgSz w:w="11910" w:h="16840"/>
          <w:pgMar w:top="1180" w:bottom="280" w:left="1080" w:right="1020"/>
        </w:sectPr>
      </w:pPr>
    </w:p>
    <w:p>
      <w:pPr>
        <w:pStyle w:val="Heading1"/>
        <w:spacing w:before="73"/>
      </w:pPr>
      <w:r>
        <w:rPr/>
        <w:t>Private sector</w:t>
      </w:r>
      <w:r>
        <w:rPr>
          <w:spacing w:val="-11"/>
        </w:rPr>
        <w:t> </w:t>
      </w:r>
      <w:r>
        <w:rPr/>
        <w:t>attendees</w:t>
      </w:r>
    </w:p>
    <w:p>
      <w:pPr>
        <w:pStyle w:val="BodyText"/>
        <w:spacing w:before="1"/>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3028"/>
      </w:tblGrid>
      <w:tr>
        <w:trPr>
          <w:trHeight w:val="262" w:hRule="atLeast"/>
        </w:trPr>
        <w:tc>
          <w:tcPr>
            <w:tcW w:w="2774" w:type="dxa"/>
          </w:tcPr>
          <w:p>
            <w:pPr>
              <w:pStyle w:val="TableParagraph"/>
              <w:spacing w:line="225" w:lineRule="exact" w:before="0"/>
              <w:rPr>
                <w:sz w:val="20"/>
              </w:rPr>
            </w:pPr>
            <w:r>
              <w:rPr>
                <w:sz w:val="20"/>
              </w:rPr>
              <w:t>Francois Jourdain</w:t>
            </w:r>
          </w:p>
        </w:tc>
        <w:tc>
          <w:tcPr>
            <w:tcW w:w="3028" w:type="dxa"/>
          </w:tcPr>
          <w:p>
            <w:pPr>
              <w:pStyle w:val="TableParagraph"/>
              <w:spacing w:line="223" w:lineRule="exact" w:before="0"/>
              <w:ind w:left="544"/>
              <w:rPr>
                <w:b/>
                <w:sz w:val="20"/>
              </w:rPr>
            </w:pPr>
            <w:r>
              <w:rPr>
                <w:b/>
                <w:sz w:val="20"/>
              </w:rPr>
              <w:t>Barclays (Chair)</w:t>
            </w:r>
          </w:p>
        </w:tc>
      </w:tr>
      <w:tr>
        <w:trPr>
          <w:trHeight w:val="300" w:hRule="atLeast"/>
        </w:trPr>
        <w:tc>
          <w:tcPr>
            <w:tcW w:w="2774" w:type="dxa"/>
          </w:tcPr>
          <w:p>
            <w:pPr>
              <w:pStyle w:val="TableParagraph"/>
              <w:spacing w:before="32"/>
              <w:rPr>
                <w:sz w:val="20"/>
              </w:rPr>
            </w:pPr>
            <w:r>
              <w:rPr>
                <w:sz w:val="20"/>
              </w:rPr>
              <w:t>Andreas Giannopoulos</w:t>
            </w:r>
          </w:p>
        </w:tc>
        <w:tc>
          <w:tcPr>
            <w:tcW w:w="3028" w:type="dxa"/>
          </w:tcPr>
          <w:p>
            <w:pPr>
              <w:pStyle w:val="TableParagraph"/>
              <w:ind w:left="544"/>
              <w:rPr>
                <w:b/>
                <w:sz w:val="20"/>
              </w:rPr>
            </w:pPr>
            <w:r>
              <w:rPr>
                <w:b/>
                <w:sz w:val="20"/>
              </w:rPr>
              <w:t>Barclays (Chair’s office)</w:t>
            </w:r>
          </w:p>
        </w:tc>
      </w:tr>
      <w:tr>
        <w:trPr>
          <w:trHeight w:val="300" w:hRule="atLeast"/>
        </w:trPr>
        <w:tc>
          <w:tcPr>
            <w:tcW w:w="2774" w:type="dxa"/>
          </w:tcPr>
          <w:p>
            <w:pPr>
              <w:pStyle w:val="TableParagraph"/>
              <w:spacing w:before="32"/>
              <w:rPr>
                <w:sz w:val="20"/>
              </w:rPr>
            </w:pPr>
            <w:r>
              <w:rPr>
                <w:sz w:val="20"/>
              </w:rPr>
              <w:t>Mike Manna</w:t>
            </w:r>
          </w:p>
        </w:tc>
        <w:tc>
          <w:tcPr>
            <w:tcW w:w="3028" w:type="dxa"/>
          </w:tcPr>
          <w:p>
            <w:pPr>
              <w:pStyle w:val="TableParagraph"/>
              <w:ind w:left="544"/>
              <w:rPr>
                <w:b/>
                <w:sz w:val="20"/>
              </w:rPr>
            </w:pPr>
            <w:r>
              <w:rPr>
                <w:b/>
                <w:sz w:val="20"/>
              </w:rPr>
              <w:t>Barclays</w:t>
            </w:r>
          </w:p>
        </w:tc>
      </w:tr>
      <w:tr>
        <w:trPr>
          <w:trHeight w:val="300" w:hRule="atLeast"/>
        </w:trPr>
        <w:tc>
          <w:tcPr>
            <w:tcW w:w="2774" w:type="dxa"/>
          </w:tcPr>
          <w:p>
            <w:pPr>
              <w:pStyle w:val="TableParagraph"/>
              <w:spacing w:before="32"/>
              <w:rPr>
                <w:sz w:val="20"/>
              </w:rPr>
            </w:pPr>
            <w:r>
              <w:rPr>
                <w:sz w:val="20"/>
              </w:rPr>
              <w:t>Nick Saggers</w:t>
            </w:r>
          </w:p>
        </w:tc>
        <w:tc>
          <w:tcPr>
            <w:tcW w:w="3028" w:type="dxa"/>
          </w:tcPr>
          <w:p>
            <w:pPr>
              <w:pStyle w:val="TableParagraph"/>
              <w:ind w:left="544"/>
              <w:rPr>
                <w:b/>
                <w:sz w:val="20"/>
              </w:rPr>
            </w:pPr>
            <w:r>
              <w:rPr>
                <w:b/>
                <w:sz w:val="20"/>
              </w:rPr>
              <w:t>BAML</w:t>
            </w:r>
          </w:p>
        </w:tc>
      </w:tr>
      <w:tr>
        <w:trPr>
          <w:trHeight w:val="300" w:hRule="atLeast"/>
        </w:trPr>
        <w:tc>
          <w:tcPr>
            <w:tcW w:w="2774" w:type="dxa"/>
          </w:tcPr>
          <w:p>
            <w:pPr>
              <w:pStyle w:val="TableParagraph"/>
              <w:spacing w:before="32"/>
              <w:rPr>
                <w:sz w:val="20"/>
              </w:rPr>
            </w:pPr>
            <w:r>
              <w:rPr>
                <w:sz w:val="20"/>
              </w:rPr>
              <w:t>Frederic Macquet</w:t>
            </w:r>
          </w:p>
        </w:tc>
        <w:tc>
          <w:tcPr>
            <w:tcW w:w="3028" w:type="dxa"/>
          </w:tcPr>
          <w:p>
            <w:pPr>
              <w:pStyle w:val="TableParagraph"/>
              <w:ind w:left="544"/>
              <w:rPr>
                <w:b/>
                <w:sz w:val="20"/>
              </w:rPr>
            </w:pPr>
            <w:r>
              <w:rPr>
                <w:b/>
                <w:sz w:val="20"/>
              </w:rPr>
              <w:t>BNP Paribas</w:t>
            </w:r>
          </w:p>
        </w:tc>
      </w:tr>
      <w:tr>
        <w:trPr>
          <w:trHeight w:val="300" w:hRule="atLeast"/>
        </w:trPr>
        <w:tc>
          <w:tcPr>
            <w:tcW w:w="2774" w:type="dxa"/>
          </w:tcPr>
          <w:p>
            <w:pPr>
              <w:pStyle w:val="TableParagraph"/>
              <w:spacing w:before="32"/>
              <w:rPr>
                <w:sz w:val="20"/>
              </w:rPr>
            </w:pPr>
            <w:r>
              <w:rPr>
                <w:sz w:val="20"/>
              </w:rPr>
              <w:t>Alain Verdickt</w:t>
            </w:r>
          </w:p>
        </w:tc>
        <w:tc>
          <w:tcPr>
            <w:tcW w:w="3028" w:type="dxa"/>
          </w:tcPr>
          <w:p>
            <w:pPr>
              <w:pStyle w:val="TableParagraph"/>
              <w:ind w:left="544"/>
              <w:rPr>
                <w:b/>
                <w:sz w:val="20"/>
              </w:rPr>
            </w:pPr>
            <w:r>
              <w:rPr>
                <w:b/>
                <w:sz w:val="20"/>
              </w:rPr>
              <w:t>Citigroup</w:t>
            </w:r>
          </w:p>
        </w:tc>
      </w:tr>
      <w:tr>
        <w:trPr>
          <w:trHeight w:val="300" w:hRule="atLeast"/>
        </w:trPr>
        <w:tc>
          <w:tcPr>
            <w:tcW w:w="2774" w:type="dxa"/>
          </w:tcPr>
          <w:p>
            <w:pPr>
              <w:pStyle w:val="TableParagraph"/>
              <w:spacing w:before="32"/>
              <w:rPr>
                <w:sz w:val="20"/>
              </w:rPr>
            </w:pPr>
            <w:r>
              <w:rPr>
                <w:sz w:val="20"/>
              </w:rPr>
              <w:t>Stephen Randall</w:t>
            </w:r>
          </w:p>
        </w:tc>
        <w:tc>
          <w:tcPr>
            <w:tcW w:w="3028" w:type="dxa"/>
          </w:tcPr>
          <w:p>
            <w:pPr>
              <w:pStyle w:val="TableParagraph"/>
              <w:ind w:left="544"/>
              <w:rPr>
                <w:b/>
                <w:sz w:val="20"/>
              </w:rPr>
            </w:pPr>
            <w:r>
              <w:rPr>
                <w:b/>
                <w:sz w:val="20"/>
              </w:rPr>
              <w:t>Citigroup</w:t>
            </w:r>
          </w:p>
        </w:tc>
      </w:tr>
      <w:tr>
        <w:trPr>
          <w:trHeight w:val="300" w:hRule="atLeast"/>
        </w:trPr>
        <w:tc>
          <w:tcPr>
            <w:tcW w:w="2774" w:type="dxa"/>
          </w:tcPr>
          <w:p>
            <w:pPr>
              <w:pStyle w:val="TableParagraph"/>
              <w:spacing w:before="32"/>
              <w:rPr>
                <w:sz w:val="20"/>
              </w:rPr>
            </w:pPr>
            <w:r>
              <w:rPr>
                <w:sz w:val="20"/>
              </w:rPr>
              <w:t>Alistair Sharp</w:t>
            </w:r>
          </w:p>
        </w:tc>
        <w:tc>
          <w:tcPr>
            <w:tcW w:w="3028" w:type="dxa"/>
          </w:tcPr>
          <w:p>
            <w:pPr>
              <w:pStyle w:val="TableParagraph"/>
              <w:ind w:left="544"/>
              <w:rPr>
                <w:b/>
                <w:sz w:val="20"/>
              </w:rPr>
            </w:pPr>
            <w:r>
              <w:rPr>
                <w:b/>
                <w:sz w:val="20"/>
              </w:rPr>
              <w:t>Credit Suisse</w:t>
            </w:r>
          </w:p>
        </w:tc>
      </w:tr>
      <w:tr>
        <w:trPr>
          <w:trHeight w:val="300" w:hRule="atLeast"/>
        </w:trPr>
        <w:tc>
          <w:tcPr>
            <w:tcW w:w="2774" w:type="dxa"/>
          </w:tcPr>
          <w:p>
            <w:pPr>
              <w:pStyle w:val="TableParagraph"/>
              <w:spacing w:before="32"/>
              <w:rPr>
                <w:sz w:val="20"/>
              </w:rPr>
            </w:pPr>
            <w:r>
              <w:rPr>
                <w:sz w:val="20"/>
              </w:rPr>
              <w:t>Arif Merali</w:t>
            </w:r>
          </w:p>
        </w:tc>
        <w:tc>
          <w:tcPr>
            <w:tcW w:w="3028" w:type="dxa"/>
          </w:tcPr>
          <w:p>
            <w:pPr>
              <w:pStyle w:val="TableParagraph"/>
              <w:ind w:left="544"/>
              <w:rPr>
                <w:b/>
                <w:sz w:val="20"/>
              </w:rPr>
            </w:pPr>
            <w:r>
              <w:rPr>
                <w:b/>
                <w:sz w:val="20"/>
              </w:rPr>
              <w:t>Credit Suisse</w:t>
            </w:r>
          </w:p>
        </w:tc>
      </w:tr>
      <w:tr>
        <w:trPr>
          <w:trHeight w:val="300" w:hRule="atLeast"/>
        </w:trPr>
        <w:tc>
          <w:tcPr>
            <w:tcW w:w="2774" w:type="dxa"/>
          </w:tcPr>
          <w:p>
            <w:pPr>
              <w:pStyle w:val="TableParagraph"/>
              <w:spacing w:before="32"/>
              <w:rPr>
                <w:sz w:val="20"/>
              </w:rPr>
            </w:pPr>
            <w:r>
              <w:rPr>
                <w:sz w:val="20"/>
              </w:rPr>
              <w:t>Susanne Louis</w:t>
            </w:r>
          </w:p>
        </w:tc>
        <w:tc>
          <w:tcPr>
            <w:tcW w:w="3028" w:type="dxa"/>
          </w:tcPr>
          <w:p>
            <w:pPr>
              <w:pStyle w:val="TableParagraph"/>
              <w:ind w:left="544"/>
              <w:rPr>
                <w:b/>
                <w:sz w:val="20"/>
              </w:rPr>
            </w:pPr>
            <w:r>
              <w:rPr>
                <w:b/>
                <w:sz w:val="20"/>
              </w:rPr>
              <w:t>Deutsche Bank</w:t>
            </w:r>
          </w:p>
        </w:tc>
      </w:tr>
      <w:tr>
        <w:trPr>
          <w:trHeight w:val="300" w:hRule="atLeast"/>
        </w:trPr>
        <w:tc>
          <w:tcPr>
            <w:tcW w:w="2774" w:type="dxa"/>
          </w:tcPr>
          <w:p>
            <w:pPr>
              <w:pStyle w:val="TableParagraph"/>
              <w:spacing w:before="32"/>
              <w:rPr>
                <w:sz w:val="20"/>
              </w:rPr>
            </w:pPr>
            <w:r>
              <w:rPr>
                <w:sz w:val="20"/>
              </w:rPr>
              <w:t>Chirag Dave</w:t>
            </w:r>
          </w:p>
        </w:tc>
        <w:tc>
          <w:tcPr>
            <w:tcW w:w="3028" w:type="dxa"/>
          </w:tcPr>
          <w:p>
            <w:pPr>
              <w:pStyle w:val="TableParagraph"/>
              <w:ind w:left="544"/>
              <w:rPr>
                <w:b/>
                <w:sz w:val="20"/>
              </w:rPr>
            </w:pPr>
            <w:r>
              <w:rPr>
                <w:b/>
                <w:sz w:val="20"/>
              </w:rPr>
              <w:t>Goldman Sachs</w:t>
            </w:r>
          </w:p>
        </w:tc>
      </w:tr>
      <w:tr>
        <w:trPr>
          <w:trHeight w:val="300" w:hRule="atLeast"/>
        </w:trPr>
        <w:tc>
          <w:tcPr>
            <w:tcW w:w="2774" w:type="dxa"/>
          </w:tcPr>
          <w:p>
            <w:pPr>
              <w:pStyle w:val="TableParagraph"/>
              <w:spacing w:before="32"/>
              <w:rPr>
                <w:sz w:val="20"/>
              </w:rPr>
            </w:pPr>
            <w:r>
              <w:rPr>
                <w:sz w:val="20"/>
              </w:rPr>
              <w:t>Michael Graham</w:t>
            </w:r>
          </w:p>
        </w:tc>
        <w:tc>
          <w:tcPr>
            <w:tcW w:w="3028" w:type="dxa"/>
          </w:tcPr>
          <w:p>
            <w:pPr>
              <w:pStyle w:val="TableParagraph"/>
              <w:ind w:left="544"/>
              <w:rPr>
                <w:b/>
                <w:sz w:val="20"/>
              </w:rPr>
            </w:pPr>
            <w:r>
              <w:rPr>
                <w:b/>
                <w:sz w:val="20"/>
              </w:rPr>
              <w:t>Goldman Sachs</w:t>
            </w:r>
          </w:p>
        </w:tc>
      </w:tr>
      <w:tr>
        <w:trPr>
          <w:trHeight w:val="300" w:hRule="atLeast"/>
        </w:trPr>
        <w:tc>
          <w:tcPr>
            <w:tcW w:w="2774" w:type="dxa"/>
          </w:tcPr>
          <w:p>
            <w:pPr>
              <w:pStyle w:val="TableParagraph"/>
              <w:spacing w:before="32"/>
              <w:rPr>
                <w:sz w:val="20"/>
              </w:rPr>
            </w:pPr>
            <w:r>
              <w:rPr>
                <w:sz w:val="20"/>
              </w:rPr>
              <w:t>Glenn Handley</w:t>
            </w:r>
          </w:p>
        </w:tc>
        <w:tc>
          <w:tcPr>
            <w:tcW w:w="3028" w:type="dxa"/>
          </w:tcPr>
          <w:p>
            <w:pPr>
              <w:pStyle w:val="TableParagraph"/>
              <w:ind w:left="544"/>
              <w:rPr>
                <w:b/>
                <w:sz w:val="20"/>
              </w:rPr>
            </w:pPr>
            <w:r>
              <w:rPr>
                <w:b/>
                <w:sz w:val="20"/>
              </w:rPr>
              <w:t>HSBC</w:t>
            </w:r>
          </w:p>
        </w:tc>
      </w:tr>
      <w:tr>
        <w:trPr>
          <w:trHeight w:val="300" w:hRule="atLeast"/>
        </w:trPr>
        <w:tc>
          <w:tcPr>
            <w:tcW w:w="2774" w:type="dxa"/>
          </w:tcPr>
          <w:p>
            <w:pPr>
              <w:pStyle w:val="TableParagraph"/>
              <w:spacing w:before="33"/>
              <w:rPr>
                <w:sz w:val="20"/>
              </w:rPr>
            </w:pPr>
            <w:r>
              <w:rPr>
                <w:sz w:val="20"/>
              </w:rPr>
              <w:t>Kari Hallgrimsson</w:t>
            </w:r>
          </w:p>
        </w:tc>
        <w:tc>
          <w:tcPr>
            <w:tcW w:w="3028" w:type="dxa"/>
          </w:tcPr>
          <w:p>
            <w:pPr>
              <w:pStyle w:val="TableParagraph"/>
              <w:ind w:left="544"/>
              <w:rPr>
                <w:b/>
                <w:sz w:val="20"/>
              </w:rPr>
            </w:pPr>
            <w:r>
              <w:rPr>
                <w:b/>
                <w:sz w:val="20"/>
              </w:rPr>
              <w:t>JP Morgan</w:t>
            </w:r>
          </w:p>
        </w:tc>
      </w:tr>
      <w:tr>
        <w:trPr>
          <w:trHeight w:val="300" w:hRule="atLeast"/>
        </w:trPr>
        <w:tc>
          <w:tcPr>
            <w:tcW w:w="2774" w:type="dxa"/>
          </w:tcPr>
          <w:p>
            <w:pPr>
              <w:pStyle w:val="TableParagraph"/>
              <w:spacing w:before="32"/>
              <w:rPr>
                <w:sz w:val="20"/>
              </w:rPr>
            </w:pPr>
            <w:r>
              <w:rPr>
                <w:sz w:val="20"/>
              </w:rPr>
              <w:t>Steve Bullock</w:t>
            </w:r>
          </w:p>
        </w:tc>
        <w:tc>
          <w:tcPr>
            <w:tcW w:w="3028" w:type="dxa"/>
          </w:tcPr>
          <w:p>
            <w:pPr>
              <w:pStyle w:val="TableParagraph"/>
              <w:ind w:left="544"/>
              <w:rPr>
                <w:b/>
                <w:sz w:val="20"/>
              </w:rPr>
            </w:pPr>
            <w:r>
              <w:rPr>
                <w:b/>
                <w:sz w:val="20"/>
              </w:rPr>
              <w:t>Lloyds</w:t>
            </w:r>
          </w:p>
        </w:tc>
      </w:tr>
      <w:tr>
        <w:trPr>
          <w:trHeight w:val="300" w:hRule="atLeast"/>
        </w:trPr>
        <w:tc>
          <w:tcPr>
            <w:tcW w:w="2774" w:type="dxa"/>
          </w:tcPr>
          <w:p>
            <w:pPr>
              <w:pStyle w:val="TableParagraph"/>
              <w:spacing w:before="32"/>
              <w:rPr>
                <w:sz w:val="20"/>
              </w:rPr>
            </w:pPr>
            <w:r>
              <w:rPr>
                <w:sz w:val="20"/>
              </w:rPr>
              <w:t>Vinay Dhanuka</w:t>
            </w:r>
          </w:p>
        </w:tc>
        <w:tc>
          <w:tcPr>
            <w:tcW w:w="3028" w:type="dxa"/>
          </w:tcPr>
          <w:p>
            <w:pPr>
              <w:pStyle w:val="TableParagraph"/>
              <w:ind w:left="544"/>
              <w:rPr>
                <w:b/>
                <w:sz w:val="20"/>
              </w:rPr>
            </w:pPr>
            <w:r>
              <w:rPr>
                <w:b/>
                <w:sz w:val="20"/>
              </w:rPr>
              <w:t>Morgan Stanley</w:t>
            </w:r>
          </w:p>
        </w:tc>
      </w:tr>
      <w:tr>
        <w:trPr>
          <w:trHeight w:val="300" w:hRule="atLeast"/>
        </w:trPr>
        <w:tc>
          <w:tcPr>
            <w:tcW w:w="2774" w:type="dxa"/>
          </w:tcPr>
          <w:p>
            <w:pPr>
              <w:pStyle w:val="TableParagraph"/>
              <w:spacing w:before="32"/>
              <w:rPr>
                <w:sz w:val="20"/>
              </w:rPr>
            </w:pPr>
            <w:r>
              <w:rPr>
                <w:sz w:val="20"/>
              </w:rPr>
              <w:t>Mike Curtis</w:t>
            </w:r>
          </w:p>
        </w:tc>
        <w:tc>
          <w:tcPr>
            <w:tcW w:w="3028" w:type="dxa"/>
          </w:tcPr>
          <w:p>
            <w:pPr>
              <w:pStyle w:val="TableParagraph"/>
              <w:ind w:left="544"/>
              <w:rPr>
                <w:b/>
                <w:sz w:val="20"/>
              </w:rPr>
            </w:pPr>
            <w:r>
              <w:rPr>
                <w:b/>
                <w:sz w:val="20"/>
              </w:rPr>
              <w:t>Nomura</w:t>
            </w:r>
          </w:p>
        </w:tc>
      </w:tr>
      <w:tr>
        <w:trPr>
          <w:trHeight w:val="300" w:hRule="atLeast"/>
        </w:trPr>
        <w:tc>
          <w:tcPr>
            <w:tcW w:w="2774" w:type="dxa"/>
          </w:tcPr>
          <w:p>
            <w:pPr>
              <w:pStyle w:val="TableParagraph"/>
              <w:spacing w:before="32"/>
              <w:rPr>
                <w:sz w:val="20"/>
              </w:rPr>
            </w:pPr>
            <w:r>
              <w:rPr>
                <w:sz w:val="20"/>
              </w:rPr>
              <w:t>Mark Thommason</w:t>
            </w:r>
          </w:p>
        </w:tc>
        <w:tc>
          <w:tcPr>
            <w:tcW w:w="3028" w:type="dxa"/>
          </w:tcPr>
          <w:p>
            <w:pPr>
              <w:pStyle w:val="TableParagraph"/>
              <w:ind w:left="544"/>
              <w:rPr>
                <w:b/>
                <w:sz w:val="20"/>
              </w:rPr>
            </w:pPr>
            <w:r>
              <w:rPr>
                <w:b/>
                <w:sz w:val="20"/>
              </w:rPr>
              <w:t>RBS</w:t>
            </w:r>
          </w:p>
        </w:tc>
      </w:tr>
      <w:tr>
        <w:trPr>
          <w:trHeight w:val="300" w:hRule="atLeast"/>
        </w:trPr>
        <w:tc>
          <w:tcPr>
            <w:tcW w:w="2774" w:type="dxa"/>
          </w:tcPr>
          <w:p>
            <w:pPr>
              <w:pStyle w:val="TableParagraph"/>
              <w:spacing w:before="32"/>
              <w:rPr>
                <w:sz w:val="20"/>
              </w:rPr>
            </w:pPr>
            <w:r>
              <w:rPr>
                <w:sz w:val="20"/>
              </w:rPr>
              <w:t>Toby Stevenson</w:t>
            </w:r>
          </w:p>
        </w:tc>
        <w:tc>
          <w:tcPr>
            <w:tcW w:w="3028" w:type="dxa"/>
          </w:tcPr>
          <w:p>
            <w:pPr>
              <w:pStyle w:val="TableParagraph"/>
              <w:ind w:left="544"/>
              <w:rPr>
                <w:b/>
                <w:sz w:val="20"/>
              </w:rPr>
            </w:pPr>
            <w:r>
              <w:rPr>
                <w:b/>
                <w:sz w:val="20"/>
              </w:rPr>
              <w:t>RBS</w:t>
            </w:r>
          </w:p>
        </w:tc>
      </w:tr>
      <w:tr>
        <w:trPr>
          <w:trHeight w:val="300" w:hRule="atLeast"/>
        </w:trPr>
        <w:tc>
          <w:tcPr>
            <w:tcW w:w="2774" w:type="dxa"/>
          </w:tcPr>
          <w:p>
            <w:pPr>
              <w:pStyle w:val="TableParagraph"/>
              <w:spacing w:before="32"/>
              <w:rPr>
                <w:sz w:val="20"/>
              </w:rPr>
            </w:pPr>
            <w:r>
              <w:rPr>
                <w:sz w:val="20"/>
              </w:rPr>
              <w:t>Alan Williams</w:t>
            </w:r>
          </w:p>
        </w:tc>
        <w:tc>
          <w:tcPr>
            <w:tcW w:w="3028" w:type="dxa"/>
          </w:tcPr>
          <w:p>
            <w:pPr>
              <w:pStyle w:val="TableParagraph"/>
              <w:ind w:left="544"/>
              <w:rPr>
                <w:b/>
                <w:sz w:val="20"/>
              </w:rPr>
            </w:pPr>
            <w:r>
              <w:rPr>
                <w:b/>
                <w:sz w:val="20"/>
              </w:rPr>
              <w:t>Santander</w:t>
            </w:r>
          </w:p>
        </w:tc>
      </w:tr>
      <w:tr>
        <w:trPr>
          <w:trHeight w:val="300" w:hRule="atLeast"/>
        </w:trPr>
        <w:tc>
          <w:tcPr>
            <w:tcW w:w="2774" w:type="dxa"/>
          </w:tcPr>
          <w:p>
            <w:pPr>
              <w:pStyle w:val="TableParagraph"/>
              <w:spacing w:before="32"/>
              <w:rPr>
                <w:sz w:val="20"/>
              </w:rPr>
            </w:pPr>
            <w:r>
              <w:rPr>
                <w:sz w:val="20"/>
              </w:rPr>
              <w:t>Andrew Sacre</w:t>
            </w:r>
          </w:p>
        </w:tc>
        <w:tc>
          <w:tcPr>
            <w:tcW w:w="3028" w:type="dxa"/>
          </w:tcPr>
          <w:p>
            <w:pPr>
              <w:pStyle w:val="TableParagraph"/>
              <w:ind w:left="544"/>
              <w:rPr>
                <w:b/>
                <w:sz w:val="20"/>
              </w:rPr>
            </w:pPr>
            <w:r>
              <w:rPr>
                <w:b/>
                <w:sz w:val="20"/>
              </w:rPr>
              <w:t>Societe Generale</w:t>
            </w:r>
          </w:p>
        </w:tc>
      </w:tr>
      <w:tr>
        <w:trPr>
          <w:trHeight w:val="300" w:hRule="atLeast"/>
        </w:trPr>
        <w:tc>
          <w:tcPr>
            <w:tcW w:w="2774" w:type="dxa"/>
          </w:tcPr>
          <w:p>
            <w:pPr>
              <w:pStyle w:val="TableParagraph"/>
              <w:spacing w:before="32"/>
              <w:rPr>
                <w:sz w:val="20"/>
              </w:rPr>
            </w:pPr>
            <w:r>
              <w:rPr>
                <w:sz w:val="20"/>
              </w:rPr>
              <w:t>Ronnie Cavalli</w:t>
            </w:r>
          </w:p>
        </w:tc>
        <w:tc>
          <w:tcPr>
            <w:tcW w:w="3028" w:type="dxa"/>
          </w:tcPr>
          <w:p>
            <w:pPr>
              <w:pStyle w:val="TableParagraph"/>
              <w:ind w:left="544"/>
              <w:rPr>
                <w:b/>
                <w:sz w:val="20"/>
              </w:rPr>
            </w:pPr>
            <w:r>
              <w:rPr>
                <w:b/>
                <w:sz w:val="20"/>
              </w:rPr>
              <w:t>UBS</w:t>
            </w:r>
          </w:p>
        </w:tc>
      </w:tr>
      <w:tr>
        <w:trPr>
          <w:trHeight w:val="300" w:hRule="atLeast"/>
        </w:trPr>
        <w:tc>
          <w:tcPr>
            <w:tcW w:w="2774" w:type="dxa"/>
          </w:tcPr>
          <w:p>
            <w:pPr>
              <w:pStyle w:val="TableParagraph"/>
              <w:spacing w:before="32"/>
              <w:rPr>
                <w:sz w:val="20"/>
              </w:rPr>
            </w:pPr>
            <w:r>
              <w:rPr>
                <w:sz w:val="20"/>
              </w:rPr>
              <w:t>Frances Hinden</w:t>
            </w:r>
          </w:p>
        </w:tc>
        <w:tc>
          <w:tcPr>
            <w:tcW w:w="3028" w:type="dxa"/>
          </w:tcPr>
          <w:p>
            <w:pPr>
              <w:pStyle w:val="TableParagraph"/>
              <w:ind w:left="544"/>
              <w:rPr>
                <w:b/>
                <w:sz w:val="20"/>
              </w:rPr>
            </w:pPr>
            <w:r>
              <w:rPr>
                <w:b/>
                <w:sz w:val="20"/>
              </w:rPr>
              <w:t>Shell (Observer)</w:t>
            </w:r>
          </w:p>
        </w:tc>
      </w:tr>
      <w:tr>
        <w:trPr>
          <w:trHeight w:val="300" w:hRule="atLeast"/>
        </w:trPr>
        <w:tc>
          <w:tcPr>
            <w:tcW w:w="2774" w:type="dxa"/>
          </w:tcPr>
          <w:p>
            <w:pPr>
              <w:pStyle w:val="TableParagraph"/>
              <w:spacing w:before="32"/>
              <w:rPr>
                <w:sz w:val="20"/>
              </w:rPr>
            </w:pPr>
            <w:r>
              <w:rPr>
                <w:sz w:val="20"/>
              </w:rPr>
              <w:t>Phil Whitehurst</w:t>
            </w:r>
          </w:p>
        </w:tc>
        <w:tc>
          <w:tcPr>
            <w:tcW w:w="3028" w:type="dxa"/>
          </w:tcPr>
          <w:p>
            <w:pPr>
              <w:pStyle w:val="TableParagraph"/>
              <w:ind w:left="544"/>
              <w:rPr>
                <w:b/>
                <w:sz w:val="20"/>
              </w:rPr>
            </w:pPr>
            <w:r>
              <w:rPr>
                <w:b/>
                <w:sz w:val="20"/>
              </w:rPr>
              <w:t>LCH ltd (Observer)</w:t>
            </w:r>
          </w:p>
        </w:tc>
      </w:tr>
      <w:tr>
        <w:trPr>
          <w:trHeight w:val="300" w:hRule="atLeast"/>
        </w:trPr>
        <w:tc>
          <w:tcPr>
            <w:tcW w:w="2774" w:type="dxa"/>
          </w:tcPr>
          <w:p>
            <w:pPr>
              <w:pStyle w:val="TableParagraph"/>
              <w:spacing w:before="32"/>
              <w:rPr>
                <w:sz w:val="20"/>
              </w:rPr>
            </w:pPr>
            <w:r>
              <w:rPr>
                <w:sz w:val="20"/>
              </w:rPr>
              <w:t>David Horner</w:t>
            </w:r>
          </w:p>
        </w:tc>
        <w:tc>
          <w:tcPr>
            <w:tcW w:w="3028" w:type="dxa"/>
          </w:tcPr>
          <w:p>
            <w:pPr>
              <w:pStyle w:val="TableParagraph"/>
              <w:ind w:left="544"/>
              <w:rPr>
                <w:b/>
                <w:sz w:val="20"/>
              </w:rPr>
            </w:pPr>
            <w:r>
              <w:rPr>
                <w:b/>
                <w:sz w:val="20"/>
              </w:rPr>
              <w:t>LCH ltd (Observer)</w:t>
            </w:r>
          </w:p>
        </w:tc>
      </w:tr>
      <w:tr>
        <w:trPr>
          <w:trHeight w:val="262" w:hRule="atLeast"/>
        </w:trPr>
        <w:tc>
          <w:tcPr>
            <w:tcW w:w="2774" w:type="dxa"/>
          </w:tcPr>
          <w:p>
            <w:pPr>
              <w:pStyle w:val="TableParagraph"/>
              <w:spacing w:line="210" w:lineRule="exact" w:before="33"/>
              <w:rPr>
                <w:sz w:val="20"/>
              </w:rPr>
            </w:pPr>
            <w:r>
              <w:rPr>
                <w:sz w:val="20"/>
              </w:rPr>
              <w:t>Rick Sandilands</w:t>
            </w:r>
          </w:p>
        </w:tc>
        <w:tc>
          <w:tcPr>
            <w:tcW w:w="3028" w:type="dxa"/>
          </w:tcPr>
          <w:p>
            <w:pPr>
              <w:pStyle w:val="TableParagraph"/>
              <w:spacing w:line="212" w:lineRule="exact"/>
              <w:ind w:left="544"/>
              <w:rPr>
                <w:b/>
                <w:sz w:val="20"/>
              </w:rPr>
            </w:pPr>
            <w:r>
              <w:rPr>
                <w:b/>
                <w:sz w:val="20"/>
              </w:rPr>
              <w:t>ISDA (Observer)</w:t>
            </w:r>
          </w:p>
        </w:tc>
      </w:tr>
    </w:tbl>
    <w:p>
      <w:pPr>
        <w:pStyle w:val="BodyText"/>
        <w:rPr>
          <w:b/>
          <w:sz w:val="22"/>
        </w:rPr>
      </w:pPr>
    </w:p>
    <w:p>
      <w:pPr>
        <w:pStyle w:val="BodyText"/>
        <w:rPr>
          <w:b/>
          <w:sz w:val="22"/>
        </w:rPr>
      </w:pPr>
    </w:p>
    <w:p>
      <w:pPr>
        <w:pStyle w:val="BodyText"/>
        <w:spacing w:before="6"/>
        <w:rPr>
          <w:b/>
          <w:sz w:val="25"/>
        </w:rPr>
      </w:pPr>
    </w:p>
    <w:p>
      <w:pPr>
        <w:spacing w:before="0"/>
        <w:ind w:left="197" w:right="0" w:firstLine="0"/>
        <w:jc w:val="left"/>
        <w:rPr>
          <w:b/>
          <w:sz w:val="20"/>
        </w:rPr>
      </w:pPr>
      <w:r>
        <w:rPr>
          <w:b/>
          <w:sz w:val="20"/>
        </w:rPr>
        <w:t>Official sector</w:t>
      </w:r>
      <w:r>
        <w:rPr>
          <w:b/>
          <w:spacing w:val="-9"/>
          <w:sz w:val="20"/>
        </w:rPr>
        <w:t> </w:t>
      </w:r>
      <w:r>
        <w:rPr>
          <w:b/>
          <w:sz w:val="20"/>
        </w:rPr>
        <w:t>attendees</w:t>
      </w:r>
    </w:p>
    <w:p>
      <w:pPr>
        <w:pStyle w:val="BodyText"/>
        <w:spacing w:after="1"/>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3" w:hRule="atLeast"/>
        </w:trPr>
        <w:tc>
          <w:tcPr>
            <w:tcW w:w="2580" w:type="dxa"/>
          </w:tcPr>
          <w:p>
            <w:pPr>
              <w:pStyle w:val="TableParagraph"/>
              <w:spacing w:line="225" w:lineRule="exact" w:before="0"/>
              <w:rPr>
                <w:sz w:val="20"/>
              </w:rPr>
            </w:pPr>
            <w:r>
              <w:rPr>
                <w:sz w:val="20"/>
              </w:rPr>
              <w:t>Ed Ocampo</w:t>
            </w:r>
          </w:p>
        </w:tc>
        <w:tc>
          <w:tcPr>
            <w:tcW w:w="3657" w:type="dxa"/>
          </w:tcPr>
          <w:p>
            <w:pPr>
              <w:pStyle w:val="TableParagraph"/>
              <w:spacing w:line="223" w:lineRule="exact" w:before="0"/>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Imane Bakkar</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Josh Jones</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John Budd</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Harriet Hunnable</w:t>
            </w:r>
          </w:p>
        </w:tc>
        <w:tc>
          <w:tcPr>
            <w:tcW w:w="3657" w:type="dxa"/>
          </w:tcPr>
          <w:p>
            <w:pPr>
              <w:pStyle w:val="TableParagraph"/>
              <w:spacing w:before="32"/>
              <w:ind w:left="781"/>
              <w:rPr>
                <w:b/>
                <w:sz w:val="20"/>
              </w:rPr>
            </w:pPr>
            <w:r>
              <w:rPr>
                <w:b/>
                <w:sz w:val="20"/>
              </w:rPr>
              <w:t>Financial Conduct Authority</w:t>
            </w:r>
          </w:p>
        </w:tc>
      </w:tr>
      <w:tr>
        <w:trPr>
          <w:trHeight w:val="302" w:hRule="atLeast"/>
        </w:trPr>
        <w:tc>
          <w:tcPr>
            <w:tcW w:w="2580" w:type="dxa"/>
          </w:tcPr>
          <w:p>
            <w:pPr>
              <w:pStyle w:val="TableParagraph"/>
              <w:spacing w:before="34"/>
              <w:rPr>
                <w:sz w:val="20"/>
              </w:rPr>
            </w:pPr>
            <w:r>
              <w:rPr>
                <w:sz w:val="20"/>
              </w:rPr>
              <w:t>Devid Mazzonetto</w:t>
            </w:r>
          </w:p>
        </w:tc>
        <w:tc>
          <w:tcPr>
            <w:tcW w:w="3657" w:type="dxa"/>
          </w:tcPr>
          <w:p>
            <w:pPr>
              <w:pStyle w:val="TableParagraph"/>
              <w:spacing w:before="31"/>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Heather Pilley</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1180" w:bottom="28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7" w:hanging="428"/>
        <w:jc w:val="left"/>
      </w:pPr>
      <w:rPr>
        <w:rFonts w:hint="default" w:ascii="Arial" w:hAnsi="Arial" w:eastAsia="Arial" w:cs="Arial"/>
        <w:w w:val="99"/>
        <w:sz w:val="20"/>
        <w:szCs w:val="20"/>
        <w:lang w:val="en-gb" w:eastAsia="en-gb" w:bidi="en-gb"/>
      </w:rPr>
    </w:lvl>
    <w:lvl w:ilvl="1">
      <w:start w:val="0"/>
      <w:numFmt w:val="bullet"/>
      <w:lvlText w:val=""/>
      <w:lvlJc w:val="left"/>
      <w:pPr>
        <w:ind w:left="1190" w:hanging="360"/>
      </w:pPr>
      <w:rPr>
        <w:rFonts w:hint="default" w:ascii="Symbol" w:hAnsi="Symbol" w:eastAsia="Symbol" w:cs="Symbol"/>
        <w:w w:val="99"/>
        <w:sz w:val="20"/>
        <w:szCs w:val="20"/>
        <w:lang w:val="en-gb" w:eastAsia="en-gb" w:bidi="en-gb"/>
      </w:rPr>
    </w:lvl>
    <w:lvl w:ilvl="2">
      <w:start w:val="0"/>
      <w:numFmt w:val="bullet"/>
      <w:lvlText w:val="•"/>
      <w:lvlJc w:val="left"/>
      <w:pPr>
        <w:ind w:left="2156" w:hanging="360"/>
      </w:pPr>
      <w:rPr>
        <w:rFonts w:hint="default"/>
        <w:lang w:val="en-gb" w:eastAsia="en-gb" w:bidi="en-gb"/>
      </w:rPr>
    </w:lvl>
    <w:lvl w:ilvl="3">
      <w:start w:val="0"/>
      <w:numFmt w:val="bullet"/>
      <w:lvlText w:val="•"/>
      <w:lvlJc w:val="left"/>
      <w:pPr>
        <w:ind w:left="3112" w:hanging="360"/>
      </w:pPr>
      <w:rPr>
        <w:rFonts w:hint="default"/>
        <w:lang w:val="en-gb" w:eastAsia="en-gb" w:bidi="en-gb"/>
      </w:rPr>
    </w:lvl>
    <w:lvl w:ilvl="4">
      <w:start w:val="0"/>
      <w:numFmt w:val="bullet"/>
      <w:lvlText w:val="•"/>
      <w:lvlJc w:val="left"/>
      <w:pPr>
        <w:ind w:left="4068" w:hanging="360"/>
      </w:pPr>
      <w:rPr>
        <w:rFonts w:hint="default"/>
        <w:lang w:val="en-gb" w:eastAsia="en-gb" w:bidi="en-gb"/>
      </w:rPr>
    </w:lvl>
    <w:lvl w:ilvl="5">
      <w:start w:val="0"/>
      <w:numFmt w:val="bullet"/>
      <w:lvlText w:val="•"/>
      <w:lvlJc w:val="left"/>
      <w:pPr>
        <w:ind w:left="5025" w:hanging="360"/>
      </w:pPr>
      <w:rPr>
        <w:rFonts w:hint="default"/>
        <w:lang w:val="en-gb" w:eastAsia="en-gb" w:bidi="en-gb"/>
      </w:rPr>
    </w:lvl>
    <w:lvl w:ilvl="6">
      <w:start w:val="0"/>
      <w:numFmt w:val="bullet"/>
      <w:lvlText w:val="•"/>
      <w:lvlJc w:val="left"/>
      <w:pPr>
        <w:ind w:left="5981" w:hanging="360"/>
      </w:pPr>
      <w:rPr>
        <w:rFonts w:hint="default"/>
        <w:lang w:val="en-gb" w:eastAsia="en-gb" w:bidi="en-gb"/>
      </w:rPr>
    </w:lvl>
    <w:lvl w:ilvl="7">
      <w:start w:val="0"/>
      <w:numFmt w:val="bullet"/>
      <w:lvlText w:val="•"/>
      <w:lvlJc w:val="left"/>
      <w:pPr>
        <w:ind w:left="6937" w:hanging="360"/>
      </w:pPr>
      <w:rPr>
        <w:rFonts w:hint="default"/>
        <w:lang w:val="en-gb" w:eastAsia="en-gb" w:bidi="en-gb"/>
      </w:rPr>
    </w:lvl>
    <w:lvl w:ilvl="8">
      <w:start w:val="0"/>
      <w:numFmt w:val="bullet"/>
      <w:lvlText w:val="•"/>
      <w:lvlJc w:val="left"/>
      <w:pPr>
        <w:ind w:left="789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9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97"/>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news/2017/november/bank-and-fca-launch-next-phase-of-sterling-libor-transition-work" TargetMode="External"/><Relationship Id="rId6" Type="http://schemas.openxmlformats.org/officeDocument/2006/relationships/hyperlink" Target="https://www.bankofengland.co.uk/-/media/boe/files/markets/benchmarks/sonia-reference-rates-sub-group-terms-of-reference.pdf?la=en&amp;hash=980A1A0B2ED96FD07EABB4C1AF8B1038540201C0"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Working Group on Sterling Risk-Free Reference Rates</dc:subject>
  <dc:title>Minutes of the Meeting of the Working Group on Sterling Risk-Free Reference Rates - 12 December 2017</dc:title>
  <dcterms:created xsi:type="dcterms:W3CDTF">2020-06-01T02:22:56Z</dcterms:created>
  <dcterms:modified xsi:type="dcterms:W3CDTF">2020-06-01T02:22:56Z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LastSaved">
    <vt:filetime>2020-06-01T00:00:00Z</vt:filetime>
  </property>
</Properties>
</file>