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362" w:lineRule="auto" w:before="73"/>
        <w:ind w:left="881" w:right="775"/>
        <w:jc w:val="center"/>
      </w:pPr>
      <w:r>
        <w:rPr/>
        <w:t>Minutes of the Meeting of the Working Group on Sterling Risk-Free Reference Rates Monday 20 February 2017</w:t>
      </w:r>
    </w:p>
    <w:p>
      <w:pPr>
        <w:spacing w:before="4"/>
        <w:ind w:left="880" w:right="775" w:firstLine="0"/>
        <w:jc w:val="center"/>
        <w:rPr>
          <w:b/>
          <w:sz w:val="20"/>
        </w:rPr>
      </w:pPr>
      <w:r>
        <w:rPr>
          <w:b/>
          <w:sz w:val="20"/>
        </w:rPr>
        <w:t>Bank of England offices - Moorgate</w:t>
      </w:r>
    </w:p>
    <w:p>
      <w:pPr>
        <w:pStyle w:val="BodyText"/>
        <w:spacing w:before="11"/>
        <w:rPr>
          <w:b/>
          <w:sz w:val="30"/>
        </w:rPr>
      </w:pPr>
    </w:p>
    <w:p>
      <w:pPr>
        <w:spacing w:before="0"/>
        <w:ind w:left="200" w:right="0" w:firstLine="0"/>
        <w:jc w:val="left"/>
        <w:rPr>
          <w:b/>
          <w:sz w:val="20"/>
        </w:rPr>
      </w:pPr>
      <w:r>
        <w:rPr>
          <w:b/>
          <w:sz w:val="20"/>
        </w:rPr>
        <w:t>Obligations under competition law</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89" w:firstLine="0"/>
        <w:jc w:val="left"/>
        <w:rPr>
          <w:sz w:val="20"/>
        </w:rPr>
      </w:pPr>
      <w:r>
        <w:rPr>
          <w:sz w:val="20"/>
        </w:rPr>
        <w:t>The Chairman reminded all members of the Group of their responsibilities in relation to</w:t>
      </w:r>
      <w:r>
        <w:rPr>
          <w:spacing w:val="-27"/>
          <w:sz w:val="20"/>
        </w:rPr>
        <w:t> </w:t>
      </w:r>
      <w:r>
        <w:rPr>
          <w:sz w:val="20"/>
        </w:rPr>
        <w:t>compliance with competition law and the importance of taking their own independent competition law</w:t>
      </w:r>
      <w:r>
        <w:rPr>
          <w:spacing w:val="-22"/>
          <w:sz w:val="20"/>
        </w:rPr>
        <w:t> </w:t>
      </w:r>
      <w:r>
        <w:rPr>
          <w:sz w:val="20"/>
        </w:rPr>
        <w:t>advice.</w:t>
      </w:r>
    </w:p>
    <w:p>
      <w:pPr>
        <w:pStyle w:val="Heading1"/>
        <w:spacing w:before="116"/>
      </w:pPr>
      <w:r>
        <w:rPr/>
        <w:t>Update from potential secured benchmark provider</w:t>
      </w:r>
    </w:p>
    <w:p>
      <w:pPr>
        <w:pStyle w:val="BodyText"/>
        <w:spacing w:before="8"/>
        <w:rPr>
          <w:b/>
        </w:rPr>
      </w:pPr>
    </w:p>
    <w:p>
      <w:pPr>
        <w:pStyle w:val="ListParagraph"/>
        <w:numPr>
          <w:ilvl w:val="0"/>
          <w:numId w:val="1"/>
        </w:numPr>
        <w:tabs>
          <w:tab w:pos="627" w:val="left" w:leader="none"/>
          <w:tab w:pos="628" w:val="left" w:leader="none"/>
        </w:tabs>
        <w:spacing w:line="240" w:lineRule="auto" w:before="0" w:after="0"/>
        <w:ind w:left="627" w:right="0" w:hanging="428"/>
        <w:jc w:val="left"/>
        <w:rPr>
          <w:sz w:val="20"/>
        </w:rPr>
      </w:pPr>
      <w:r>
        <w:rPr>
          <w:sz w:val="20"/>
        </w:rPr>
        <w:t>Representatives of the LSE Group and Euroclear UK &amp; Ireland, involved in the development of</w:t>
      </w:r>
      <w:r>
        <w:rPr>
          <w:spacing w:val="-13"/>
          <w:sz w:val="20"/>
        </w:rPr>
        <w:t> </w:t>
      </w:r>
      <w:r>
        <w:rPr>
          <w:sz w:val="20"/>
        </w:rPr>
        <w:t>the</w:t>
      </w:r>
    </w:p>
    <w:p>
      <w:pPr>
        <w:pStyle w:val="BodyText"/>
        <w:spacing w:line="360" w:lineRule="auto" w:before="116"/>
        <w:ind w:left="200" w:right="194"/>
      </w:pPr>
      <w:r>
        <w:rPr/>
        <w:t>£SONET secured interest rate benchmark, presented their view of how, if necessary, a market led OIS transition to £SONET could be achieved. The background to this work was Chris Salmon’s open letter to the Chair of the RFR WG which had set out that further work should be undertaken on OIS transition to determine whether a plan could be executed, with a high chance of success, over the next two to three years.</w:t>
      </w:r>
      <w:r>
        <w:rPr>
          <w:vertAlign w:val="superscript"/>
        </w:rPr>
        <w:t>1</w:t>
      </w:r>
    </w:p>
    <w:p>
      <w:pPr>
        <w:pStyle w:val="ListParagraph"/>
        <w:numPr>
          <w:ilvl w:val="0"/>
          <w:numId w:val="1"/>
        </w:numPr>
        <w:tabs>
          <w:tab w:pos="627" w:val="left" w:leader="none"/>
          <w:tab w:pos="628" w:val="left" w:leader="none"/>
        </w:tabs>
        <w:spacing w:line="360" w:lineRule="auto" w:before="119" w:after="0"/>
        <w:ind w:left="200" w:right="191" w:firstLine="0"/>
        <w:jc w:val="left"/>
        <w:rPr>
          <w:sz w:val="20"/>
        </w:rPr>
      </w:pPr>
      <w:r>
        <w:rPr>
          <w:sz w:val="20"/>
        </w:rPr>
        <w:t>The LSE Group had reached out to selected buy-side end users. They indicated that these contacts had been relatively less concerned specifically with the hurdle of OIS transition; their focus was on the overall adoption of the RFR as an alternative to Libor, of which the OIS transition was only one</w:t>
      </w:r>
      <w:r>
        <w:rPr>
          <w:spacing w:val="-18"/>
          <w:sz w:val="20"/>
        </w:rPr>
        <w:t> </w:t>
      </w:r>
      <w:r>
        <w:rPr>
          <w:sz w:val="20"/>
        </w:rPr>
        <w:t>part.</w:t>
      </w:r>
    </w:p>
    <w:p>
      <w:pPr>
        <w:pStyle w:val="ListParagraph"/>
        <w:numPr>
          <w:ilvl w:val="0"/>
          <w:numId w:val="1"/>
        </w:numPr>
        <w:tabs>
          <w:tab w:pos="627" w:val="left" w:leader="none"/>
          <w:tab w:pos="628" w:val="left" w:leader="none"/>
        </w:tabs>
        <w:spacing w:line="360" w:lineRule="auto" w:before="122" w:after="0"/>
        <w:ind w:left="200" w:right="609" w:firstLine="0"/>
        <w:jc w:val="left"/>
        <w:rPr>
          <w:sz w:val="20"/>
        </w:rPr>
      </w:pPr>
      <w:r>
        <w:rPr>
          <w:sz w:val="20"/>
        </w:rPr>
        <w:t>The Group discussed the LSE Group’s proposed transition path, which consisted four stages: building £SONET usage in the spot market; developing a term extension and OIS transition; moving sterling interest rate swap discounting to £SONET; £SONET usage as a Libor alternative. These proposals would feed into the output of the OIS transition</w:t>
      </w:r>
      <w:r>
        <w:rPr>
          <w:spacing w:val="-7"/>
          <w:sz w:val="20"/>
        </w:rPr>
        <w:t> </w:t>
      </w:r>
      <w:r>
        <w:rPr>
          <w:sz w:val="20"/>
        </w:rPr>
        <w:t>sub-group.</w:t>
      </w:r>
    </w:p>
    <w:p>
      <w:pPr>
        <w:pStyle w:val="Heading1"/>
        <w:spacing w:before="118"/>
      </w:pPr>
      <w:r>
        <w:rPr/>
        <w:t>Update on OIS transition workstream</w:t>
      </w:r>
    </w:p>
    <w:p>
      <w:pPr>
        <w:pStyle w:val="BodyText"/>
        <w:spacing w:before="5"/>
        <w:rPr>
          <w:b/>
        </w:rPr>
      </w:pPr>
    </w:p>
    <w:p>
      <w:pPr>
        <w:pStyle w:val="ListParagraph"/>
        <w:numPr>
          <w:ilvl w:val="0"/>
          <w:numId w:val="1"/>
        </w:numPr>
        <w:tabs>
          <w:tab w:pos="627" w:val="left" w:leader="none"/>
          <w:tab w:pos="628" w:val="left" w:leader="none"/>
        </w:tabs>
        <w:spacing w:line="360" w:lineRule="auto" w:before="1" w:after="0"/>
        <w:ind w:left="200" w:right="224" w:firstLine="0"/>
        <w:jc w:val="left"/>
        <w:rPr>
          <w:sz w:val="20"/>
        </w:rPr>
      </w:pPr>
      <w:r>
        <w:rPr>
          <w:sz w:val="20"/>
        </w:rPr>
        <w:t>A sub-group of the Working Group had been established to carry out the further work outlined in Chris Salmon’s letter. Given the importance of end-user outreach to this work, meetings were being arranged separately with pension funds and Sovereigns, Supranationals and Agencies (SSAs). These would aim to establish the impacts of different options on each of these types of stakeholder, thereby establishing the likelihood of a market-led OIS transition. An agenda had been circulated with questions to be discussed at these meetings. </w:t>
      </w:r>
      <w:r>
        <w:rPr>
          <w:spacing w:val="4"/>
          <w:sz w:val="20"/>
        </w:rPr>
        <w:t>WG </w:t>
      </w:r>
      <w:r>
        <w:rPr>
          <w:sz w:val="20"/>
        </w:rPr>
        <w:t>members were also encouraged to discuss these questions</w:t>
      </w:r>
      <w:r>
        <w:rPr>
          <w:spacing w:val="-39"/>
          <w:sz w:val="20"/>
        </w:rPr>
        <w:t> </w:t>
      </w:r>
      <w:r>
        <w:rPr>
          <w:sz w:val="20"/>
        </w:rPr>
        <w:t>with their firms’ treasury departments in order to gain their</w:t>
      </w:r>
      <w:r>
        <w:rPr>
          <w:spacing w:val="-7"/>
          <w:sz w:val="20"/>
        </w:rPr>
        <w:t> </w:t>
      </w:r>
      <w:r>
        <w:rPr>
          <w:sz w:val="20"/>
        </w:rPr>
        <w:t>perspectives.</w:t>
      </w:r>
    </w:p>
    <w:p>
      <w:pPr>
        <w:pStyle w:val="Heading1"/>
        <w:spacing w:before="119"/>
      </w:pPr>
      <w:r>
        <w:rPr/>
        <w:t>Update on SONIA reform</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53" w:firstLine="0"/>
        <w:jc w:val="left"/>
        <w:rPr>
          <w:sz w:val="20"/>
        </w:rPr>
      </w:pPr>
      <w:r>
        <w:rPr>
          <w:sz w:val="20"/>
        </w:rPr>
        <w:t>The Bank of England presented an update on SONIA reform, summarising the February 2017 supplementary consultation and providing an update on timing.</w:t>
      </w:r>
      <w:r>
        <w:rPr>
          <w:sz w:val="20"/>
          <w:vertAlign w:val="superscript"/>
        </w:rPr>
        <w:t>2</w:t>
      </w:r>
      <w:r>
        <w:rPr>
          <w:sz w:val="20"/>
          <w:vertAlign w:val="baseline"/>
        </w:rPr>
        <w:t> This supplementary consultation followed a reconsideration of the appropriate averaging methodology, seeking feedback on the recommendation of a volume-weighted trimmed mean. Like the volume-weighted median, the trimmed mean produced a rate a little more than 1 basis point below current SONIA, and daily changes correlated highly with those of current</w:t>
      </w:r>
      <w:r>
        <w:rPr>
          <w:spacing w:val="-2"/>
          <w:sz w:val="20"/>
          <w:vertAlign w:val="baseline"/>
        </w:rPr>
        <w:t> </w:t>
      </w:r>
      <w:r>
        <w:rPr>
          <w:sz w:val="20"/>
          <w:vertAlign w:val="baseline"/>
        </w:rPr>
        <w:t>SONIA.</w:t>
      </w:r>
    </w:p>
    <w:p>
      <w:pPr>
        <w:pStyle w:val="BodyText"/>
      </w:pPr>
    </w:p>
    <w:p>
      <w:pPr>
        <w:pStyle w:val="BodyText"/>
        <w:spacing w:before="8"/>
        <w:rPr>
          <w:sz w:val="19"/>
        </w:rPr>
      </w:pPr>
      <w:r>
        <w:rPr/>
        <w:pict>
          <v:shape style="position:absolute;margin-left:72.024002pt;margin-top:13.700722pt;width:144.050pt;height:.1pt;mso-position-horizontal-relative:page;mso-position-vertical-relative:paragraph;z-index:-251658240;mso-wrap-distance-left:0;mso-wrap-distance-right:0" coordorigin="1440,274" coordsize="2881,0" path="m1440,274l4321,274e" filled="false" stroked="true" strokeweight=".71997pt" strokecolor="#000000">
            <v:path arrowok="t"/>
            <v:stroke dashstyle="solid"/>
            <w10:wrap type="topAndBottom"/>
          </v:shape>
        </w:pict>
      </w:r>
    </w:p>
    <w:p>
      <w:pPr>
        <w:spacing w:line="225" w:lineRule="exact" w:before="36"/>
        <w:ind w:left="200" w:right="0" w:firstLine="0"/>
        <w:jc w:val="left"/>
        <w:rPr>
          <w:sz w:val="18"/>
        </w:rPr>
      </w:pPr>
      <w:r>
        <w:rPr>
          <w:position w:val="9"/>
          <w:sz w:val="12"/>
        </w:rPr>
        <w:t>1 </w:t>
      </w:r>
      <w:hyperlink r:id="rId5">
        <w:r>
          <w:rPr>
            <w:color w:val="0000FF"/>
            <w:sz w:val="18"/>
            <w:u w:val="single" w:color="0000FF"/>
          </w:rPr>
          <w:t>www.bankofengland.co.uk/markets/Documents/sterlingoperations/rfr/2016/letter061216.pdf</w:t>
        </w:r>
      </w:hyperlink>
    </w:p>
    <w:p>
      <w:pPr>
        <w:spacing w:line="225" w:lineRule="exact" w:before="0"/>
        <w:ind w:left="200" w:right="0" w:firstLine="0"/>
        <w:jc w:val="left"/>
        <w:rPr>
          <w:sz w:val="18"/>
        </w:rPr>
      </w:pPr>
      <w:r>
        <w:rPr>
          <w:position w:val="9"/>
          <w:sz w:val="12"/>
        </w:rPr>
        <w:t>2 </w:t>
      </w:r>
      <w:hyperlink r:id="rId6">
        <w:r>
          <w:rPr>
            <w:color w:val="0000FF"/>
            <w:sz w:val="18"/>
            <w:u w:val="single" w:color="0000FF"/>
          </w:rPr>
          <w:t>www.bankofengland.co.uk/markets/Documents/soniareformcp0217.pdf</w:t>
        </w:r>
      </w:hyperlink>
    </w:p>
    <w:p>
      <w:pPr>
        <w:spacing w:after="0" w:line="225" w:lineRule="exact"/>
        <w:jc w:val="left"/>
        <w:rPr>
          <w:sz w:val="18"/>
        </w:rPr>
        <w:sectPr>
          <w:type w:val="continuous"/>
          <w:pgSz w:w="11910" w:h="16840"/>
          <w:pgMar w:top="1180" w:bottom="280" w:left="1240" w:right="1040"/>
        </w:sectPr>
      </w:pPr>
    </w:p>
    <w:p>
      <w:pPr>
        <w:pStyle w:val="ListParagraph"/>
        <w:numPr>
          <w:ilvl w:val="0"/>
          <w:numId w:val="1"/>
        </w:numPr>
        <w:tabs>
          <w:tab w:pos="627" w:val="left" w:leader="none"/>
          <w:tab w:pos="628" w:val="left" w:leader="none"/>
        </w:tabs>
        <w:spacing w:line="360" w:lineRule="auto" w:before="75" w:after="0"/>
        <w:ind w:left="200" w:right="153" w:firstLine="0"/>
        <w:jc w:val="left"/>
        <w:rPr>
          <w:sz w:val="20"/>
        </w:rPr>
      </w:pPr>
      <w:r>
        <w:rPr>
          <w:sz w:val="20"/>
        </w:rPr>
        <w:t>The document had also provided an update on the expected date of transition to reformed SONIA, now March or April 2018. This extended transition period reflected both feedback received on the original notice period proposed by the Bank and the additional time required to consult on the averaging methodology.</w:t>
      </w:r>
    </w:p>
    <w:p>
      <w:pPr>
        <w:pStyle w:val="Heading1"/>
        <w:spacing w:before="118"/>
      </w:pPr>
      <w:r>
        <w:rPr/>
        <w:t>Comparing Candidate Risk-Free Rates</w:t>
      </w:r>
    </w:p>
    <w:p>
      <w:pPr>
        <w:pStyle w:val="BodyText"/>
        <w:spacing w:before="6"/>
        <w:rPr>
          <w:b/>
        </w:rPr>
      </w:pPr>
    </w:p>
    <w:p>
      <w:pPr>
        <w:pStyle w:val="ListParagraph"/>
        <w:numPr>
          <w:ilvl w:val="0"/>
          <w:numId w:val="1"/>
        </w:numPr>
        <w:tabs>
          <w:tab w:pos="627" w:val="left" w:leader="none"/>
          <w:tab w:pos="628" w:val="left" w:leader="none"/>
        </w:tabs>
        <w:spacing w:line="360" w:lineRule="auto" w:before="0" w:after="0"/>
        <w:ind w:left="200" w:right="101" w:firstLine="0"/>
        <w:jc w:val="left"/>
        <w:rPr>
          <w:sz w:val="20"/>
        </w:rPr>
      </w:pPr>
      <w:r>
        <w:rPr>
          <w:sz w:val="20"/>
        </w:rPr>
        <w:t>The Group discussed a set of charts comparing the behaviour of candidate risk-free rates (Reformed SONIA, £RIR and £SONET) over the previous year. During the first half of 2016 the three rates had tracked each other closely, but there had been some divergence between secured and unsecured rates since the UK referendum on membership of the European Union, and in particular around year-end. For example, 1-month compounded overnight secured rates were significantly lower than unsecured rates throughout January. Some Working Group members thought it was important that the RFR reflected funding conditions in repo markets.  Others placed weight on the relatively simpler dynamics of unsecured rates and their closer tracking of Bank</w:t>
      </w:r>
      <w:r>
        <w:rPr>
          <w:spacing w:val="-3"/>
          <w:sz w:val="20"/>
        </w:rPr>
        <w:t> </w:t>
      </w:r>
      <w:r>
        <w:rPr>
          <w:sz w:val="20"/>
        </w:rPr>
        <w:t>Rate.</w:t>
      </w:r>
    </w:p>
    <w:p>
      <w:pPr>
        <w:pStyle w:val="ListParagraph"/>
        <w:numPr>
          <w:ilvl w:val="0"/>
          <w:numId w:val="1"/>
        </w:numPr>
        <w:tabs>
          <w:tab w:pos="628" w:val="left" w:leader="none"/>
        </w:tabs>
        <w:spacing w:line="360" w:lineRule="auto" w:before="121" w:after="0"/>
        <w:ind w:left="200" w:right="664" w:firstLine="0"/>
        <w:jc w:val="both"/>
        <w:rPr>
          <w:sz w:val="20"/>
        </w:rPr>
      </w:pPr>
      <w:r>
        <w:rPr>
          <w:sz w:val="20"/>
        </w:rPr>
        <w:t>The relative merits of the candidate risk-free rates’ characteristics would be discussed in full at advocacy meetings, led by the unsecured and secured rate sub-groups, prior to the Working Group voting on a recommended</w:t>
      </w:r>
      <w:r>
        <w:rPr>
          <w:spacing w:val="1"/>
          <w:sz w:val="20"/>
        </w:rPr>
        <w:t> </w:t>
      </w:r>
      <w:r>
        <w:rPr>
          <w:sz w:val="20"/>
        </w:rPr>
        <w:t>RFR.</w:t>
      </w:r>
    </w:p>
    <w:p>
      <w:pPr>
        <w:pStyle w:val="Heading1"/>
        <w:spacing w:before="117"/>
        <w:jc w:val="both"/>
      </w:pPr>
      <w:r>
        <w:rPr/>
        <w:t>Update on ISDA-led Work on Derivative Contract Robustness</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256" w:firstLine="0"/>
        <w:jc w:val="left"/>
        <w:rPr>
          <w:sz w:val="20"/>
        </w:rPr>
      </w:pPr>
      <w:r>
        <w:rPr>
          <w:sz w:val="20"/>
        </w:rPr>
        <w:t>ISDA attendees updated the Group on the work to date on enhancing reference rate fallback provisions in contracts referencing the IBORs, in the event of their discontinuation. This work had been requested by the Financial Stability Board’s Official Sector Steering Group (OSSG). ISDA had set up three currency working groups including dealers, end-users, CCPs and IBOR benchmark administrators to consider</w:t>
      </w:r>
      <w:r>
        <w:rPr>
          <w:spacing w:val="-2"/>
          <w:sz w:val="20"/>
        </w:rPr>
        <w:t> </w:t>
      </w:r>
      <w:r>
        <w:rPr>
          <w:sz w:val="20"/>
        </w:rPr>
        <w:t>options.</w:t>
      </w:r>
    </w:p>
    <w:p>
      <w:pPr>
        <w:pStyle w:val="ListParagraph"/>
        <w:numPr>
          <w:ilvl w:val="0"/>
          <w:numId w:val="1"/>
        </w:numPr>
        <w:tabs>
          <w:tab w:pos="627" w:val="left" w:leader="none"/>
          <w:tab w:pos="628" w:val="left" w:leader="none"/>
        </w:tabs>
        <w:spacing w:line="360" w:lineRule="auto" w:before="121" w:after="0"/>
        <w:ind w:left="200" w:right="168" w:firstLine="0"/>
        <w:jc w:val="left"/>
        <w:rPr>
          <w:sz w:val="20"/>
        </w:rPr>
      </w:pPr>
      <w:r>
        <w:rPr>
          <w:sz w:val="20"/>
        </w:rPr>
        <w:t>Preliminary thoughts had been set out in an interim update from ISDA to the OSSG, covering</w:t>
      </w:r>
      <w:r>
        <w:rPr>
          <w:spacing w:val="-29"/>
          <w:sz w:val="20"/>
        </w:rPr>
        <w:t> </w:t>
      </w:r>
      <w:r>
        <w:rPr>
          <w:sz w:val="20"/>
        </w:rPr>
        <w:t>issues such as: criteria; triggers; specific rates to consider and contract frustration. Complementarities with the RFR Group’s remit had been identified: the ISDA work was dependent on the RFR recommendation, recognising that RFRs may or may not be appropriate inputs to the fallback</w:t>
      </w:r>
      <w:r>
        <w:rPr>
          <w:spacing w:val="-15"/>
          <w:sz w:val="20"/>
        </w:rPr>
        <w:t> </w:t>
      </w:r>
      <w:r>
        <w:rPr>
          <w:sz w:val="20"/>
        </w:rPr>
        <w:t>provisions.</w:t>
      </w:r>
    </w:p>
    <w:p>
      <w:pPr>
        <w:pStyle w:val="Heading1"/>
        <w:spacing w:before="118"/>
      </w:pPr>
      <w:r>
        <w:rPr/>
        <w:t>Near-future work plan</w:t>
      </w:r>
    </w:p>
    <w:p>
      <w:pPr>
        <w:pStyle w:val="BodyText"/>
        <w:spacing w:before="8"/>
        <w:rPr>
          <w:b/>
        </w:rPr>
      </w:pPr>
    </w:p>
    <w:p>
      <w:pPr>
        <w:pStyle w:val="ListParagraph"/>
        <w:numPr>
          <w:ilvl w:val="0"/>
          <w:numId w:val="1"/>
        </w:numPr>
        <w:tabs>
          <w:tab w:pos="627" w:val="left" w:leader="none"/>
          <w:tab w:pos="628" w:val="left" w:leader="none"/>
        </w:tabs>
        <w:spacing w:line="360" w:lineRule="auto" w:before="0" w:after="0"/>
        <w:ind w:left="200" w:right="177" w:firstLine="0"/>
        <w:jc w:val="left"/>
        <w:rPr>
          <w:sz w:val="20"/>
        </w:rPr>
      </w:pPr>
      <w:r>
        <w:rPr>
          <w:sz w:val="20"/>
        </w:rPr>
        <w:t>The Chair proposed a meeting schedule for the coming months. It was suggested that the next meeting would present the output of the OIS transition work. At the following meeting the relative merits of the candidate RFRs would be presented by the relevant sub-groups. Following that, it was expected that a first round of voting for a recommended RFR could occur in mid-April, with a second round of voting soon after, if needed. Group members agreed to this timeline. The Bank also agreed this timeline was appropriate, recognising it would not be publishing the final response to SONIA reform consultations until</w:t>
      </w:r>
      <w:r>
        <w:rPr>
          <w:spacing w:val="-3"/>
          <w:sz w:val="20"/>
        </w:rPr>
        <w:t> </w:t>
      </w:r>
      <w:r>
        <w:rPr>
          <w:sz w:val="20"/>
        </w:rPr>
        <w:t>end-March.</w:t>
      </w:r>
    </w:p>
    <w:p>
      <w:pPr>
        <w:spacing w:after="0" w:line="360" w:lineRule="auto"/>
        <w:jc w:val="left"/>
        <w:rPr>
          <w:sz w:val="20"/>
        </w:rPr>
        <w:sectPr>
          <w:pgSz w:w="11910" w:h="16840"/>
          <w:pgMar w:top="1180" w:bottom="280" w:left="1240" w:right="1040"/>
        </w:sectPr>
      </w:pPr>
    </w:p>
    <w:p>
      <w:pPr>
        <w:pStyle w:val="Heading1"/>
        <w:spacing w:before="75"/>
      </w:pPr>
      <w:r>
        <w:rPr/>
        <w:t>Private sector</w:t>
      </w:r>
      <w:r>
        <w:rPr>
          <w:spacing w:val="-11"/>
        </w:rPr>
        <w:t> </w:t>
      </w:r>
      <w:r>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03"/>
        <w:gridCol w:w="5060"/>
      </w:tblGrid>
      <w:tr>
        <w:trPr>
          <w:trHeight w:val="262" w:hRule="atLeast"/>
        </w:trPr>
        <w:tc>
          <w:tcPr>
            <w:tcW w:w="2703" w:type="dxa"/>
          </w:tcPr>
          <w:p>
            <w:pPr>
              <w:pStyle w:val="TableParagraph"/>
              <w:spacing w:line="225" w:lineRule="exact" w:before="0"/>
              <w:rPr>
                <w:sz w:val="20"/>
              </w:rPr>
            </w:pPr>
            <w:r>
              <w:rPr>
                <w:sz w:val="20"/>
              </w:rPr>
              <w:t>Francois Jourdain</w:t>
            </w:r>
          </w:p>
        </w:tc>
        <w:tc>
          <w:tcPr>
            <w:tcW w:w="5060" w:type="dxa"/>
          </w:tcPr>
          <w:p>
            <w:pPr>
              <w:pStyle w:val="TableParagraph"/>
              <w:spacing w:line="223" w:lineRule="exact" w:before="0"/>
              <w:ind w:left="473"/>
              <w:rPr>
                <w:b/>
                <w:sz w:val="20"/>
              </w:rPr>
            </w:pPr>
            <w:r>
              <w:rPr>
                <w:b/>
                <w:sz w:val="20"/>
              </w:rPr>
              <w:t>Barclays (Chairman)</w:t>
            </w:r>
          </w:p>
        </w:tc>
      </w:tr>
      <w:tr>
        <w:trPr>
          <w:trHeight w:val="300" w:hRule="atLeast"/>
        </w:trPr>
        <w:tc>
          <w:tcPr>
            <w:tcW w:w="2703" w:type="dxa"/>
          </w:tcPr>
          <w:p>
            <w:pPr>
              <w:pStyle w:val="TableParagraph"/>
              <w:rPr>
                <w:sz w:val="20"/>
              </w:rPr>
            </w:pPr>
            <w:r>
              <w:rPr>
                <w:sz w:val="20"/>
              </w:rPr>
              <w:t>Andreas Giannopoulos</w:t>
            </w:r>
          </w:p>
        </w:tc>
        <w:tc>
          <w:tcPr>
            <w:tcW w:w="5060" w:type="dxa"/>
          </w:tcPr>
          <w:p>
            <w:pPr>
              <w:pStyle w:val="TableParagraph"/>
              <w:spacing w:before="30"/>
              <w:ind w:left="473"/>
              <w:rPr>
                <w:b/>
                <w:sz w:val="20"/>
              </w:rPr>
            </w:pPr>
            <w:r>
              <w:rPr>
                <w:b/>
                <w:sz w:val="20"/>
              </w:rPr>
              <w:t>Barclays (Chair’s office)</w:t>
            </w:r>
          </w:p>
        </w:tc>
      </w:tr>
      <w:tr>
        <w:trPr>
          <w:trHeight w:val="300" w:hRule="atLeast"/>
        </w:trPr>
        <w:tc>
          <w:tcPr>
            <w:tcW w:w="2703" w:type="dxa"/>
          </w:tcPr>
          <w:p>
            <w:pPr>
              <w:pStyle w:val="TableParagraph"/>
              <w:rPr>
                <w:sz w:val="20"/>
              </w:rPr>
            </w:pPr>
            <w:r>
              <w:rPr>
                <w:sz w:val="20"/>
              </w:rPr>
              <w:t>Tejonidhi Kashyap</w:t>
            </w:r>
          </w:p>
        </w:tc>
        <w:tc>
          <w:tcPr>
            <w:tcW w:w="5060" w:type="dxa"/>
          </w:tcPr>
          <w:p>
            <w:pPr>
              <w:pStyle w:val="TableParagraph"/>
              <w:spacing w:before="30"/>
              <w:ind w:left="473"/>
              <w:rPr>
                <w:b/>
                <w:sz w:val="20"/>
              </w:rPr>
            </w:pPr>
            <w:r>
              <w:rPr>
                <w:b/>
                <w:sz w:val="20"/>
              </w:rPr>
              <w:t>Barclays (Chair’s office)</w:t>
            </w:r>
          </w:p>
        </w:tc>
      </w:tr>
      <w:tr>
        <w:trPr>
          <w:trHeight w:val="300" w:hRule="atLeast"/>
        </w:trPr>
        <w:tc>
          <w:tcPr>
            <w:tcW w:w="2703" w:type="dxa"/>
          </w:tcPr>
          <w:p>
            <w:pPr>
              <w:pStyle w:val="TableParagraph"/>
              <w:rPr>
                <w:sz w:val="20"/>
              </w:rPr>
            </w:pPr>
            <w:r>
              <w:rPr>
                <w:sz w:val="20"/>
              </w:rPr>
              <w:t>Mike Manna</w:t>
            </w:r>
          </w:p>
        </w:tc>
        <w:tc>
          <w:tcPr>
            <w:tcW w:w="5060" w:type="dxa"/>
          </w:tcPr>
          <w:p>
            <w:pPr>
              <w:pStyle w:val="TableParagraph"/>
              <w:spacing w:before="30"/>
              <w:ind w:left="473"/>
              <w:rPr>
                <w:b/>
                <w:sz w:val="20"/>
              </w:rPr>
            </w:pPr>
            <w:r>
              <w:rPr>
                <w:b/>
                <w:sz w:val="20"/>
              </w:rPr>
              <w:t>Barclays</w:t>
            </w:r>
          </w:p>
        </w:tc>
      </w:tr>
      <w:tr>
        <w:trPr>
          <w:trHeight w:val="300" w:hRule="atLeast"/>
        </w:trPr>
        <w:tc>
          <w:tcPr>
            <w:tcW w:w="2703" w:type="dxa"/>
          </w:tcPr>
          <w:p>
            <w:pPr>
              <w:pStyle w:val="TableParagraph"/>
              <w:rPr>
                <w:sz w:val="20"/>
              </w:rPr>
            </w:pPr>
            <w:r>
              <w:rPr>
                <w:sz w:val="20"/>
              </w:rPr>
              <w:t>Adrian Averre</w:t>
            </w:r>
          </w:p>
        </w:tc>
        <w:tc>
          <w:tcPr>
            <w:tcW w:w="5060" w:type="dxa"/>
          </w:tcPr>
          <w:p>
            <w:pPr>
              <w:pStyle w:val="TableParagraph"/>
              <w:spacing w:before="30"/>
              <w:ind w:left="473"/>
              <w:rPr>
                <w:b/>
                <w:sz w:val="20"/>
              </w:rPr>
            </w:pPr>
            <w:r>
              <w:rPr>
                <w:b/>
                <w:sz w:val="20"/>
              </w:rPr>
              <w:t>BNP Paribas</w:t>
            </w:r>
          </w:p>
        </w:tc>
      </w:tr>
      <w:tr>
        <w:trPr>
          <w:trHeight w:val="300" w:hRule="atLeast"/>
        </w:trPr>
        <w:tc>
          <w:tcPr>
            <w:tcW w:w="2703" w:type="dxa"/>
          </w:tcPr>
          <w:p>
            <w:pPr>
              <w:pStyle w:val="TableParagraph"/>
              <w:rPr>
                <w:sz w:val="20"/>
              </w:rPr>
            </w:pPr>
            <w:r>
              <w:rPr>
                <w:sz w:val="20"/>
              </w:rPr>
              <w:t>Alain Verdickt</w:t>
            </w:r>
          </w:p>
        </w:tc>
        <w:tc>
          <w:tcPr>
            <w:tcW w:w="5060" w:type="dxa"/>
          </w:tcPr>
          <w:p>
            <w:pPr>
              <w:pStyle w:val="TableParagraph"/>
              <w:spacing w:before="30"/>
              <w:ind w:left="473"/>
              <w:rPr>
                <w:b/>
                <w:sz w:val="20"/>
              </w:rPr>
            </w:pPr>
            <w:r>
              <w:rPr>
                <w:b/>
                <w:sz w:val="20"/>
              </w:rPr>
              <w:t>Citigroup</w:t>
            </w:r>
          </w:p>
        </w:tc>
      </w:tr>
      <w:tr>
        <w:trPr>
          <w:trHeight w:val="300" w:hRule="atLeast"/>
        </w:trPr>
        <w:tc>
          <w:tcPr>
            <w:tcW w:w="2703" w:type="dxa"/>
          </w:tcPr>
          <w:p>
            <w:pPr>
              <w:pStyle w:val="TableParagraph"/>
              <w:rPr>
                <w:sz w:val="20"/>
              </w:rPr>
            </w:pPr>
            <w:r>
              <w:rPr>
                <w:sz w:val="20"/>
              </w:rPr>
              <w:t>Stephen Randall</w:t>
            </w:r>
          </w:p>
        </w:tc>
        <w:tc>
          <w:tcPr>
            <w:tcW w:w="5060" w:type="dxa"/>
          </w:tcPr>
          <w:p>
            <w:pPr>
              <w:pStyle w:val="TableParagraph"/>
              <w:spacing w:before="30"/>
              <w:ind w:left="473"/>
              <w:rPr>
                <w:b/>
                <w:sz w:val="20"/>
              </w:rPr>
            </w:pPr>
            <w:r>
              <w:rPr>
                <w:b/>
                <w:sz w:val="20"/>
              </w:rPr>
              <w:t>Citigroup</w:t>
            </w:r>
          </w:p>
        </w:tc>
      </w:tr>
      <w:tr>
        <w:trPr>
          <w:trHeight w:val="300" w:hRule="atLeast"/>
        </w:trPr>
        <w:tc>
          <w:tcPr>
            <w:tcW w:w="2703" w:type="dxa"/>
          </w:tcPr>
          <w:p>
            <w:pPr>
              <w:pStyle w:val="TableParagraph"/>
              <w:rPr>
                <w:sz w:val="20"/>
              </w:rPr>
            </w:pPr>
            <w:r>
              <w:rPr>
                <w:sz w:val="20"/>
              </w:rPr>
              <w:t>Arif Merali</w:t>
            </w:r>
          </w:p>
        </w:tc>
        <w:tc>
          <w:tcPr>
            <w:tcW w:w="5060" w:type="dxa"/>
          </w:tcPr>
          <w:p>
            <w:pPr>
              <w:pStyle w:val="TableParagraph"/>
              <w:spacing w:before="30"/>
              <w:ind w:left="473"/>
              <w:rPr>
                <w:b/>
                <w:sz w:val="20"/>
              </w:rPr>
            </w:pPr>
            <w:r>
              <w:rPr>
                <w:b/>
                <w:sz w:val="20"/>
              </w:rPr>
              <w:t>Credit Suisse</w:t>
            </w:r>
          </w:p>
        </w:tc>
      </w:tr>
      <w:tr>
        <w:trPr>
          <w:trHeight w:val="300" w:hRule="atLeast"/>
        </w:trPr>
        <w:tc>
          <w:tcPr>
            <w:tcW w:w="2703" w:type="dxa"/>
          </w:tcPr>
          <w:p>
            <w:pPr>
              <w:pStyle w:val="TableParagraph"/>
              <w:rPr>
                <w:sz w:val="20"/>
              </w:rPr>
            </w:pPr>
            <w:r>
              <w:rPr>
                <w:sz w:val="20"/>
              </w:rPr>
              <w:t>Ryan Sbarra</w:t>
            </w:r>
          </w:p>
        </w:tc>
        <w:tc>
          <w:tcPr>
            <w:tcW w:w="5060" w:type="dxa"/>
          </w:tcPr>
          <w:p>
            <w:pPr>
              <w:pStyle w:val="TableParagraph"/>
              <w:spacing w:before="30"/>
              <w:ind w:left="473"/>
              <w:rPr>
                <w:b/>
                <w:sz w:val="20"/>
              </w:rPr>
            </w:pPr>
            <w:r>
              <w:rPr>
                <w:b/>
                <w:sz w:val="20"/>
              </w:rPr>
              <w:t>Deutsche Bank</w:t>
            </w:r>
          </w:p>
        </w:tc>
      </w:tr>
      <w:tr>
        <w:trPr>
          <w:trHeight w:val="300" w:hRule="atLeast"/>
        </w:trPr>
        <w:tc>
          <w:tcPr>
            <w:tcW w:w="2703" w:type="dxa"/>
          </w:tcPr>
          <w:p>
            <w:pPr>
              <w:pStyle w:val="TableParagraph"/>
              <w:rPr>
                <w:sz w:val="20"/>
              </w:rPr>
            </w:pPr>
            <w:r>
              <w:rPr>
                <w:sz w:val="20"/>
              </w:rPr>
              <w:t>Nikhil Choraria</w:t>
            </w:r>
          </w:p>
        </w:tc>
        <w:tc>
          <w:tcPr>
            <w:tcW w:w="5060" w:type="dxa"/>
          </w:tcPr>
          <w:p>
            <w:pPr>
              <w:pStyle w:val="TableParagraph"/>
              <w:spacing w:before="30"/>
              <w:ind w:left="473"/>
              <w:rPr>
                <w:b/>
                <w:sz w:val="20"/>
              </w:rPr>
            </w:pPr>
            <w:r>
              <w:rPr>
                <w:b/>
                <w:sz w:val="20"/>
              </w:rPr>
              <w:t>Goldman Sachs</w:t>
            </w:r>
          </w:p>
        </w:tc>
      </w:tr>
      <w:tr>
        <w:trPr>
          <w:trHeight w:val="300" w:hRule="atLeast"/>
        </w:trPr>
        <w:tc>
          <w:tcPr>
            <w:tcW w:w="2703" w:type="dxa"/>
          </w:tcPr>
          <w:p>
            <w:pPr>
              <w:pStyle w:val="TableParagraph"/>
              <w:rPr>
                <w:sz w:val="20"/>
              </w:rPr>
            </w:pPr>
            <w:r>
              <w:rPr>
                <w:sz w:val="20"/>
              </w:rPr>
              <w:t>James Whittingham</w:t>
            </w:r>
          </w:p>
        </w:tc>
        <w:tc>
          <w:tcPr>
            <w:tcW w:w="5060" w:type="dxa"/>
          </w:tcPr>
          <w:p>
            <w:pPr>
              <w:pStyle w:val="TableParagraph"/>
              <w:spacing w:before="30"/>
              <w:ind w:left="473"/>
              <w:rPr>
                <w:b/>
                <w:sz w:val="20"/>
              </w:rPr>
            </w:pPr>
            <w:r>
              <w:rPr>
                <w:b/>
                <w:sz w:val="20"/>
              </w:rPr>
              <w:t>Goldman Sachs</w:t>
            </w:r>
          </w:p>
        </w:tc>
      </w:tr>
      <w:tr>
        <w:trPr>
          <w:trHeight w:val="300" w:hRule="atLeast"/>
        </w:trPr>
        <w:tc>
          <w:tcPr>
            <w:tcW w:w="2703" w:type="dxa"/>
          </w:tcPr>
          <w:p>
            <w:pPr>
              <w:pStyle w:val="TableParagraph"/>
              <w:rPr>
                <w:sz w:val="20"/>
              </w:rPr>
            </w:pPr>
            <w:r>
              <w:rPr>
                <w:sz w:val="20"/>
              </w:rPr>
              <w:t>Glenn Handley</w:t>
            </w:r>
          </w:p>
        </w:tc>
        <w:tc>
          <w:tcPr>
            <w:tcW w:w="5060" w:type="dxa"/>
          </w:tcPr>
          <w:p>
            <w:pPr>
              <w:pStyle w:val="TableParagraph"/>
              <w:spacing w:before="30"/>
              <w:ind w:left="473"/>
              <w:rPr>
                <w:b/>
                <w:sz w:val="20"/>
              </w:rPr>
            </w:pPr>
            <w:r>
              <w:rPr>
                <w:b/>
                <w:sz w:val="20"/>
              </w:rPr>
              <w:t>HSBC</w:t>
            </w:r>
          </w:p>
        </w:tc>
      </w:tr>
      <w:tr>
        <w:trPr>
          <w:trHeight w:val="300" w:hRule="atLeast"/>
        </w:trPr>
        <w:tc>
          <w:tcPr>
            <w:tcW w:w="2703" w:type="dxa"/>
          </w:tcPr>
          <w:p>
            <w:pPr>
              <w:pStyle w:val="TableParagraph"/>
              <w:rPr>
                <w:sz w:val="20"/>
              </w:rPr>
            </w:pPr>
            <w:r>
              <w:rPr>
                <w:sz w:val="20"/>
              </w:rPr>
              <w:t>Kari Hallgrimsson</w:t>
            </w:r>
          </w:p>
        </w:tc>
        <w:tc>
          <w:tcPr>
            <w:tcW w:w="5060" w:type="dxa"/>
          </w:tcPr>
          <w:p>
            <w:pPr>
              <w:pStyle w:val="TableParagraph"/>
              <w:spacing w:before="30"/>
              <w:ind w:left="473"/>
              <w:rPr>
                <w:b/>
                <w:sz w:val="20"/>
              </w:rPr>
            </w:pPr>
            <w:r>
              <w:rPr>
                <w:b/>
                <w:sz w:val="20"/>
              </w:rPr>
              <w:t>JP Morgan</w:t>
            </w:r>
          </w:p>
        </w:tc>
      </w:tr>
      <w:tr>
        <w:trPr>
          <w:trHeight w:val="300" w:hRule="atLeast"/>
        </w:trPr>
        <w:tc>
          <w:tcPr>
            <w:tcW w:w="2703" w:type="dxa"/>
          </w:tcPr>
          <w:p>
            <w:pPr>
              <w:pStyle w:val="TableParagraph"/>
              <w:spacing w:before="33"/>
              <w:rPr>
                <w:sz w:val="20"/>
              </w:rPr>
            </w:pPr>
            <w:r>
              <w:rPr>
                <w:sz w:val="20"/>
              </w:rPr>
              <w:t>Christophe Coutte</w:t>
            </w:r>
          </w:p>
        </w:tc>
        <w:tc>
          <w:tcPr>
            <w:tcW w:w="5060" w:type="dxa"/>
          </w:tcPr>
          <w:p>
            <w:pPr>
              <w:pStyle w:val="TableParagraph"/>
              <w:spacing w:before="30"/>
              <w:ind w:left="473"/>
              <w:rPr>
                <w:b/>
                <w:sz w:val="20"/>
              </w:rPr>
            </w:pPr>
            <w:r>
              <w:rPr>
                <w:b/>
                <w:sz w:val="20"/>
              </w:rPr>
              <w:t>Lloyds</w:t>
            </w:r>
          </w:p>
        </w:tc>
      </w:tr>
      <w:tr>
        <w:trPr>
          <w:trHeight w:val="300" w:hRule="atLeast"/>
        </w:trPr>
        <w:tc>
          <w:tcPr>
            <w:tcW w:w="2703" w:type="dxa"/>
          </w:tcPr>
          <w:p>
            <w:pPr>
              <w:pStyle w:val="TableParagraph"/>
              <w:rPr>
                <w:sz w:val="20"/>
              </w:rPr>
            </w:pPr>
            <w:r>
              <w:rPr>
                <w:sz w:val="20"/>
              </w:rPr>
              <w:t>Freddie Napier</w:t>
            </w:r>
          </w:p>
        </w:tc>
        <w:tc>
          <w:tcPr>
            <w:tcW w:w="5060" w:type="dxa"/>
          </w:tcPr>
          <w:p>
            <w:pPr>
              <w:pStyle w:val="TableParagraph"/>
              <w:spacing w:before="30"/>
              <w:ind w:left="473"/>
              <w:rPr>
                <w:b/>
                <w:sz w:val="20"/>
              </w:rPr>
            </w:pPr>
            <w:r>
              <w:rPr>
                <w:b/>
                <w:sz w:val="20"/>
              </w:rPr>
              <w:t>Morgan Stanley</w:t>
            </w:r>
          </w:p>
        </w:tc>
      </w:tr>
      <w:tr>
        <w:trPr>
          <w:trHeight w:val="300" w:hRule="atLeast"/>
        </w:trPr>
        <w:tc>
          <w:tcPr>
            <w:tcW w:w="2703" w:type="dxa"/>
          </w:tcPr>
          <w:p>
            <w:pPr>
              <w:pStyle w:val="TableParagraph"/>
              <w:rPr>
                <w:sz w:val="20"/>
              </w:rPr>
            </w:pPr>
            <w:r>
              <w:rPr>
                <w:sz w:val="20"/>
              </w:rPr>
              <w:t>Toby Stevenson</w:t>
            </w:r>
          </w:p>
        </w:tc>
        <w:tc>
          <w:tcPr>
            <w:tcW w:w="5060" w:type="dxa"/>
          </w:tcPr>
          <w:p>
            <w:pPr>
              <w:pStyle w:val="TableParagraph"/>
              <w:spacing w:before="30"/>
              <w:ind w:left="473"/>
              <w:rPr>
                <w:b/>
                <w:sz w:val="20"/>
              </w:rPr>
            </w:pPr>
            <w:r>
              <w:rPr>
                <w:b/>
                <w:sz w:val="20"/>
              </w:rPr>
              <w:t>RBS</w:t>
            </w:r>
          </w:p>
        </w:tc>
      </w:tr>
      <w:tr>
        <w:trPr>
          <w:trHeight w:val="300" w:hRule="atLeast"/>
        </w:trPr>
        <w:tc>
          <w:tcPr>
            <w:tcW w:w="2703" w:type="dxa"/>
          </w:tcPr>
          <w:p>
            <w:pPr>
              <w:pStyle w:val="TableParagraph"/>
              <w:rPr>
                <w:sz w:val="20"/>
              </w:rPr>
            </w:pPr>
            <w:r>
              <w:rPr>
                <w:sz w:val="20"/>
              </w:rPr>
              <w:t>Chirag Dave</w:t>
            </w:r>
          </w:p>
        </w:tc>
        <w:tc>
          <w:tcPr>
            <w:tcW w:w="5060" w:type="dxa"/>
          </w:tcPr>
          <w:p>
            <w:pPr>
              <w:pStyle w:val="TableParagraph"/>
              <w:spacing w:before="30"/>
              <w:ind w:left="473"/>
              <w:rPr>
                <w:b/>
                <w:sz w:val="20"/>
              </w:rPr>
            </w:pPr>
            <w:r>
              <w:rPr>
                <w:b/>
                <w:sz w:val="20"/>
              </w:rPr>
              <w:t>UBS</w:t>
            </w:r>
          </w:p>
        </w:tc>
      </w:tr>
      <w:tr>
        <w:trPr>
          <w:trHeight w:val="300" w:hRule="atLeast"/>
        </w:trPr>
        <w:tc>
          <w:tcPr>
            <w:tcW w:w="2703" w:type="dxa"/>
          </w:tcPr>
          <w:p>
            <w:pPr>
              <w:pStyle w:val="TableParagraph"/>
              <w:rPr>
                <w:sz w:val="20"/>
              </w:rPr>
            </w:pPr>
            <w:r>
              <w:rPr>
                <w:sz w:val="20"/>
              </w:rPr>
              <w:t>Phil Whitehurst</w:t>
            </w:r>
          </w:p>
        </w:tc>
        <w:tc>
          <w:tcPr>
            <w:tcW w:w="5060" w:type="dxa"/>
          </w:tcPr>
          <w:p>
            <w:pPr>
              <w:pStyle w:val="TableParagraph"/>
              <w:spacing w:before="30"/>
              <w:ind w:left="473"/>
              <w:rPr>
                <w:b/>
                <w:sz w:val="20"/>
              </w:rPr>
            </w:pPr>
            <w:r>
              <w:rPr>
                <w:b/>
                <w:sz w:val="20"/>
              </w:rPr>
              <w:t>LCH.Clearnet (Observer)</w:t>
            </w:r>
          </w:p>
        </w:tc>
      </w:tr>
      <w:tr>
        <w:trPr>
          <w:trHeight w:val="300" w:hRule="atLeast"/>
        </w:trPr>
        <w:tc>
          <w:tcPr>
            <w:tcW w:w="2703" w:type="dxa"/>
          </w:tcPr>
          <w:p>
            <w:pPr>
              <w:pStyle w:val="TableParagraph"/>
              <w:rPr>
                <w:sz w:val="20"/>
              </w:rPr>
            </w:pPr>
            <w:r>
              <w:rPr>
                <w:sz w:val="20"/>
              </w:rPr>
              <w:t>Catherine Farrer</w:t>
            </w:r>
          </w:p>
        </w:tc>
        <w:tc>
          <w:tcPr>
            <w:tcW w:w="5060" w:type="dxa"/>
          </w:tcPr>
          <w:p>
            <w:pPr>
              <w:pStyle w:val="TableParagraph"/>
              <w:spacing w:before="30"/>
              <w:ind w:left="473"/>
              <w:rPr>
                <w:b/>
                <w:sz w:val="20"/>
              </w:rPr>
            </w:pPr>
            <w:r>
              <w:rPr>
                <w:b/>
                <w:sz w:val="20"/>
              </w:rPr>
              <w:t>ISDA (Observer)</w:t>
            </w:r>
          </w:p>
        </w:tc>
      </w:tr>
      <w:tr>
        <w:trPr>
          <w:trHeight w:val="300" w:hRule="atLeast"/>
        </w:trPr>
        <w:tc>
          <w:tcPr>
            <w:tcW w:w="2703" w:type="dxa"/>
          </w:tcPr>
          <w:p>
            <w:pPr>
              <w:pStyle w:val="TableParagraph"/>
              <w:rPr>
                <w:sz w:val="20"/>
              </w:rPr>
            </w:pPr>
            <w:r>
              <w:rPr>
                <w:sz w:val="20"/>
              </w:rPr>
              <w:t>Rick Sandilands</w:t>
            </w:r>
          </w:p>
        </w:tc>
        <w:tc>
          <w:tcPr>
            <w:tcW w:w="5060" w:type="dxa"/>
          </w:tcPr>
          <w:p>
            <w:pPr>
              <w:pStyle w:val="TableParagraph"/>
              <w:spacing w:before="30"/>
              <w:ind w:left="473"/>
              <w:rPr>
                <w:b/>
                <w:sz w:val="20"/>
              </w:rPr>
            </w:pPr>
            <w:r>
              <w:rPr>
                <w:b/>
                <w:sz w:val="20"/>
              </w:rPr>
              <w:t>ISDA (Observer)</w:t>
            </w:r>
          </w:p>
        </w:tc>
      </w:tr>
      <w:tr>
        <w:trPr>
          <w:trHeight w:val="300" w:hRule="atLeast"/>
        </w:trPr>
        <w:tc>
          <w:tcPr>
            <w:tcW w:w="2703" w:type="dxa"/>
          </w:tcPr>
          <w:p>
            <w:pPr>
              <w:pStyle w:val="TableParagraph"/>
              <w:rPr>
                <w:sz w:val="20"/>
              </w:rPr>
            </w:pPr>
            <w:r>
              <w:rPr>
                <w:sz w:val="20"/>
              </w:rPr>
              <w:t>Michael Davie</w:t>
            </w:r>
          </w:p>
        </w:tc>
        <w:tc>
          <w:tcPr>
            <w:tcW w:w="5060" w:type="dxa"/>
          </w:tcPr>
          <w:p>
            <w:pPr>
              <w:pStyle w:val="TableParagraph"/>
              <w:spacing w:before="30"/>
              <w:ind w:left="473"/>
              <w:rPr>
                <w:b/>
                <w:sz w:val="20"/>
              </w:rPr>
            </w:pPr>
            <w:r>
              <w:rPr>
                <w:b/>
                <w:sz w:val="20"/>
              </w:rPr>
              <w:t>LSE Group (Guest, only for their presentation)</w:t>
            </w:r>
          </w:p>
        </w:tc>
      </w:tr>
      <w:tr>
        <w:trPr>
          <w:trHeight w:val="300" w:hRule="atLeast"/>
        </w:trPr>
        <w:tc>
          <w:tcPr>
            <w:tcW w:w="2703" w:type="dxa"/>
          </w:tcPr>
          <w:p>
            <w:pPr>
              <w:pStyle w:val="TableParagraph"/>
              <w:rPr>
                <w:sz w:val="20"/>
              </w:rPr>
            </w:pPr>
            <w:r>
              <w:rPr>
                <w:sz w:val="20"/>
              </w:rPr>
              <w:t>Oliver Huggins</w:t>
            </w:r>
          </w:p>
        </w:tc>
        <w:tc>
          <w:tcPr>
            <w:tcW w:w="5060" w:type="dxa"/>
          </w:tcPr>
          <w:p>
            <w:pPr>
              <w:pStyle w:val="TableParagraph"/>
              <w:spacing w:before="30"/>
              <w:ind w:left="473"/>
              <w:rPr>
                <w:b/>
                <w:sz w:val="20"/>
              </w:rPr>
            </w:pPr>
            <w:r>
              <w:rPr>
                <w:b/>
                <w:sz w:val="20"/>
              </w:rPr>
              <w:t>LSE Group (Guest, only for their presentation)</w:t>
            </w:r>
          </w:p>
        </w:tc>
      </w:tr>
      <w:tr>
        <w:trPr>
          <w:trHeight w:val="300" w:hRule="atLeast"/>
        </w:trPr>
        <w:tc>
          <w:tcPr>
            <w:tcW w:w="2703" w:type="dxa"/>
          </w:tcPr>
          <w:p>
            <w:pPr>
              <w:pStyle w:val="TableParagraph"/>
              <w:rPr>
                <w:sz w:val="20"/>
              </w:rPr>
            </w:pPr>
            <w:r>
              <w:rPr>
                <w:sz w:val="20"/>
              </w:rPr>
              <w:t>Chris Woods</w:t>
            </w:r>
          </w:p>
        </w:tc>
        <w:tc>
          <w:tcPr>
            <w:tcW w:w="5060" w:type="dxa"/>
          </w:tcPr>
          <w:p>
            <w:pPr>
              <w:pStyle w:val="TableParagraph"/>
              <w:spacing w:before="30"/>
              <w:ind w:left="473"/>
              <w:rPr>
                <w:b/>
                <w:sz w:val="20"/>
              </w:rPr>
            </w:pPr>
            <w:r>
              <w:rPr>
                <w:b/>
                <w:sz w:val="20"/>
              </w:rPr>
              <w:t>LSE Group (Guest, only for their presentation)</w:t>
            </w:r>
          </w:p>
        </w:tc>
      </w:tr>
      <w:tr>
        <w:trPr>
          <w:trHeight w:val="262" w:hRule="atLeast"/>
        </w:trPr>
        <w:tc>
          <w:tcPr>
            <w:tcW w:w="2703" w:type="dxa"/>
          </w:tcPr>
          <w:p>
            <w:pPr>
              <w:pStyle w:val="TableParagraph"/>
              <w:spacing w:line="210" w:lineRule="exact"/>
              <w:rPr>
                <w:sz w:val="20"/>
              </w:rPr>
            </w:pPr>
            <w:r>
              <w:rPr>
                <w:sz w:val="20"/>
              </w:rPr>
              <w:t>Anoushka Babbar</w:t>
            </w:r>
          </w:p>
        </w:tc>
        <w:tc>
          <w:tcPr>
            <w:tcW w:w="5060" w:type="dxa"/>
          </w:tcPr>
          <w:p>
            <w:pPr>
              <w:pStyle w:val="TableParagraph"/>
              <w:spacing w:line="212" w:lineRule="exact" w:before="30"/>
              <w:ind w:left="473"/>
              <w:rPr>
                <w:b/>
                <w:sz w:val="20"/>
              </w:rPr>
            </w:pPr>
            <w:r>
              <w:rPr>
                <w:b/>
                <w:sz w:val="20"/>
              </w:rPr>
              <w:t>LSE Group (Guest, only for their presentation)</w:t>
            </w:r>
          </w:p>
        </w:tc>
      </w:tr>
    </w:tbl>
    <w:p>
      <w:pPr>
        <w:pStyle w:val="BodyText"/>
        <w:rPr>
          <w:b/>
          <w:sz w:val="22"/>
        </w:rPr>
      </w:pPr>
    </w:p>
    <w:p>
      <w:pPr>
        <w:pStyle w:val="BodyText"/>
        <w:rPr>
          <w:b/>
          <w:sz w:val="22"/>
        </w:rPr>
      </w:pPr>
    </w:p>
    <w:p>
      <w:pPr>
        <w:pStyle w:val="BodyText"/>
        <w:spacing w:before="6"/>
        <w:rPr>
          <w:b/>
          <w:sz w:val="25"/>
        </w:rPr>
      </w:pPr>
    </w:p>
    <w:p>
      <w:pPr>
        <w:spacing w:before="0"/>
        <w:ind w:left="200" w:right="0" w:firstLine="0"/>
        <w:jc w:val="left"/>
        <w:rPr>
          <w:b/>
          <w:sz w:val="20"/>
        </w:rPr>
      </w:pPr>
      <w:r>
        <w:rPr>
          <w:b/>
          <w:sz w:val="20"/>
        </w:rPr>
        <w:t>Official sector</w:t>
      </w:r>
      <w:r>
        <w:rPr>
          <w:b/>
          <w:spacing w:val="-9"/>
          <w:sz w:val="20"/>
        </w:rPr>
        <w:t> </w:t>
      </w:r>
      <w:r>
        <w:rPr>
          <w:b/>
          <w:sz w:val="20"/>
        </w:rPr>
        <w:t>attendees</w:t>
      </w:r>
    </w:p>
    <w:p>
      <w:pPr>
        <w:pStyle w:val="BodyText"/>
        <w:spacing w:before="10"/>
        <w:rPr>
          <w:b/>
          <w:sz w:val="23"/>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80"/>
        <w:gridCol w:w="3657"/>
      </w:tblGrid>
      <w:tr>
        <w:trPr>
          <w:trHeight w:val="264" w:hRule="atLeast"/>
        </w:trPr>
        <w:tc>
          <w:tcPr>
            <w:tcW w:w="2580" w:type="dxa"/>
          </w:tcPr>
          <w:p>
            <w:pPr>
              <w:pStyle w:val="TableParagraph"/>
              <w:spacing w:line="225" w:lineRule="exact" w:before="0"/>
              <w:rPr>
                <w:sz w:val="20"/>
              </w:rPr>
            </w:pPr>
            <w:r>
              <w:rPr>
                <w:sz w:val="20"/>
              </w:rPr>
              <w:t>Tim Taylor</w:t>
            </w:r>
          </w:p>
        </w:tc>
        <w:tc>
          <w:tcPr>
            <w:tcW w:w="3657" w:type="dxa"/>
          </w:tcPr>
          <w:p>
            <w:pPr>
              <w:pStyle w:val="TableParagraph"/>
              <w:spacing w:line="223" w:lineRule="exact" w:before="0"/>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Will Parry</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Ed Ocampo</w:t>
            </w:r>
          </w:p>
        </w:tc>
        <w:tc>
          <w:tcPr>
            <w:tcW w:w="3657" w:type="dxa"/>
          </w:tcPr>
          <w:p>
            <w:pPr>
              <w:pStyle w:val="TableParagraph"/>
              <w:spacing w:before="31"/>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Renée Horrell</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4"/>
              <w:rPr>
                <w:sz w:val="20"/>
              </w:rPr>
            </w:pPr>
            <w:r>
              <w:rPr>
                <w:sz w:val="20"/>
              </w:rPr>
              <w:t>Sakshi Gupta</w:t>
            </w:r>
          </w:p>
        </w:tc>
        <w:tc>
          <w:tcPr>
            <w:tcW w:w="3657" w:type="dxa"/>
          </w:tcPr>
          <w:p>
            <w:pPr>
              <w:pStyle w:val="TableParagraph"/>
              <w:spacing w:before="31"/>
              <w:ind w:left="781"/>
              <w:rPr>
                <w:b/>
                <w:sz w:val="20"/>
              </w:rPr>
            </w:pPr>
            <w:r>
              <w:rPr>
                <w:b/>
                <w:sz w:val="20"/>
              </w:rPr>
              <w:t>Bank of England</w:t>
            </w:r>
          </w:p>
        </w:tc>
      </w:tr>
      <w:tr>
        <w:trPr>
          <w:trHeight w:val="303" w:hRule="atLeast"/>
        </w:trPr>
        <w:tc>
          <w:tcPr>
            <w:tcW w:w="2580" w:type="dxa"/>
          </w:tcPr>
          <w:p>
            <w:pPr>
              <w:pStyle w:val="TableParagraph"/>
              <w:spacing w:before="35"/>
              <w:rPr>
                <w:sz w:val="20"/>
              </w:rPr>
            </w:pPr>
            <w:r>
              <w:rPr>
                <w:sz w:val="20"/>
              </w:rPr>
              <w:t>David Geen</w:t>
            </w:r>
          </w:p>
        </w:tc>
        <w:tc>
          <w:tcPr>
            <w:tcW w:w="3657" w:type="dxa"/>
          </w:tcPr>
          <w:p>
            <w:pPr>
              <w:pStyle w:val="TableParagraph"/>
              <w:ind w:left="781"/>
              <w:rPr>
                <w:b/>
                <w:sz w:val="20"/>
              </w:rPr>
            </w:pPr>
            <w:r>
              <w:rPr>
                <w:b/>
                <w:sz w:val="20"/>
              </w:rPr>
              <w:t>Bank of England</w:t>
            </w:r>
          </w:p>
        </w:tc>
      </w:tr>
      <w:tr>
        <w:trPr>
          <w:trHeight w:val="302" w:hRule="atLeast"/>
        </w:trPr>
        <w:tc>
          <w:tcPr>
            <w:tcW w:w="2580" w:type="dxa"/>
          </w:tcPr>
          <w:p>
            <w:pPr>
              <w:pStyle w:val="TableParagraph"/>
              <w:spacing w:before="34"/>
              <w:rPr>
                <w:sz w:val="20"/>
              </w:rPr>
            </w:pPr>
            <w:r>
              <w:rPr>
                <w:sz w:val="20"/>
              </w:rPr>
              <w:t>Harriet Hunnable</w:t>
            </w:r>
          </w:p>
        </w:tc>
        <w:tc>
          <w:tcPr>
            <w:tcW w:w="3657" w:type="dxa"/>
          </w:tcPr>
          <w:p>
            <w:pPr>
              <w:pStyle w:val="TableParagraph"/>
              <w:spacing w:before="31"/>
              <w:ind w:left="781"/>
              <w:rPr>
                <w:b/>
                <w:sz w:val="20"/>
              </w:rPr>
            </w:pPr>
            <w:r>
              <w:rPr>
                <w:b/>
                <w:sz w:val="20"/>
              </w:rPr>
              <w:t>Financial Conduct Authority</w:t>
            </w:r>
          </w:p>
        </w:tc>
      </w:tr>
      <w:tr>
        <w:trPr>
          <w:trHeight w:val="263" w:hRule="atLeast"/>
        </w:trPr>
        <w:tc>
          <w:tcPr>
            <w:tcW w:w="2580" w:type="dxa"/>
          </w:tcPr>
          <w:p>
            <w:pPr>
              <w:pStyle w:val="TableParagraph"/>
              <w:spacing w:line="210" w:lineRule="exact" w:before="34"/>
              <w:rPr>
                <w:sz w:val="20"/>
              </w:rPr>
            </w:pPr>
            <w:r>
              <w:rPr>
                <w:sz w:val="20"/>
              </w:rPr>
              <w:t>Devid Mazzonetto</w:t>
            </w:r>
          </w:p>
        </w:tc>
        <w:tc>
          <w:tcPr>
            <w:tcW w:w="3657" w:type="dxa"/>
          </w:tcPr>
          <w:p>
            <w:pPr>
              <w:pStyle w:val="TableParagraph"/>
              <w:spacing w:line="212" w:lineRule="exact" w:before="31"/>
              <w:ind w:left="781"/>
              <w:rPr>
                <w:b/>
                <w:sz w:val="20"/>
              </w:rPr>
            </w:pPr>
            <w:r>
              <w:rPr>
                <w:b/>
                <w:sz w:val="20"/>
              </w:rPr>
              <w:t>Financial Conduct Authority</w:t>
            </w:r>
          </w:p>
        </w:tc>
      </w:tr>
    </w:tbl>
    <w:sectPr>
      <w:pgSz w:w="11910" w:h="16840"/>
      <w:pgMar w:top="1180" w:bottom="280" w:left="124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00" w:hanging="428"/>
        <w:jc w:val="left"/>
      </w:pPr>
      <w:rPr>
        <w:rFonts w:hint="default" w:ascii="Arial" w:hAnsi="Arial" w:eastAsia="Arial" w:cs="Arial"/>
        <w:w w:val="99"/>
        <w:sz w:val="20"/>
        <w:szCs w:val="20"/>
        <w:lang w:val="en-gb" w:eastAsia="en-gb" w:bidi="en-gb"/>
      </w:rPr>
    </w:lvl>
    <w:lvl w:ilvl="1">
      <w:start w:val="0"/>
      <w:numFmt w:val="bullet"/>
      <w:lvlText w:val="•"/>
      <w:lvlJc w:val="left"/>
      <w:pPr>
        <w:ind w:left="1142" w:hanging="428"/>
      </w:pPr>
      <w:rPr>
        <w:rFonts w:hint="default"/>
        <w:lang w:val="en-gb" w:eastAsia="en-gb" w:bidi="en-gb"/>
      </w:rPr>
    </w:lvl>
    <w:lvl w:ilvl="2">
      <w:start w:val="0"/>
      <w:numFmt w:val="bullet"/>
      <w:lvlText w:val="•"/>
      <w:lvlJc w:val="left"/>
      <w:pPr>
        <w:ind w:left="2085" w:hanging="428"/>
      </w:pPr>
      <w:rPr>
        <w:rFonts w:hint="default"/>
        <w:lang w:val="en-gb" w:eastAsia="en-gb" w:bidi="en-gb"/>
      </w:rPr>
    </w:lvl>
    <w:lvl w:ilvl="3">
      <w:start w:val="0"/>
      <w:numFmt w:val="bullet"/>
      <w:lvlText w:val="•"/>
      <w:lvlJc w:val="left"/>
      <w:pPr>
        <w:ind w:left="3027" w:hanging="428"/>
      </w:pPr>
      <w:rPr>
        <w:rFonts w:hint="default"/>
        <w:lang w:val="en-gb" w:eastAsia="en-gb" w:bidi="en-gb"/>
      </w:rPr>
    </w:lvl>
    <w:lvl w:ilvl="4">
      <w:start w:val="0"/>
      <w:numFmt w:val="bullet"/>
      <w:lvlText w:val="•"/>
      <w:lvlJc w:val="left"/>
      <w:pPr>
        <w:ind w:left="3970" w:hanging="428"/>
      </w:pPr>
      <w:rPr>
        <w:rFonts w:hint="default"/>
        <w:lang w:val="en-gb" w:eastAsia="en-gb" w:bidi="en-gb"/>
      </w:rPr>
    </w:lvl>
    <w:lvl w:ilvl="5">
      <w:start w:val="0"/>
      <w:numFmt w:val="bullet"/>
      <w:lvlText w:val="•"/>
      <w:lvlJc w:val="left"/>
      <w:pPr>
        <w:ind w:left="4913" w:hanging="428"/>
      </w:pPr>
      <w:rPr>
        <w:rFonts w:hint="default"/>
        <w:lang w:val="en-gb" w:eastAsia="en-gb" w:bidi="en-gb"/>
      </w:rPr>
    </w:lvl>
    <w:lvl w:ilvl="6">
      <w:start w:val="0"/>
      <w:numFmt w:val="bullet"/>
      <w:lvlText w:val="•"/>
      <w:lvlJc w:val="left"/>
      <w:pPr>
        <w:ind w:left="5855" w:hanging="428"/>
      </w:pPr>
      <w:rPr>
        <w:rFonts w:hint="default"/>
        <w:lang w:val="en-gb" w:eastAsia="en-gb" w:bidi="en-gb"/>
      </w:rPr>
    </w:lvl>
    <w:lvl w:ilvl="7">
      <w:start w:val="0"/>
      <w:numFmt w:val="bullet"/>
      <w:lvlText w:val="•"/>
      <w:lvlJc w:val="left"/>
      <w:pPr>
        <w:ind w:left="6798" w:hanging="428"/>
      </w:pPr>
      <w:rPr>
        <w:rFonts w:hint="default"/>
        <w:lang w:val="en-gb" w:eastAsia="en-gb" w:bidi="en-gb"/>
      </w:rPr>
    </w:lvl>
    <w:lvl w:ilvl="8">
      <w:start w:val="0"/>
      <w:numFmt w:val="bullet"/>
      <w:lvlText w:val="•"/>
      <w:lvlJc w:val="left"/>
      <w:pPr>
        <w:ind w:left="7741" w:hanging="428"/>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00"/>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200" w:right="153"/>
    </w:pPr>
    <w:rPr>
      <w:rFonts w:ascii="Arial" w:hAnsi="Arial" w:eastAsia="Arial" w:cs="Arial"/>
      <w:lang w:val="en-gb" w:eastAsia="en-gb" w:bidi="en-gb"/>
    </w:rPr>
  </w:style>
  <w:style w:styleId="TableParagraph" w:type="paragraph">
    <w:name w:val="Table Paragraph"/>
    <w:basedOn w:val="Normal"/>
    <w:uiPriority w:val="1"/>
    <w:qFormat/>
    <w:pPr>
      <w:spacing w:before="32"/>
      <w:ind w:left="200"/>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markets/Documents/sterlingoperations/rfr/2016/letter061216.pdf" TargetMode="External"/><Relationship Id="rId6" Type="http://schemas.openxmlformats.org/officeDocument/2006/relationships/hyperlink" Target="http://www.bankofengland.co.uk/markets/Documents/soniareformcp0217.pdf" TargetMode="Externa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 Working Group on Sterling Risk-Free Reference Rates </dc:subject>
  <dc:title>Minutes - Working Group on Sterling Risk-Free Reference Rates </dc:title>
  <dcterms:created xsi:type="dcterms:W3CDTF">2020-06-01T02:23:31Z</dcterms:created>
  <dcterms:modified xsi:type="dcterms:W3CDTF">2020-06-01T02:23:31Z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2017-03-21T00:00:00Z</vt:filetime>
  </property>
  <property fmtid="{D5CDD505-2E9C-101B-9397-08002B2CF9AE}" pid="3" name="LastSaved">
    <vt:filetime>2020-06-01T00:00:00Z</vt:filetime>
  </property>
</Properties>
</file>