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448" w:lineRule="auto" w:before="78"/>
        <w:ind w:left="801" w:right="771"/>
        <w:jc w:val="center"/>
      </w:pPr>
      <w:r>
        <w:rPr/>
        <w:t>Minutes of the Meeting of the Working Group on Sterling Risk-Free Reference Rates Friday 22 January</w:t>
      </w:r>
    </w:p>
    <w:p>
      <w:pPr>
        <w:spacing w:before="0"/>
        <w:ind w:left="799" w:right="771" w:firstLine="0"/>
        <w:jc w:val="center"/>
        <w:rPr>
          <w:b/>
          <w:sz w:val="20"/>
        </w:rPr>
      </w:pPr>
      <w:r>
        <w:rPr>
          <w:b/>
          <w:sz w:val="20"/>
        </w:rPr>
        <w:t>Bank of England</w:t>
      </w:r>
    </w:p>
    <w:p>
      <w:pPr>
        <w:pStyle w:val="BodyText"/>
        <w:spacing w:before="5"/>
        <w:rPr>
          <w:b/>
          <w:sz w:val="27"/>
        </w:rPr>
      </w:pPr>
    </w:p>
    <w:p>
      <w:pPr>
        <w:spacing w:before="0"/>
        <w:ind w:left="119" w:right="0" w:firstLine="0"/>
        <w:jc w:val="left"/>
        <w:rPr>
          <w:b/>
          <w:sz w:val="20"/>
        </w:rPr>
      </w:pPr>
      <w:r>
        <w:rPr>
          <w:b/>
          <w:sz w:val="20"/>
        </w:rPr>
        <w:t>Minutes of previous meeting</w:t>
      </w:r>
    </w:p>
    <w:p>
      <w:pPr>
        <w:pStyle w:val="BodyText"/>
        <w:spacing w:before="3"/>
        <w:rPr>
          <w:b/>
        </w:rPr>
      </w:pPr>
    </w:p>
    <w:p>
      <w:pPr>
        <w:pStyle w:val="ListParagraph"/>
        <w:numPr>
          <w:ilvl w:val="0"/>
          <w:numId w:val="1"/>
        </w:numPr>
        <w:tabs>
          <w:tab w:pos="545" w:val="left" w:leader="none"/>
          <w:tab w:pos="546" w:val="left" w:leader="none"/>
        </w:tabs>
        <w:spacing w:line="240" w:lineRule="auto" w:before="0" w:after="0"/>
        <w:ind w:left="545" w:right="0" w:hanging="427"/>
        <w:jc w:val="left"/>
        <w:rPr>
          <w:sz w:val="20"/>
        </w:rPr>
      </w:pPr>
      <w:r>
        <w:rPr>
          <w:sz w:val="20"/>
        </w:rPr>
        <w:t>The minutes of the previous meeting on 15 December 2015 were</w:t>
      </w:r>
      <w:r>
        <w:rPr>
          <w:spacing w:val="-13"/>
          <w:sz w:val="20"/>
        </w:rPr>
        <w:t> </w:t>
      </w:r>
      <w:r>
        <w:rPr>
          <w:sz w:val="20"/>
        </w:rPr>
        <w:t>approved.</w:t>
      </w:r>
    </w:p>
    <w:p>
      <w:pPr>
        <w:pStyle w:val="BodyText"/>
        <w:spacing w:before="7"/>
      </w:pPr>
    </w:p>
    <w:p>
      <w:pPr>
        <w:pStyle w:val="Heading1"/>
        <w:ind w:left="119"/>
      </w:pPr>
      <w:r>
        <w:rPr/>
        <w:t>Progress report</w:t>
      </w:r>
    </w:p>
    <w:p>
      <w:pPr>
        <w:pStyle w:val="BodyText"/>
        <w:spacing w:before="3"/>
        <w:rPr>
          <w:b/>
        </w:rPr>
      </w:pPr>
    </w:p>
    <w:p>
      <w:pPr>
        <w:pStyle w:val="ListParagraph"/>
        <w:numPr>
          <w:ilvl w:val="0"/>
          <w:numId w:val="1"/>
        </w:numPr>
        <w:tabs>
          <w:tab w:pos="545" w:val="left" w:leader="none"/>
          <w:tab w:pos="546" w:val="left" w:leader="none"/>
        </w:tabs>
        <w:spacing w:line="360" w:lineRule="auto" w:before="0" w:after="0"/>
        <w:ind w:left="119" w:right="258" w:firstLine="0"/>
        <w:jc w:val="left"/>
        <w:rPr>
          <w:sz w:val="20"/>
        </w:rPr>
      </w:pPr>
      <w:r>
        <w:rPr>
          <w:sz w:val="20"/>
        </w:rPr>
        <w:t>The Chair summarised members’ assessment of progress made to date and the appropriate timing for a decision on the choice of RFR. The majority felt that a decision could be reached once detailed information on the methodologies, rates and volumes for reformed SONIA and the candidate secured RFR were made available. A minority thought that an independent, academic review would also be desirable. Another minority thought that a decision could be reached sooner on fundamental</w:t>
      </w:r>
      <w:r>
        <w:rPr>
          <w:spacing w:val="12"/>
          <w:sz w:val="20"/>
        </w:rPr>
        <w:t> </w:t>
      </w:r>
      <w:r>
        <w:rPr>
          <w:sz w:val="20"/>
        </w:rPr>
        <w:t>grounds.</w:t>
      </w:r>
    </w:p>
    <w:p>
      <w:pPr>
        <w:pStyle w:val="ListParagraph"/>
        <w:numPr>
          <w:ilvl w:val="0"/>
          <w:numId w:val="1"/>
        </w:numPr>
        <w:tabs>
          <w:tab w:pos="545" w:val="left" w:leader="none"/>
          <w:tab w:pos="546" w:val="left" w:leader="none"/>
        </w:tabs>
        <w:spacing w:line="360" w:lineRule="auto" w:before="121" w:after="0"/>
        <w:ind w:left="120" w:right="426" w:firstLine="0"/>
        <w:jc w:val="left"/>
        <w:rPr>
          <w:sz w:val="20"/>
        </w:rPr>
      </w:pPr>
      <w:r>
        <w:rPr>
          <w:sz w:val="20"/>
        </w:rPr>
        <w:t>A two stage RFR selection process was discussed and agreed – the Group would reach an initial decision but would carefully consider the responses to a broad public consultation before ratifying its choice.</w:t>
      </w:r>
    </w:p>
    <w:p>
      <w:pPr>
        <w:pStyle w:val="ListParagraph"/>
        <w:numPr>
          <w:ilvl w:val="0"/>
          <w:numId w:val="1"/>
        </w:numPr>
        <w:tabs>
          <w:tab w:pos="545" w:val="left" w:leader="none"/>
          <w:tab w:pos="546" w:val="left" w:leader="none"/>
        </w:tabs>
        <w:spacing w:line="360" w:lineRule="auto" w:before="119" w:after="0"/>
        <w:ind w:left="120" w:right="251" w:firstLine="0"/>
        <w:jc w:val="left"/>
        <w:rPr>
          <w:sz w:val="20"/>
        </w:rPr>
      </w:pPr>
      <w:r>
        <w:rPr>
          <w:sz w:val="20"/>
        </w:rPr>
        <w:t>Members discussed the merits of coordinating the RFR decision across jurisdictions in order to manage the potential impact on cross-currency basis markets. Feedback from end-user outreach meetings with Supranationals suggested that a consistent international approach would be important for multi-currency debt issuers. Members suggested that the international consensus developing around overnight benchmarks was helpful as it would eliminate tenor</w:t>
      </w:r>
      <w:r>
        <w:rPr>
          <w:spacing w:val="-10"/>
          <w:sz w:val="20"/>
        </w:rPr>
        <w:t> </w:t>
      </w:r>
      <w:r>
        <w:rPr>
          <w:sz w:val="20"/>
        </w:rPr>
        <w:t>basis.</w:t>
      </w:r>
    </w:p>
    <w:p>
      <w:pPr>
        <w:pStyle w:val="ListParagraph"/>
        <w:numPr>
          <w:ilvl w:val="0"/>
          <w:numId w:val="1"/>
        </w:numPr>
        <w:tabs>
          <w:tab w:pos="545" w:val="left" w:leader="none"/>
          <w:tab w:pos="546" w:val="left" w:leader="none"/>
        </w:tabs>
        <w:spacing w:line="360" w:lineRule="auto" w:before="120" w:after="0"/>
        <w:ind w:left="120" w:right="107" w:firstLine="0"/>
        <w:jc w:val="left"/>
        <w:rPr>
          <w:sz w:val="20"/>
        </w:rPr>
      </w:pPr>
      <w:r>
        <w:rPr>
          <w:sz w:val="20"/>
        </w:rPr>
        <w:t>The Chair’s office noted that they had reviewed the governance structures used by members for internal decision making related to the Group’s work. They identified the following best practices: coordination with internal representatives on parallel RFR initiatives in other jurisdictions; regular internal dissemination of information to build institutional knowledge and ensure continuity of representation in the WG;</w:t>
      </w:r>
      <w:r>
        <w:rPr>
          <w:spacing w:val="-3"/>
          <w:sz w:val="20"/>
        </w:rPr>
        <w:t> </w:t>
      </w:r>
      <w:r>
        <w:rPr>
          <w:sz w:val="20"/>
        </w:rPr>
        <w:t>and</w:t>
      </w:r>
      <w:r>
        <w:rPr>
          <w:spacing w:val="-4"/>
          <w:sz w:val="20"/>
        </w:rPr>
        <w:t> </w:t>
      </w:r>
      <w:r>
        <w:rPr>
          <w:sz w:val="20"/>
        </w:rPr>
        <w:t>senior</w:t>
      </w:r>
      <w:r>
        <w:rPr>
          <w:spacing w:val="-3"/>
          <w:sz w:val="20"/>
        </w:rPr>
        <w:t> </w:t>
      </w:r>
      <w:r>
        <w:rPr>
          <w:sz w:val="20"/>
        </w:rPr>
        <w:t>stakeholder</w:t>
      </w:r>
      <w:r>
        <w:rPr>
          <w:spacing w:val="-3"/>
          <w:sz w:val="20"/>
        </w:rPr>
        <w:t> </w:t>
      </w:r>
      <w:r>
        <w:rPr>
          <w:sz w:val="20"/>
        </w:rPr>
        <w:t>(including</w:t>
      </w:r>
      <w:r>
        <w:rPr>
          <w:spacing w:val="-3"/>
          <w:sz w:val="20"/>
        </w:rPr>
        <w:t> </w:t>
      </w:r>
      <w:r>
        <w:rPr>
          <w:sz w:val="20"/>
        </w:rPr>
        <w:t>legal</w:t>
      </w:r>
      <w:r>
        <w:rPr>
          <w:spacing w:val="-3"/>
          <w:sz w:val="20"/>
        </w:rPr>
        <w:t> </w:t>
      </w:r>
      <w:r>
        <w:rPr>
          <w:sz w:val="20"/>
        </w:rPr>
        <w:t>and</w:t>
      </w:r>
      <w:r>
        <w:rPr>
          <w:spacing w:val="-4"/>
          <w:sz w:val="20"/>
        </w:rPr>
        <w:t> </w:t>
      </w:r>
      <w:r>
        <w:rPr>
          <w:sz w:val="20"/>
        </w:rPr>
        <w:t>compliance)</w:t>
      </w:r>
      <w:r>
        <w:rPr>
          <w:spacing w:val="-3"/>
          <w:sz w:val="20"/>
        </w:rPr>
        <w:t> </w:t>
      </w:r>
      <w:r>
        <w:rPr>
          <w:sz w:val="20"/>
        </w:rPr>
        <w:t>review</w:t>
      </w:r>
      <w:r>
        <w:rPr>
          <w:spacing w:val="-3"/>
          <w:sz w:val="20"/>
        </w:rPr>
        <w:t> </w:t>
      </w:r>
      <w:r>
        <w:rPr>
          <w:sz w:val="20"/>
        </w:rPr>
        <w:t>of</w:t>
      </w:r>
      <w:r>
        <w:rPr>
          <w:spacing w:val="-3"/>
          <w:sz w:val="20"/>
        </w:rPr>
        <w:t> </w:t>
      </w:r>
      <w:r>
        <w:rPr>
          <w:sz w:val="20"/>
        </w:rPr>
        <w:t>key</w:t>
      </w:r>
      <w:r>
        <w:rPr>
          <w:spacing w:val="-3"/>
          <w:sz w:val="20"/>
        </w:rPr>
        <w:t> </w:t>
      </w:r>
      <w:r>
        <w:rPr>
          <w:sz w:val="20"/>
        </w:rPr>
        <w:t>inputs</w:t>
      </w:r>
      <w:r>
        <w:rPr>
          <w:spacing w:val="-3"/>
          <w:sz w:val="20"/>
        </w:rPr>
        <w:t> </w:t>
      </w:r>
      <w:r>
        <w:rPr>
          <w:sz w:val="20"/>
        </w:rPr>
        <w:t>and</w:t>
      </w:r>
      <w:r>
        <w:rPr>
          <w:spacing w:val="-3"/>
          <w:sz w:val="20"/>
        </w:rPr>
        <w:t> </w:t>
      </w:r>
      <w:r>
        <w:rPr>
          <w:sz w:val="20"/>
        </w:rPr>
        <w:t>voting</w:t>
      </w:r>
      <w:r>
        <w:rPr>
          <w:spacing w:val="-3"/>
          <w:sz w:val="20"/>
        </w:rPr>
        <w:t> </w:t>
      </w:r>
      <w:r>
        <w:rPr>
          <w:sz w:val="20"/>
        </w:rPr>
        <w:t>decisions.</w:t>
      </w:r>
    </w:p>
    <w:p>
      <w:pPr>
        <w:pStyle w:val="ListParagraph"/>
        <w:numPr>
          <w:ilvl w:val="0"/>
          <w:numId w:val="1"/>
        </w:numPr>
        <w:tabs>
          <w:tab w:pos="545" w:val="left" w:leader="none"/>
          <w:tab w:pos="547" w:val="left" w:leader="none"/>
        </w:tabs>
        <w:spacing w:line="240" w:lineRule="auto" w:before="121" w:after="0"/>
        <w:ind w:left="546" w:right="0" w:hanging="427"/>
        <w:jc w:val="left"/>
        <w:rPr>
          <w:sz w:val="20"/>
        </w:rPr>
      </w:pPr>
      <w:r>
        <w:rPr>
          <w:sz w:val="20"/>
        </w:rPr>
        <w:t>The Chair gave an update on progress made by the CHF Working</w:t>
      </w:r>
      <w:r>
        <w:rPr>
          <w:spacing w:val="-17"/>
          <w:sz w:val="20"/>
        </w:rPr>
        <w:t> </w:t>
      </w:r>
      <w:r>
        <w:rPr>
          <w:sz w:val="20"/>
        </w:rPr>
        <w:t>Group.</w:t>
      </w:r>
    </w:p>
    <w:p>
      <w:pPr>
        <w:pStyle w:val="BodyText"/>
        <w:spacing w:before="5"/>
      </w:pPr>
    </w:p>
    <w:p>
      <w:pPr>
        <w:pStyle w:val="Heading1"/>
      </w:pPr>
      <w:r>
        <w:rPr/>
        <w:t>Potential secured benchmark providers</w:t>
      </w:r>
    </w:p>
    <w:p>
      <w:pPr>
        <w:pStyle w:val="BodyText"/>
        <w:spacing w:before="5"/>
        <w:rPr>
          <w:b/>
        </w:rPr>
      </w:pPr>
    </w:p>
    <w:p>
      <w:pPr>
        <w:pStyle w:val="ListParagraph"/>
        <w:numPr>
          <w:ilvl w:val="0"/>
          <w:numId w:val="1"/>
        </w:numPr>
        <w:tabs>
          <w:tab w:pos="545" w:val="left" w:leader="none"/>
          <w:tab w:pos="546" w:val="left" w:leader="none"/>
        </w:tabs>
        <w:spacing w:line="360" w:lineRule="auto" w:before="0" w:after="0"/>
        <w:ind w:left="120" w:right="126" w:firstLine="0"/>
        <w:jc w:val="left"/>
        <w:rPr>
          <w:sz w:val="20"/>
        </w:rPr>
      </w:pPr>
      <w:r>
        <w:rPr>
          <w:sz w:val="20"/>
        </w:rPr>
        <w:t>Whilst the WG is yet to receive formal responses to its published secured benchmark design criteria, exploratory discussions suggest that there is interest from a number of potential administrators. ICAP and EUI continue to make progress with their existing plans. Conversations with providers are ongoing and some potential administrators may be in position to present to the Working Group in</w:t>
      </w:r>
      <w:r>
        <w:rPr>
          <w:spacing w:val="-36"/>
          <w:sz w:val="20"/>
        </w:rPr>
        <w:t> </w:t>
      </w:r>
      <w:r>
        <w:rPr>
          <w:sz w:val="20"/>
        </w:rPr>
        <w:t>Q1.</w:t>
      </w:r>
    </w:p>
    <w:p>
      <w:pPr>
        <w:pStyle w:val="Heading1"/>
        <w:spacing w:before="121"/>
      </w:pPr>
      <w:r>
        <w:rPr/>
        <w:t>Update on Bank’s SONIA project</w:t>
      </w:r>
    </w:p>
    <w:p>
      <w:pPr>
        <w:pStyle w:val="BodyText"/>
        <w:spacing w:before="3"/>
        <w:rPr>
          <w:b/>
        </w:rPr>
      </w:pPr>
    </w:p>
    <w:p>
      <w:pPr>
        <w:pStyle w:val="ListParagraph"/>
        <w:numPr>
          <w:ilvl w:val="0"/>
          <w:numId w:val="1"/>
        </w:numPr>
        <w:tabs>
          <w:tab w:pos="545" w:val="left" w:leader="none"/>
          <w:tab w:pos="546" w:val="left" w:leader="none"/>
        </w:tabs>
        <w:spacing w:line="360" w:lineRule="auto" w:before="0" w:after="0"/>
        <w:ind w:left="120" w:right="224" w:firstLine="0"/>
        <w:jc w:val="left"/>
        <w:rPr>
          <w:sz w:val="20"/>
        </w:rPr>
      </w:pPr>
      <w:r>
        <w:rPr>
          <w:sz w:val="20"/>
        </w:rPr>
        <w:t>The Bank provided an update on the reform of SONIA. Data definitions and reporting requirements had been published in November. All reporting institutions had completed an annual survey of their sterling money market activity, which would be used to inform the sample of daily</w:t>
      </w:r>
      <w:r>
        <w:rPr>
          <w:spacing w:val="-26"/>
          <w:sz w:val="20"/>
        </w:rPr>
        <w:t> </w:t>
      </w:r>
      <w:r>
        <w:rPr>
          <w:sz w:val="20"/>
        </w:rPr>
        <w:t>reporters.</w:t>
      </w:r>
    </w:p>
    <w:p>
      <w:pPr>
        <w:pStyle w:val="ListParagraph"/>
        <w:numPr>
          <w:ilvl w:val="0"/>
          <w:numId w:val="1"/>
        </w:numPr>
        <w:tabs>
          <w:tab w:pos="545" w:val="left" w:leader="none"/>
          <w:tab w:pos="546" w:val="left" w:leader="none"/>
        </w:tabs>
        <w:spacing w:line="360" w:lineRule="auto" w:before="121" w:after="0"/>
        <w:ind w:left="120" w:right="126" w:firstLine="0"/>
        <w:jc w:val="left"/>
        <w:rPr>
          <w:sz w:val="20"/>
        </w:rPr>
      </w:pPr>
      <w:r>
        <w:rPr>
          <w:sz w:val="20"/>
        </w:rPr>
        <w:t>The Bank would begin receiving data from ‘early adopters’ in the current quarter, with the full sample reporting on a daily basis from July. The Bank planned to set out its plans for the reform of SONIA in</w:t>
      </w:r>
      <w:r>
        <w:rPr>
          <w:spacing w:val="-4"/>
          <w:sz w:val="20"/>
        </w:rPr>
        <w:t> </w:t>
      </w:r>
      <w:r>
        <w:rPr>
          <w:sz w:val="20"/>
        </w:rPr>
        <w:t>a</w:t>
      </w:r>
    </w:p>
    <w:p>
      <w:pPr>
        <w:spacing w:after="0" w:line="360" w:lineRule="auto"/>
        <w:jc w:val="left"/>
        <w:rPr>
          <w:sz w:val="20"/>
        </w:rPr>
        <w:sectPr>
          <w:type w:val="continuous"/>
          <w:pgSz w:w="11910" w:h="16840"/>
          <w:pgMar w:top="1360" w:bottom="280" w:left="1320" w:right="1040"/>
        </w:sectPr>
      </w:pPr>
    </w:p>
    <w:p>
      <w:pPr>
        <w:pStyle w:val="BodyText"/>
        <w:spacing w:line="360" w:lineRule="auto" w:before="77"/>
        <w:ind w:left="120"/>
      </w:pPr>
      <w:r>
        <w:rPr/>
        <w:t>public consultation in summer 2016. This would provide an indication of the properties of the reformed benchmark. Subject to that consultation, the Bank anticipated transitioning to reformed SONIA from Q2 2017.</w:t>
      </w:r>
    </w:p>
    <w:p>
      <w:pPr>
        <w:pStyle w:val="Heading1"/>
        <w:spacing w:before="121"/>
      </w:pPr>
      <w:r>
        <w:rPr/>
        <w:t>Euro benchmark reform</w:t>
      </w:r>
    </w:p>
    <w:p>
      <w:pPr>
        <w:pStyle w:val="BodyText"/>
        <w:spacing w:before="4"/>
        <w:rPr>
          <w:b/>
        </w:rPr>
      </w:pPr>
    </w:p>
    <w:p>
      <w:pPr>
        <w:pStyle w:val="ListParagraph"/>
        <w:numPr>
          <w:ilvl w:val="0"/>
          <w:numId w:val="1"/>
        </w:numPr>
        <w:tabs>
          <w:tab w:pos="545" w:val="left" w:leader="none"/>
          <w:tab w:pos="546" w:val="left" w:leader="none"/>
        </w:tabs>
        <w:spacing w:line="360" w:lineRule="auto" w:before="0" w:after="0"/>
        <w:ind w:left="119" w:right="149" w:firstLine="0"/>
        <w:jc w:val="left"/>
        <w:rPr>
          <w:sz w:val="20"/>
        </w:rPr>
      </w:pPr>
      <w:r>
        <w:rPr>
          <w:sz w:val="20"/>
        </w:rPr>
        <w:t>Representatives from European Money Markets Institute (EMMI) provided an update on euro benchmark reform, covering EURIBOR, EONIA and a new transaction based repo index (to replace EUREPO which was discontinued in January 2015). The update covered information available in EMMI’s public consultation documents on EURIBOR reform and on the proposed pan-European repo benchmark published by</w:t>
      </w:r>
      <w:r>
        <w:rPr>
          <w:spacing w:val="-4"/>
          <w:sz w:val="20"/>
        </w:rPr>
        <w:t> </w:t>
      </w:r>
      <w:r>
        <w:rPr>
          <w:sz w:val="20"/>
        </w:rPr>
        <w:t>EMMI.</w:t>
      </w:r>
    </w:p>
    <w:p>
      <w:pPr>
        <w:pStyle w:val="Heading1"/>
        <w:spacing w:before="121"/>
        <w:ind w:left="119"/>
      </w:pPr>
      <w:r>
        <w:rPr/>
        <w:t>Future work</w:t>
      </w:r>
    </w:p>
    <w:p>
      <w:pPr>
        <w:pStyle w:val="BodyText"/>
        <w:spacing w:before="4"/>
        <w:rPr>
          <w:b/>
        </w:rPr>
      </w:pPr>
    </w:p>
    <w:p>
      <w:pPr>
        <w:pStyle w:val="ListParagraph"/>
        <w:numPr>
          <w:ilvl w:val="0"/>
          <w:numId w:val="1"/>
        </w:numPr>
        <w:tabs>
          <w:tab w:pos="545" w:val="left" w:leader="none"/>
          <w:tab w:pos="546" w:val="left" w:leader="none"/>
        </w:tabs>
        <w:spacing w:line="360" w:lineRule="auto" w:before="0" w:after="0"/>
        <w:ind w:left="119" w:right="123" w:firstLine="0"/>
        <w:jc w:val="left"/>
        <w:rPr>
          <w:sz w:val="20"/>
        </w:rPr>
      </w:pPr>
      <w:r>
        <w:rPr>
          <w:sz w:val="20"/>
        </w:rPr>
        <w:t>Members noted that a decision regarding the choice of sterling RFR needed to consider both current and potential future market conditions which could impact the robustness of the selected benchmark. Whilst the contract robustness work stream will consider appropriate fall-back provisions in the event of benchmark discontinuation, members agreed that these contractual terms should only be invoked in unforeseen</w:t>
      </w:r>
      <w:r>
        <w:rPr>
          <w:spacing w:val="-2"/>
          <w:sz w:val="20"/>
        </w:rPr>
        <w:t> </w:t>
      </w:r>
      <w:r>
        <w:rPr>
          <w:sz w:val="20"/>
        </w:rPr>
        <w:t>circumstances.</w:t>
      </w:r>
    </w:p>
    <w:p>
      <w:pPr>
        <w:pStyle w:val="ListParagraph"/>
        <w:numPr>
          <w:ilvl w:val="0"/>
          <w:numId w:val="1"/>
        </w:numPr>
        <w:tabs>
          <w:tab w:pos="545" w:val="left" w:leader="none"/>
          <w:tab w:pos="546" w:val="left" w:leader="none"/>
        </w:tabs>
        <w:spacing w:line="360" w:lineRule="auto" w:before="120" w:after="0"/>
        <w:ind w:left="119" w:right="262" w:firstLine="0"/>
        <w:jc w:val="left"/>
        <w:rPr>
          <w:sz w:val="20"/>
        </w:rPr>
      </w:pPr>
      <w:r>
        <w:rPr>
          <w:sz w:val="20"/>
        </w:rPr>
        <w:t>The Group members agreed to consider, with their firms, the prospects for the evolution of the sterling financial markets with the aim of forming a view of the likely future robustness of secured and unsecured candidate RFRs. To provide focus for this, they were asked to provide to the Chair’s office a response to the following question in advance of the next Group</w:t>
      </w:r>
      <w:r>
        <w:rPr>
          <w:spacing w:val="-13"/>
          <w:sz w:val="20"/>
        </w:rPr>
        <w:t> </w:t>
      </w:r>
      <w:r>
        <w:rPr>
          <w:sz w:val="20"/>
        </w:rPr>
        <w:t>meeting:</w:t>
      </w:r>
    </w:p>
    <w:p>
      <w:pPr>
        <w:spacing w:line="360" w:lineRule="auto" w:before="121"/>
        <w:ind w:left="544" w:right="203" w:firstLine="0"/>
        <w:jc w:val="left"/>
        <w:rPr>
          <w:i/>
          <w:sz w:val="20"/>
        </w:rPr>
      </w:pPr>
      <w:r>
        <w:rPr>
          <w:i/>
          <w:sz w:val="20"/>
        </w:rPr>
        <w:t>Please identify and estimate the impact of known or anticipated drivers of change in the structure of </w:t>
      </w:r>
      <w:r>
        <w:rPr>
          <w:i/>
          <w:sz w:val="20"/>
        </w:rPr>
        <w:t>sterling financial markets which could impact the robustness of secured and unsecured overnight benchmarks over a 5-year horizon. These factors could include regulatory, economic or business model variables. In particular, factors which could impact overall volumes, breadth of institutional participation, the dispersion of transactional rates, and administrators’ access to data should be assessed.</w:t>
      </w:r>
    </w:p>
    <w:p>
      <w:pPr>
        <w:pStyle w:val="ListParagraph"/>
        <w:numPr>
          <w:ilvl w:val="0"/>
          <w:numId w:val="1"/>
        </w:numPr>
        <w:tabs>
          <w:tab w:pos="545" w:val="left" w:leader="none"/>
          <w:tab w:pos="546" w:val="left" w:leader="none"/>
        </w:tabs>
        <w:spacing w:line="360" w:lineRule="auto" w:before="119" w:after="0"/>
        <w:ind w:left="119" w:right="285" w:firstLine="0"/>
        <w:jc w:val="left"/>
        <w:rPr>
          <w:sz w:val="20"/>
        </w:rPr>
      </w:pPr>
      <w:r>
        <w:rPr>
          <w:sz w:val="20"/>
        </w:rPr>
        <w:t>The Chair noted that, to date, outreach had targeted end-users where transition might be most problematic. Members agreed to conduct further work on Libor transition planning, in particular through outreach to likely first movers who could help to catalyse a broader</w:t>
      </w:r>
      <w:r>
        <w:rPr>
          <w:spacing w:val="-16"/>
          <w:sz w:val="20"/>
        </w:rPr>
        <w:t> </w:t>
      </w:r>
      <w:r>
        <w:rPr>
          <w:sz w:val="20"/>
        </w:rPr>
        <w:t>transition.</w:t>
      </w:r>
    </w:p>
    <w:p>
      <w:pPr>
        <w:pStyle w:val="ListParagraph"/>
        <w:numPr>
          <w:ilvl w:val="0"/>
          <w:numId w:val="1"/>
        </w:numPr>
        <w:tabs>
          <w:tab w:pos="545" w:val="left" w:leader="none"/>
          <w:tab w:pos="546" w:val="left" w:leader="none"/>
        </w:tabs>
        <w:spacing w:line="360" w:lineRule="auto" w:before="120" w:after="0"/>
        <w:ind w:left="119" w:right="403" w:firstLine="0"/>
        <w:jc w:val="left"/>
        <w:rPr>
          <w:sz w:val="20"/>
        </w:rPr>
      </w:pPr>
      <w:r>
        <w:rPr>
          <w:sz w:val="20"/>
        </w:rPr>
        <w:t>The Chair encouraged members to syndicate the proposed SONIA OIS ‘big bang’ transition approach with stakeholders, including regulators, who may be directly affected by a vote for a secured RFR.</w:t>
      </w:r>
    </w:p>
    <w:p>
      <w:pPr>
        <w:spacing w:after="0" w:line="360" w:lineRule="auto"/>
        <w:jc w:val="left"/>
        <w:rPr>
          <w:sz w:val="20"/>
        </w:rPr>
        <w:sectPr>
          <w:pgSz w:w="11910" w:h="16840"/>
          <w:pgMar w:top="1360" w:bottom="280" w:left="1320" w:right="1040"/>
        </w:sectPr>
      </w:pPr>
    </w:p>
    <w:p>
      <w:pPr>
        <w:pStyle w:val="Heading1"/>
        <w:spacing w:before="78"/>
      </w:pPr>
      <w:r>
        <w:rPr/>
        <w:t>Private sector attendees</w:t>
      </w:r>
    </w:p>
    <w:p>
      <w:pPr>
        <w:pStyle w:val="BodyText"/>
        <w:spacing w:before="5"/>
        <w:rPr>
          <w:b/>
          <w:sz w:val="23"/>
        </w:rPr>
      </w:pPr>
    </w:p>
    <w:p>
      <w:pPr>
        <w:tabs>
          <w:tab w:pos="3205" w:val="left" w:leader="none"/>
        </w:tabs>
        <w:spacing w:before="0"/>
        <w:ind w:left="227" w:right="0" w:firstLine="0"/>
        <w:jc w:val="left"/>
        <w:rPr>
          <w:b/>
          <w:sz w:val="20"/>
        </w:rPr>
      </w:pPr>
      <w:r>
        <w:rPr>
          <w:sz w:val="20"/>
        </w:rPr>
        <w:t>Nick</w:t>
      </w:r>
      <w:r>
        <w:rPr>
          <w:spacing w:val="-4"/>
          <w:sz w:val="20"/>
        </w:rPr>
        <w:t> </w:t>
      </w:r>
      <w:r>
        <w:rPr>
          <w:sz w:val="20"/>
        </w:rPr>
        <w:t>Saggers</w:t>
        <w:tab/>
      </w:r>
      <w:r>
        <w:rPr>
          <w:b/>
          <w:sz w:val="20"/>
        </w:rPr>
        <w:t>Bank of America-Merrill</w:t>
      </w:r>
      <w:r>
        <w:rPr>
          <w:b/>
          <w:spacing w:val="-4"/>
          <w:sz w:val="20"/>
        </w:rPr>
        <w:t> </w:t>
      </w:r>
      <w:r>
        <w:rPr>
          <w:b/>
          <w:sz w:val="20"/>
        </w:rPr>
        <w:t>Lynch</w:t>
      </w:r>
    </w:p>
    <w:p>
      <w:pPr>
        <w:tabs>
          <w:tab w:pos="3205" w:val="left" w:leader="none"/>
        </w:tabs>
        <w:spacing w:line="312" w:lineRule="auto" w:before="70"/>
        <w:ind w:left="227" w:right="4049" w:firstLine="0"/>
        <w:jc w:val="left"/>
        <w:rPr>
          <w:b/>
          <w:sz w:val="20"/>
        </w:rPr>
      </w:pPr>
      <w:r>
        <w:rPr>
          <w:sz w:val="20"/>
        </w:rPr>
        <w:t>Francois</w:t>
      </w:r>
      <w:r>
        <w:rPr>
          <w:spacing w:val="-1"/>
          <w:sz w:val="20"/>
        </w:rPr>
        <w:t> </w:t>
      </w:r>
      <w:r>
        <w:rPr>
          <w:sz w:val="20"/>
        </w:rPr>
        <w:t>Jourdain</w:t>
        <w:tab/>
      </w:r>
      <w:r>
        <w:rPr>
          <w:b/>
          <w:sz w:val="20"/>
        </w:rPr>
        <w:t>Barclays (Chairman) </w:t>
      </w:r>
      <w:r>
        <w:rPr>
          <w:sz w:val="20"/>
        </w:rPr>
        <w:t>Andreas</w:t>
      </w:r>
      <w:r>
        <w:rPr>
          <w:spacing w:val="-4"/>
          <w:sz w:val="20"/>
        </w:rPr>
        <w:t> </w:t>
      </w:r>
      <w:r>
        <w:rPr>
          <w:sz w:val="20"/>
        </w:rPr>
        <w:t>Giannopoulos</w:t>
        <w:tab/>
      </w:r>
      <w:r>
        <w:rPr>
          <w:b/>
          <w:sz w:val="20"/>
        </w:rPr>
        <w:t>Barclays (Chair’s office) </w:t>
      </w:r>
      <w:r>
        <w:rPr>
          <w:sz w:val="20"/>
        </w:rPr>
        <w:t>Tejonidhi</w:t>
      </w:r>
      <w:r>
        <w:rPr>
          <w:spacing w:val="-5"/>
          <w:sz w:val="20"/>
        </w:rPr>
        <w:t> </w:t>
      </w:r>
      <w:r>
        <w:rPr>
          <w:sz w:val="20"/>
        </w:rPr>
        <w:t>Kashyap</w:t>
        <w:tab/>
      </w:r>
      <w:r>
        <w:rPr>
          <w:b/>
          <w:sz w:val="20"/>
        </w:rPr>
        <w:t>Barclays (Chair’s</w:t>
      </w:r>
      <w:r>
        <w:rPr>
          <w:b/>
          <w:spacing w:val="-18"/>
          <w:sz w:val="20"/>
        </w:rPr>
        <w:t> </w:t>
      </w:r>
      <w:r>
        <w:rPr>
          <w:b/>
          <w:sz w:val="20"/>
        </w:rPr>
        <w:t>office)</w:t>
      </w:r>
    </w:p>
    <w:p>
      <w:pPr>
        <w:tabs>
          <w:tab w:pos="3205" w:val="left" w:leader="none"/>
        </w:tabs>
        <w:spacing w:before="3"/>
        <w:ind w:left="227" w:right="0" w:firstLine="0"/>
        <w:jc w:val="left"/>
        <w:rPr>
          <w:b/>
          <w:sz w:val="20"/>
        </w:rPr>
      </w:pPr>
      <w:r>
        <w:rPr>
          <w:sz w:val="20"/>
        </w:rPr>
        <w:t>Nick</w:t>
      </w:r>
      <w:r>
        <w:rPr>
          <w:spacing w:val="-3"/>
          <w:sz w:val="20"/>
        </w:rPr>
        <w:t> </w:t>
      </w:r>
      <w:r>
        <w:rPr>
          <w:sz w:val="20"/>
        </w:rPr>
        <w:t>Hallett</w:t>
        <w:tab/>
      </w:r>
      <w:r>
        <w:rPr>
          <w:b/>
          <w:sz w:val="20"/>
        </w:rPr>
        <w:t>Barclays</w:t>
      </w:r>
    </w:p>
    <w:p>
      <w:pPr>
        <w:tabs>
          <w:tab w:pos="3205" w:val="left" w:leader="none"/>
        </w:tabs>
        <w:spacing w:before="70"/>
        <w:ind w:left="227" w:right="0" w:firstLine="0"/>
        <w:jc w:val="left"/>
        <w:rPr>
          <w:b/>
          <w:sz w:val="20"/>
        </w:rPr>
      </w:pPr>
      <w:r>
        <w:rPr>
          <w:sz w:val="20"/>
        </w:rPr>
        <w:t>Bruno</w:t>
      </w:r>
      <w:r>
        <w:rPr>
          <w:spacing w:val="-2"/>
          <w:sz w:val="20"/>
        </w:rPr>
        <w:t> </w:t>
      </w:r>
      <w:r>
        <w:rPr>
          <w:sz w:val="20"/>
        </w:rPr>
        <w:t>Chauviere</w:t>
        <w:tab/>
      </w:r>
      <w:r>
        <w:rPr>
          <w:b/>
          <w:sz w:val="20"/>
        </w:rPr>
        <w:t>BNP</w:t>
      </w:r>
      <w:r>
        <w:rPr>
          <w:b/>
          <w:spacing w:val="-1"/>
          <w:sz w:val="20"/>
        </w:rPr>
        <w:t> </w:t>
      </w:r>
      <w:r>
        <w:rPr>
          <w:b/>
          <w:sz w:val="20"/>
        </w:rPr>
        <w:t>Paribas</w:t>
      </w:r>
    </w:p>
    <w:p>
      <w:pPr>
        <w:tabs>
          <w:tab w:pos="3205" w:val="left" w:leader="none"/>
        </w:tabs>
        <w:spacing w:before="70"/>
        <w:ind w:left="227" w:right="0" w:firstLine="0"/>
        <w:jc w:val="left"/>
        <w:rPr>
          <w:b/>
          <w:sz w:val="20"/>
        </w:rPr>
      </w:pPr>
      <w:r>
        <w:rPr>
          <w:sz w:val="20"/>
        </w:rPr>
        <w:t>Alain</w:t>
      </w:r>
      <w:r>
        <w:rPr>
          <w:spacing w:val="-1"/>
          <w:sz w:val="20"/>
        </w:rPr>
        <w:t> </w:t>
      </w:r>
      <w:r>
        <w:rPr>
          <w:sz w:val="20"/>
        </w:rPr>
        <w:t>Verdickt</w:t>
        <w:tab/>
      </w:r>
      <w:r>
        <w:rPr>
          <w:b/>
          <w:sz w:val="20"/>
        </w:rPr>
        <w:t>Citigroup</w:t>
      </w:r>
    </w:p>
    <w:p>
      <w:pPr>
        <w:tabs>
          <w:tab w:pos="3205" w:val="left" w:leader="none"/>
        </w:tabs>
        <w:spacing w:before="70"/>
        <w:ind w:left="227" w:right="0" w:firstLine="0"/>
        <w:jc w:val="left"/>
        <w:rPr>
          <w:b/>
          <w:sz w:val="20"/>
        </w:rPr>
      </w:pPr>
      <w:r>
        <w:rPr>
          <w:sz w:val="20"/>
        </w:rPr>
        <w:t>Arif</w:t>
      </w:r>
      <w:r>
        <w:rPr>
          <w:spacing w:val="-4"/>
          <w:sz w:val="20"/>
        </w:rPr>
        <w:t> </w:t>
      </w:r>
      <w:r>
        <w:rPr>
          <w:sz w:val="20"/>
        </w:rPr>
        <w:t>Merali</w:t>
        <w:tab/>
      </w:r>
      <w:r>
        <w:rPr>
          <w:b/>
          <w:sz w:val="20"/>
        </w:rPr>
        <w:t>Credit</w:t>
      </w:r>
      <w:r>
        <w:rPr>
          <w:b/>
          <w:spacing w:val="-1"/>
          <w:sz w:val="20"/>
        </w:rPr>
        <w:t> </w:t>
      </w:r>
      <w:r>
        <w:rPr>
          <w:b/>
          <w:sz w:val="20"/>
        </w:rPr>
        <w:t>Suisse</w:t>
      </w:r>
    </w:p>
    <w:p>
      <w:pPr>
        <w:tabs>
          <w:tab w:pos="3205" w:val="left" w:leader="none"/>
        </w:tabs>
        <w:spacing w:before="70"/>
        <w:ind w:left="227" w:right="0" w:firstLine="0"/>
        <w:jc w:val="left"/>
        <w:rPr>
          <w:b/>
          <w:sz w:val="20"/>
        </w:rPr>
      </w:pPr>
      <w:r>
        <w:rPr>
          <w:sz w:val="20"/>
        </w:rPr>
        <w:t>Adrian</w:t>
      </w:r>
      <w:r>
        <w:rPr>
          <w:spacing w:val="-2"/>
          <w:sz w:val="20"/>
        </w:rPr>
        <w:t> </w:t>
      </w:r>
      <w:r>
        <w:rPr>
          <w:sz w:val="20"/>
        </w:rPr>
        <w:t>Munday</w:t>
        <w:tab/>
      </w:r>
      <w:r>
        <w:rPr>
          <w:b/>
          <w:sz w:val="20"/>
        </w:rPr>
        <w:t>Deutsche</w:t>
      </w:r>
      <w:r>
        <w:rPr>
          <w:b/>
          <w:spacing w:val="-4"/>
          <w:sz w:val="20"/>
        </w:rPr>
        <w:t> </w:t>
      </w:r>
      <w:r>
        <w:rPr>
          <w:b/>
          <w:sz w:val="20"/>
        </w:rPr>
        <w:t>Bank</w:t>
      </w:r>
    </w:p>
    <w:p>
      <w:pPr>
        <w:tabs>
          <w:tab w:pos="3205" w:val="left" w:leader="none"/>
        </w:tabs>
        <w:spacing w:before="70"/>
        <w:ind w:left="227" w:right="0" w:firstLine="0"/>
        <w:jc w:val="left"/>
        <w:rPr>
          <w:b/>
          <w:sz w:val="20"/>
        </w:rPr>
      </w:pPr>
      <w:r>
        <w:rPr>
          <w:sz w:val="20"/>
        </w:rPr>
        <w:t>John</w:t>
      </w:r>
      <w:r>
        <w:rPr>
          <w:spacing w:val="-3"/>
          <w:sz w:val="20"/>
        </w:rPr>
        <w:t> </w:t>
      </w:r>
      <w:r>
        <w:rPr>
          <w:sz w:val="20"/>
        </w:rPr>
        <w:t>Hilty</w:t>
        <w:tab/>
      </w:r>
      <w:r>
        <w:rPr>
          <w:b/>
          <w:sz w:val="20"/>
        </w:rPr>
        <w:t>Deutsche</w:t>
      </w:r>
      <w:r>
        <w:rPr>
          <w:b/>
          <w:spacing w:val="-5"/>
          <w:sz w:val="20"/>
        </w:rPr>
        <w:t> </w:t>
      </w:r>
      <w:r>
        <w:rPr>
          <w:b/>
          <w:sz w:val="20"/>
        </w:rPr>
        <w:t>Bank</w:t>
      </w:r>
    </w:p>
    <w:p>
      <w:pPr>
        <w:tabs>
          <w:tab w:pos="3205" w:val="left" w:leader="none"/>
        </w:tabs>
        <w:spacing w:before="70"/>
        <w:ind w:left="227" w:right="0" w:firstLine="0"/>
        <w:jc w:val="left"/>
        <w:rPr>
          <w:b/>
          <w:sz w:val="20"/>
        </w:rPr>
      </w:pPr>
      <w:r>
        <w:rPr>
          <w:sz w:val="20"/>
        </w:rPr>
        <w:t>Nikhil</w:t>
      </w:r>
      <w:r>
        <w:rPr>
          <w:spacing w:val="-3"/>
          <w:sz w:val="20"/>
        </w:rPr>
        <w:t> </w:t>
      </w:r>
      <w:r>
        <w:rPr>
          <w:sz w:val="20"/>
        </w:rPr>
        <w:t>Choraria</w:t>
        <w:tab/>
      </w:r>
      <w:r>
        <w:rPr>
          <w:b/>
          <w:sz w:val="20"/>
        </w:rPr>
        <w:t>Goldman</w:t>
      </w:r>
      <w:r>
        <w:rPr>
          <w:b/>
          <w:spacing w:val="-10"/>
          <w:sz w:val="20"/>
        </w:rPr>
        <w:t> </w:t>
      </w:r>
      <w:r>
        <w:rPr>
          <w:b/>
          <w:sz w:val="20"/>
        </w:rPr>
        <w:t>Sachs</w:t>
      </w:r>
    </w:p>
    <w:p>
      <w:pPr>
        <w:tabs>
          <w:tab w:pos="3205" w:val="left" w:leader="none"/>
        </w:tabs>
        <w:spacing w:before="70"/>
        <w:ind w:left="227" w:right="0" w:firstLine="0"/>
        <w:jc w:val="left"/>
        <w:rPr>
          <w:b/>
          <w:sz w:val="20"/>
        </w:rPr>
      </w:pPr>
      <w:r>
        <w:rPr>
          <w:sz w:val="20"/>
        </w:rPr>
        <w:t>Michael</w:t>
      </w:r>
      <w:r>
        <w:rPr>
          <w:spacing w:val="-2"/>
          <w:sz w:val="20"/>
        </w:rPr>
        <w:t> </w:t>
      </w:r>
      <w:r>
        <w:rPr>
          <w:sz w:val="20"/>
        </w:rPr>
        <w:t>Graham</w:t>
        <w:tab/>
      </w:r>
      <w:r>
        <w:rPr>
          <w:b/>
          <w:sz w:val="20"/>
        </w:rPr>
        <w:t>Goldman</w:t>
      </w:r>
      <w:r>
        <w:rPr>
          <w:b/>
          <w:spacing w:val="-10"/>
          <w:sz w:val="20"/>
        </w:rPr>
        <w:t> </w:t>
      </w:r>
      <w:r>
        <w:rPr>
          <w:b/>
          <w:sz w:val="20"/>
        </w:rPr>
        <w:t>Sachs</w:t>
      </w:r>
    </w:p>
    <w:p>
      <w:pPr>
        <w:pStyle w:val="BodyText"/>
        <w:tabs>
          <w:tab w:pos="3205" w:val="left" w:leader="none"/>
        </w:tabs>
        <w:spacing w:before="70"/>
        <w:ind w:left="227"/>
        <w:rPr>
          <w:b/>
        </w:rPr>
      </w:pPr>
      <w:r>
        <w:rPr/>
        <w:t>Christophe</w:t>
      </w:r>
      <w:r>
        <w:rPr>
          <w:spacing w:val="-2"/>
        </w:rPr>
        <w:t> </w:t>
      </w:r>
      <w:r>
        <w:rPr/>
        <w:t>Rivoire</w:t>
        <w:tab/>
      </w:r>
      <w:r>
        <w:rPr>
          <w:b/>
        </w:rPr>
        <w:t>HSBC</w:t>
      </w:r>
    </w:p>
    <w:p>
      <w:pPr>
        <w:tabs>
          <w:tab w:pos="3205" w:val="left" w:leader="none"/>
        </w:tabs>
        <w:spacing w:before="70"/>
        <w:ind w:left="227" w:right="0" w:firstLine="0"/>
        <w:jc w:val="left"/>
        <w:rPr>
          <w:b/>
          <w:sz w:val="20"/>
        </w:rPr>
      </w:pPr>
      <w:r>
        <w:rPr>
          <w:sz w:val="20"/>
        </w:rPr>
        <w:t>Glenn</w:t>
      </w:r>
      <w:r>
        <w:rPr>
          <w:spacing w:val="-5"/>
          <w:sz w:val="20"/>
        </w:rPr>
        <w:t> </w:t>
      </w:r>
      <w:r>
        <w:rPr>
          <w:sz w:val="20"/>
        </w:rPr>
        <w:t>Handley</w:t>
        <w:tab/>
      </w:r>
      <w:r>
        <w:rPr>
          <w:b/>
          <w:sz w:val="20"/>
        </w:rPr>
        <w:t>HSBC</w:t>
      </w:r>
    </w:p>
    <w:p>
      <w:pPr>
        <w:tabs>
          <w:tab w:pos="3205" w:val="left" w:leader="none"/>
        </w:tabs>
        <w:spacing w:before="70"/>
        <w:ind w:left="227" w:right="0" w:firstLine="0"/>
        <w:jc w:val="left"/>
        <w:rPr>
          <w:b/>
          <w:sz w:val="20"/>
        </w:rPr>
      </w:pPr>
      <w:r>
        <w:rPr>
          <w:sz w:val="20"/>
        </w:rPr>
        <w:t>Charles</w:t>
      </w:r>
      <w:r>
        <w:rPr>
          <w:spacing w:val="-5"/>
          <w:sz w:val="20"/>
        </w:rPr>
        <w:t> </w:t>
      </w:r>
      <w:r>
        <w:rPr>
          <w:sz w:val="20"/>
        </w:rPr>
        <w:t>Bristow</w:t>
        <w:tab/>
      </w:r>
      <w:r>
        <w:rPr>
          <w:b/>
          <w:sz w:val="20"/>
        </w:rPr>
        <w:t>JP</w:t>
      </w:r>
      <w:r>
        <w:rPr>
          <w:b/>
          <w:spacing w:val="-1"/>
          <w:sz w:val="20"/>
        </w:rPr>
        <w:t> </w:t>
      </w:r>
      <w:r>
        <w:rPr>
          <w:b/>
          <w:sz w:val="20"/>
        </w:rPr>
        <w:t>Morgan</w:t>
      </w:r>
    </w:p>
    <w:p>
      <w:pPr>
        <w:tabs>
          <w:tab w:pos="3205" w:val="left" w:leader="none"/>
        </w:tabs>
        <w:spacing w:before="70"/>
        <w:ind w:left="227" w:right="0" w:firstLine="0"/>
        <w:jc w:val="left"/>
        <w:rPr>
          <w:b/>
          <w:sz w:val="20"/>
        </w:rPr>
      </w:pPr>
      <w:r>
        <w:rPr>
          <w:sz w:val="20"/>
        </w:rPr>
        <w:t>Christophe</w:t>
      </w:r>
      <w:r>
        <w:rPr>
          <w:spacing w:val="-2"/>
          <w:sz w:val="20"/>
        </w:rPr>
        <w:t> </w:t>
      </w:r>
      <w:r>
        <w:rPr>
          <w:sz w:val="20"/>
        </w:rPr>
        <w:t>Coutte</w:t>
        <w:tab/>
      </w:r>
      <w:r>
        <w:rPr>
          <w:b/>
          <w:sz w:val="20"/>
        </w:rPr>
        <w:t>Lloyds</w:t>
      </w:r>
    </w:p>
    <w:p>
      <w:pPr>
        <w:tabs>
          <w:tab w:pos="3205" w:val="left" w:leader="none"/>
        </w:tabs>
        <w:spacing w:before="70"/>
        <w:ind w:left="227" w:right="0" w:firstLine="0"/>
        <w:jc w:val="left"/>
        <w:rPr>
          <w:b/>
          <w:sz w:val="20"/>
        </w:rPr>
      </w:pPr>
      <w:r>
        <w:rPr>
          <w:sz w:val="20"/>
        </w:rPr>
        <w:t>Freddie</w:t>
      </w:r>
      <w:r>
        <w:rPr>
          <w:spacing w:val="-2"/>
          <w:sz w:val="20"/>
        </w:rPr>
        <w:t> </w:t>
      </w:r>
      <w:r>
        <w:rPr>
          <w:sz w:val="20"/>
        </w:rPr>
        <w:t>Napier</w:t>
        <w:tab/>
      </w:r>
      <w:r>
        <w:rPr>
          <w:b/>
          <w:sz w:val="20"/>
        </w:rPr>
        <w:t>Morgan</w:t>
      </w:r>
      <w:r>
        <w:rPr>
          <w:b/>
          <w:spacing w:val="-1"/>
          <w:sz w:val="20"/>
        </w:rPr>
        <w:t> </w:t>
      </w:r>
      <w:r>
        <w:rPr>
          <w:b/>
          <w:sz w:val="20"/>
        </w:rPr>
        <w:t>Stanley</w:t>
      </w:r>
    </w:p>
    <w:p>
      <w:pPr>
        <w:tabs>
          <w:tab w:pos="3205" w:val="left" w:leader="none"/>
        </w:tabs>
        <w:spacing w:before="70"/>
        <w:ind w:left="227" w:right="0" w:firstLine="0"/>
        <w:jc w:val="left"/>
        <w:rPr>
          <w:b/>
          <w:sz w:val="20"/>
        </w:rPr>
      </w:pPr>
      <w:r>
        <w:rPr>
          <w:sz w:val="20"/>
        </w:rPr>
        <w:t>David</w:t>
      </w:r>
      <w:r>
        <w:rPr>
          <w:spacing w:val="-3"/>
          <w:sz w:val="20"/>
        </w:rPr>
        <w:t> </w:t>
      </w:r>
      <w:r>
        <w:rPr>
          <w:sz w:val="20"/>
        </w:rPr>
        <w:t>Bradley</w:t>
        <w:tab/>
      </w:r>
      <w:r>
        <w:rPr>
          <w:b/>
          <w:sz w:val="20"/>
        </w:rPr>
        <w:t>Royal Bank of</w:t>
      </w:r>
      <w:r>
        <w:rPr>
          <w:b/>
          <w:spacing w:val="-4"/>
          <w:sz w:val="20"/>
        </w:rPr>
        <w:t> </w:t>
      </w:r>
      <w:r>
        <w:rPr>
          <w:b/>
          <w:sz w:val="20"/>
        </w:rPr>
        <w:t>Scotland</w:t>
      </w:r>
    </w:p>
    <w:p>
      <w:pPr>
        <w:tabs>
          <w:tab w:pos="3205" w:val="left" w:leader="none"/>
        </w:tabs>
        <w:spacing w:before="70"/>
        <w:ind w:left="227" w:right="0" w:firstLine="0"/>
        <w:jc w:val="left"/>
        <w:rPr>
          <w:b/>
          <w:sz w:val="20"/>
        </w:rPr>
      </w:pPr>
      <w:r>
        <w:rPr>
          <w:sz w:val="20"/>
        </w:rPr>
        <w:t>Toby</w:t>
      </w:r>
      <w:r>
        <w:rPr>
          <w:spacing w:val="-4"/>
          <w:sz w:val="20"/>
        </w:rPr>
        <w:t> </w:t>
      </w:r>
      <w:r>
        <w:rPr>
          <w:sz w:val="20"/>
        </w:rPr>
        <w:t>Stevenson</w:t>
        <w:tab/>
      </w:r>
      <w:r>
        <w:rPr>
          <w:b/>
          <w:sz w:val="20"/>
        </w:rPr>
        <w:t>Royal Bank of</w:t>
      </w:r>
      <w:r>
        <w:rPr>
          <w:b/>
          <w:spacing w:val="-4"/>
          <w:sz w:val="20"/>
        </w:rPr>
        <w:t> </w:t>
      </w:r>
      <w:r>
        <w:rPr>
          <w:b/>
          <w:sz w:val="20"/>
        </w:rPr>
        <w:t>Scotland</w:t>
      </w:r>
    </w:p>
    <w:p>
      <w:pPr>
        <w:tabs>
          <w:tab w:pos="3205" w:val="left" w:leader="none"/>
        </w:tabs>
        <w:spacing w:before="70"/>
        <w:ind w:left="227" w:right="0" w:firstLine="0"/>
        <w:jc w:val="left"/>
        <w:rPr>
          <w:b/>
          <w:sz w:val="20"/>
        </w:rPr>
      </w:pPr>
      <w:r>
        <w:rPr>
          <w:sz w:val="20"/>
        </w:rPr>
        <w:t>Paul</w:t>
      </w:r>
      <w:r>
        <w:rPr>
          <w:spacing w:val="-4"/>
          <w:sz w:val="20"/>
        </w:rPr>
        <w:t> </w:t>
      </w:r>
      <w:r>
        <w:rPr>
          <w:sz w:val="20"/>
        </w:rPr>
        <w:t>Barnes</w:t>
        <w:tab/>
      </w:r>
      <w:r>
        <w:rPr>
          <w:b/>
          <w:sz w:val="20"/>
        </w:rPr>
        <w:t>Santander</w:t>
      </w:r>
      <w:r>
        <w:rPr>
          <w:b/>
          <w:spacing w:val="-1"/>
          <w:sz w:val="20"/>
        </w:rPr>
        <w:t> </w:t>
      </w:r>
      <w:r>
        <w:rPr>
          <w:b/>
          <w:sz w:val="20"/>
        </w:rPr>
        <w:t>UK</w:t>
      </w:r>
    </w:p>
    <w:p>
      <w:pPr>
        <w:tabs>
          <w:tab w:pos="3205" w:val="left" w:leader="none"/>
        </w:tabs>
        <w:spacing w:before="70"/>
        <w:ind w:left="227" w:right="0" w:firstLine="0"/>
        <w:jc w:val="left"/>
        <w:rPr>
          <w:b/>
          <w:sz w:val="20"/>
        </w:rPr>
      </w:pPr>
      <w:r>
        <w:rPr>
          <w:sz w:val="20"/>
        </w:rPr>
        <w:t>Stephane</w:t>
      </w:r>
      <w:r>
        <w:rPr>
          <w:spacing w:val="-2"/>
          <w:sz w:val="20"/>
        </w:rPr>
        <w:t> </w:t>
      </w:r>
      <w:r>
        <w:rPr>
          <w:sz w:val="20"/>
        </w:rPr>
        <w:t>Cuny</w:t>
        <w:tab/>
      </w:r>
      <w:r>
        <w:rPr>
          <w:b/>
          <w:sz w:val="20"/>
        </w:rPr>
        <w:t>Société</w:t>
      </w:r>
      <w:r>
        <w:rPr>
          <w:b/>
          <w:spacing w:val="-1"/>
          <w:sz w:val="20"/>
        </w:rPr>
        <w:t> </w:t>
      </w:r>
      <w:r>
        <w:rPr>
          <w:b/>
          <w:sz w:val="20"/>
        </w:rPr>
        <w:t>Générale</w:t>
      </w:r>
    </w:p>
    <w:p>
      <w:pPr>
        <w:pStyle w:val="BodyText"/>
        <w:tabs>
          <w:tab w:pos="3205" w:val="left" w:leader="none"/>
        </w:tabs>
        <w:spacing w:before="70"/>
        <w:ind w:left="227"/>
        <w:rPr>
          <w:b/>
        </w:rPr>
      </w:pPr>
      <w:r>
        <w:rPr/>
        <w:t>Chirag</w:t>
      </w:r>
      <w:r>
        <w:rPr>
          <w:spacing w:val="-3"/>
        </w:rPr>
        <w:t> </w:t>
      </w:r>
      <w:r>
        <w:rPr/>
        <w:t>Dave</w:t>
        <w:tab/>
      </w:r>
      <w:r>
        <w:rPr>
          <w:b/>
        </w:rPr>
        <w:t>UBS</w:t>
      </w:r>
    </w:p>
    <w:p>
      <w:pPr>
        <w:tabs>
          <w:tab w:pos="3205" w:val="left" w:leader="none"/>
        </w:tabs>
        <w:spacing w:before="70"/>
        <w:ind w:left="227" w:right="0" w:firstLine="0"/>
        <w:jc w:val="left"/>
        <w:rPr>
          <w:b/>
          <w:sz w:val="20"/>
        </w:rPr>
      </w:pPr>
      <w:r>
        <w:rPr>
          <w:sz w:val="20"/>
        </w:rPr>
        <w:t>Paul</w:t>
      </w:r>
      <w:r>
        <w:rPr>
          <w:spacing w:val="-3"/>
          <w:sz w:val="20"/>
        </w:rPr>
        <w:t> </w:t>
      </w:r>
      <w:r>
        <w:rPr>
          <w:sz w:val="20"/>
        </w:rPr>
        <w:t>Canty</w:t>
        <w:tab/>
      </w:r>
      <w:r>
        <w:rPr>
          <w:b/>
          <w:sz w:val="20"/>
        </w:rPr>
        <w:t>UBS</w:t>
      </w:r>
    </w:p>
    <w:p>
      <w:pPr>
        <w:tabs>
          <w:tab w:pos="3205" w:val="left" w:leader="none"/>
        </w:tabs>
        <w:spacing w:before="70"/>
        <w:ind w:left="227" w:right="0" w:firstLine="0"/>
        <w:jc w:val="left"/>
        <w:rPr>
          <w:b/>
          <w:sz w:val="20"/>
        </w:rPr>
      </w:pPr>
      <w:r>
        <w:rPr>
          <w:sz w:val="20"/>
        </w:rPr>
        <w:t>David</w:t>
      </w:r>
      <w:r>
        <w:rPr>
          <w:spacing w:val="-2"/>
          <w:sz w:val="20"/>
        </w:rPr>
        <w:t> </w:t>
      </w:r>
      <w:r>
        <w:rPr>
          <w:sz w:val="20"/>
        </w:rPr>
        <w:t>Geen</w:t>
        <w:tab/>
      </w:r>
      <w:r>
        <w:rPr>
          <w:b/>
          <w:sz w:val="20"/>
        </w:rPr>
        <w:t>ISDA (Observer</w:t>
      </w:r>
      <w:r>
        <w:rPr>
          <w:b/>
          <w:spacing w:val="-1"/>
          <w:sz w:val="20"/>
        </w:rPr>
        <w:t> </w:t>
      </w:r>
      <w:r>
        <w:rPr>
          <w:b/>
          <w:sz w:val="20"/>
        </w:rPr>
        <w:t>only)</w:t>
      </w:r>
    </w:p>
    <w:p>
      <w:pPr>
        <w:tabs>
          <w:tab w:pos="3205" w:val="left" w:leader="none"/>
        </w:tabs>
        <w:spacing w:before="70"/>
        <w:ind w:left="227" w:right="0" w:firstLine="0"/>
        <w:jc w:val="left"/>
        <w:rPr>
          <w:b/>
          <w:sz w:val="20"/>
        </w:rPr>
      </w:pPr>
      <w:r>
        <w:rPr>
          <w:sz w:val="20"/>
        </w:rPr>
        <w:t>Philip</w:t>
      </w:r>
      <w:r>
        <w:rPr>
          <w:spacing w:val="-1"/>
          <w:sz w:val="20"/>
        </w:rPr>
        <w:t> </w:t>
      </w:r>
      <w:r>
        <w:rPr>
          <w:sz w:val="20"/>
        </w:rPr>
        <w:t>Whitehurst</w:t>
        <w:tab/>
      </w:r>
      <w:r>
        <w:rPr>
          <w:b/>
          <w:sz w:val="20"/>
        </w:rPr>
        <w:t>LCH.Clearnet (Observer only)</w:t>
      </w:r>
    </w:p>
    <w:p>
      <w:pPr>
        <w:tabs>
          <w:tab w:pos="3205" w:val="left" w:leader="none"/>
        </w:tabs>
        <w:spacing w:before="70"/>
        <w:ind w:left="227" w:right="0" w:firstLine="0"/>
        <w:jc w:val="left"/>
        <w:rPr>
          <w:b/>
          <w:sz w:val="20"/>
        </w:rPr>
      </w:pPr>
      <w:r>
        <w:rPr>
          <w:sz w:val="20"/>
        </w:rPr>
        <w:t>Mirko</w:t>
      </w:r>
      <w:r>
        <w:rPr>
          <w:spacing w:val="-3"/>
          <w:sz w:val="20"/>
        </w:rPr>
        <w:t> </w:t>
      </w:r>
      <w:r>
        <w:rPr>
          <w:sz w:val="20"/>
        </w:rPr>
        <w:t>Guth</w:t>
        <w:tab/>
      </w:r>
      <w:r>
        <w:rPr>
          <w:b/>
          <w:sz w:val="20"/>
        </w:rPr>
        <w:t>EMMI</w:t>
      </w:r>
    </w:p>
    <w:p>
      <w:pPr>
        <w:tabs>
          <w:tab w:pos="3205" w:val="left" w:leader="none"/>
        </w:tabs>
        <w:spacing w:before="70"/>
        <w:ind w:left="227" w:right="0" w:firstLine="0"/>
        <w:jc w:val="left"/>
        <w:rPr>
          <w:b/>
          <w:sz w:val="20"/>
        </w:rPr>
      </w:pPr>
      <w:r>
        <w:rPr>
          <w:sz w:val="20"/>
        </w:rPr>
        <w:t>Alberto</w:t>
      </w:r>
      <w:r>
        <w:rPr>
          <w:spacing w:val="-5"/>
          <w:sz w:val="20"/>
        </w:rPr>
        <w:t> </w:t>
      </w:r>
      <w:r>
        <w:rPr>
          <w:sz w:val="20"/>
        </w:rPr>
        <w:t>Lopez</w:t>
        <w:tab/>
      </w:r>
      <w:r>
        <w:rPr>
          <w:b/>
          <w:sz w:val="20"/>
        </w:rPr>
        <w:t>EMMI</w:t>
      </w:r>
    </w:p>
    <w:p>
      <w:pPr>
        <w:pStyle w:val="BodyText"/>
        <w:rPr>
          <w:b/>
          <w:sz w:val="22"/>
        </w:rPr>
      </w:pPr>
    </w:p>
    <w:p>
      <w:pPr>
        <w:pStyle w:val="BodyText"/>
        <w:rPr>
          <w:b/>
          <w:sz w:val="22"/>
        </w:rPr>
      </w:pPr>
    </w:p>
    <w:p>
      <w:pPr>
        <w:pStyle w:val="BodyText"/>
        <w:spacing w:before="6"/>
        <w:rPr>
          <w:b/>
          <w:sz w:val="25"/>
        </w:rPr>
      </w:pPr>
    </w:p>
    <w:p>
      <w:pPr>
        <w:pStyle w:val="Heading1"/>
        <w:spacing w:before="1"/>
      </w:pPr>
      <w:r>
        <w:rPr/>
        <w:t>Official sector attendees</w:t>
      </w:r>
    </w:p>
    <w:p>
      <w:pPr>
        <w:pStyle w:val="BodyText"/>
        <w:spacing w:before="4"/>
        <w:rPr>
          <w:b/>
          <w:sz w:val="23"/>
        </w:rPr>
      </w:pPr>
    </w:p>
    <w:p>
      <w:pPr>
        <w:tabs>
          <w:tab w:pos="3205" w:val="left" w:leader="none"/>
        </w:tabs>
        <w:spacing w:before="0"/>
        <w:ind w:left="227" w:right="0" w:firstLine="0"/>
        <w:jc w:val="left"/>
        <w:rPr>
          <w:b/>
          <w:sz w:val="20"/>
        </w:rPr>
      </w:pPr>
      <w:r>
        <w:rPr>
          <w:sz w:val="20"/>
        </w:rPr>
        <w:t>Ed</w:t>
      </w:r>
      <w:r>
        <w:rPr>
          <w:spacing w:val="-2"/>
          <w:sz w:val="20"/>
        </w:rPr>
        <w:t> </w:t>
      </w:r>
      <w:r>
        <w:rPr>
          <w:sz w:val="20"/>
        </w:rPr>
        <w:t>Ocampo</w:t>
        <w:tab/>
      </w:r>
      <w:r>
        <w:rPr>
          <w:b/>
          <w:sz w:val="20"/>
        </w:rPr>
        <w:t>Bank of</w:t>
      </w:r>
      <w:r>
        <w:rPr>
          <w:b/>
          <w:spacing w:val="-9"/>
          <w:sz w:val="20"/>
        </w:rPr>
        <w:t> </w:t>
      </w:r>
      <w:r>
        <w:rPr>
          <w:b/>
          <w:sz w:val="20"/>
        </w:rPr>
        <w:t>England</w:t>
      </w:r>
    </w:p>
    <w:p>
      <w:pPr>
        <w:tabs>
          <w:tab w:pos="3205" w:val="left" w:leader="none"/>
        </w:tabs>
        <w:spacing w:before="70"/>
        <w:ind w:left="227" w:right="0" w:firstLine="0"/>
        <w:jc w:val="left"/>
        <w:rPr>
          <w:b/>
          <w:sz w:val="20"/>
        </w:rPr>
      </w:pPr>
      <w:r>
        <w:rPr>
          <w:sz w:val="20"/>
        </w:rPr>
        <w:t>Tim</w:t>
      </w:r>
      <w:r>
        <w:rPr>
          <w:spacing w:val="-3"/>
          <w:sz w:val="20"/>
        </w:rPr>
        <w:t> </w:t>
      </w:r>
      <w:r>
        <w:rPr>
          <w:sz w:val="20"/>
        </w:rPr>
        <w:t>Taylor</w:t>
        <w:tab/>
      </w:r>
      <w:r>
        <w:rPr>
          <w:b/>
          <w:sz w:val="20"/>
        </w:rPr>
        <w:t>Bank of</w:t>
      </w:r>
      <w:r>
        <w:rPr>
          <w:b/>
          <w:spacing w:val="-10"/>
          <w:sz w:val="20"/>
        </w:rPr>
        <w:t> </w:t>
      </w:r>
      <w:r>
        <w:rPr>
          <w:b/>
          <w:sz w:val="20"/>
        </w:rPr>
        <w:t>England</w:t>
      </w:r>
    </w:p>
    <w:p>
      <w:pPr>
        <w:tabs>
          <w:tab w:pos="3205" w:val="left" w:leader="none"/>
        </w:tabs>
        <w:spacing w:before="70"/>
        <w:ind w:left="227" w:right="0" w:firstLine="0"/>
        <w:jc w:val="left"/>
        <w:rPr>
          <w:b/>
          <w:sz w:val="20"/>
        </w:rPr>
      </w:pPr>
      <w:r>
        <w:rPr>
          <w:sz w:val="20"/>
        </w:rPr>
        <w:t>Renée</w:t>
      </w:r>
      <w:r>
        <w:rPr>
          <w:spacing w:val="-2"/>
          <w:sz w:val="20"/>
        </w:rPr>
        <w:t> </w:t>
      </w:r>
      <w:r>
        <w:rPr>
          <w:sz w:val="20"/>
        </w:rPr>
        <w:t>Horrell</w:t>
        <w:tab/>
      </w:r>
      <w:r>
        <w:rPr>
          <w:b/>
          <w:sz w:val="20"/>
        </w:rPr>
        <w:t>Bank of</w:t>
      </w:r>
      <w:r>
        <w:rPr>
          <w:b/>
          <w:spacing w:val="-10"/>
          <w:sz w:val="20"/>
        </w:rPr>
        <w:t> </w:t>
      </w:r>
      <w:r>
        <w:rPr>
          <w:b/>
          <w:sz w:val="20"/>
        </w:rPr>
        <w:t>England</w:t>
      </w:r>
    </w:p>
    <w:p>
      <w:pPr>
        <w:tabs>
          <w:tab w:pos="3205" w:val="left" w:leader="none"/>
        </w:tabs>
        <w:spacing w:before="70"/>
        <w:ind w:left="227" w:right="0" w:firstLine="0"/>
        <w:jc w:val="left"/>
        <w:rPr>
          <w:b/>
          <w:sz w:val="20"/>
        </w:rPr>
      </w:pPr>
      <w:r>
        <w:rPr>
          <w:sz w:val="20"/>
        </w:rPr>
        <w:t>Ben</w:t>
      </w:r>
      <w:r>
        <w:rPr>
          <w:spacing w:val="-1"/>
          <w:sz w:val="20"/>
        </w:rPr>
        <w:t> </w:t>
      </w:r>
      <w:r>
        <w:rPr>
          <w:sz w:val="20"/>
        </w:rPr>
        <w:t>Morley</w:t>
        <w:tab/>
      </w:r>
      <w:r>
        <w:rPr>
          <w:b/>
          <w:sz w:val="20"/>
        </w:rPr>
        <w:t>Bank of</w:t>
      </w:r>
      <w:r>
        <w:rPr>
          <w:b/>
          <w:spacing w:val="-10"/>
          <w:sz w:val="20"/>
        </w:rPr>
        <w:t> </w:t>
      </w:r>
      <w:r>
        <w:rPr>
          <w:b/>
          <w:sz w:val="20"/>
        </w:rPr>
        <w:t>England</w:t>
      </w:r>
    </w:p>
    <w:p>
      <w:pPr>
        <w:tabs>
          <w:tab w:pos="3205" w:val="left" w:leader="none"/>
        </w:tabs>
        <w:spacing w:before="70"/>
        <w:ind w:left="227" w:right="0" w:firstLine="0"/>
        <w:jc w:val="left"/>
        <w:rPr>
          <w:b/>
          <w:sz w:val="20"/>
        </w:rPr>
      </w:pPr>
      <w:r>
        <w:rPr>
          <w:sz w:val="20"/>
        </w:rPr>
        <w:t>Neel</w:t>
      </w:r>
      <w:r>
        <w:rPr>
          <w:spacing w:val="-4"/>
          <w:sz w:val="20"/>
        </w:rPr>
        <w:t> </w:t>
      </w:r>
      <w:r>
        <w:rPr>
          <w:sz w:val="20"/>
        </w:rPr>
        <w:t>Acharya</w:t>
        <w:tab/>
      </w:r>
      <w:r>
        <w:rPr>
          <w:b/>
          <w:sz w:val="20"/>
        </w:rPr>
        <w:t>Bank of</w:t>
      </w:r>
      <w:r>
        <w:rPr>
          <w:b/>
          <w:spacing w:val="-10"/>
          <w:sz w:val="20"/>
        </w:rPr>
        <w:t> </w:t>
      </w:r>
      <w:r>
        <w:rPr>
          <w:b/>
          <w:sz w:val="20"/>
        </w:rPr>
        <w:t>England</w:t>
      </w:r>
    </w:p>
    <w:p>
      <w:pPr>
        <w:tabs>
          <w:tab w:pos="3205" w:val="left" w:leader="none"/>
        </w:tabs>
        <w:spacing w:before="70"/>
        <w:ind w:left="227" w:right="0" w:firstLine="0"/>
        <w:jc w:val="left"/>
        <w:rPr>
          <w:b/>
          <w:sz w:val="20"/>
        </w:rPr>
      </w:pPr>
      <w:r>
        <w:rPr>
          <w:sz w:val="20"/>
        </w:rPr>
        <w:t>Carlos</w:t>
      </w:r>
      <w:r>
        <w:rPr>
          <w:spacing w:val="-2"/>
          <w:sz w:val="20"/>
        </w:rPr>
        <w:t> </w:t>
      </w:r>
      <w:r>
        <w:rPr>
          <w:sz w:val="20"/>
        </w:rPr>
        <w:t>Molinas</w:t>
        <w:tab/>
      </w:r>
      <w:r>
        <w:rPr>
          <w:b/>
          <w:sz w:val="20"/>
        </w:rPr>
        <w:t>Financial Conduct</w:t>
      </w:r>
      <w:r>
        <w:rPr>
          <w:b/>
          <w:spacing w:val="-19"/>
          <w:sz w:val="20"/>
        </w:rPr>
        <w:t> </w:t>
      </w:r>
      <w:r>
        <w:rPr>
          <w:b/>
          <w:sz w:val="20"/>
        </w:rPr>
        <w:t>Authority</w:t>
      </w:r>
    </w:p>
    <w:p>
      <w:pPr>
        <w:tabs>
          <w:tab w:pos="3205" w:val="left" w:leader="none"/>
        </w:tabs>
        <w:spacing w:before="70"/>
        <w:ind w:left="227" w:right="0" w:firstLine="0"/>
        <w:jc w:val="left"/>
        <w:rPr>
          <w:b/>
          <w:sz w:val="20"/>
        </w:rPr>
      </w:pPr>
      <w:r>
        <w:rPr>
          <w:sz w:val="20"/>
        </w:rPr>
        <w:t>Devid</w:t>
      </w:r>
      <w:r>
        <w:rPr>
          <w:spacing w:val="-5"/>
          <w:sz w:val="20"/>
        </w:rPr>
        <w:t> </w:t>
      </w:r>
      <w:r>
        <w:rPr>
          <w:sz w:val="20"/>
        </w:rPr>
        <w:t>Mazzonetto</w:t>
        <w:tab/>
      </w:r>
      <w:r>
        <w:rPr>
          <w:b/>
          <w:sz w:val="20"/>
        </w:rPr>
        <w:t>Financial Conduct</w:t>
      </w:r>
      <w:r>
        <w:rPr>
          <w:b/>
          <w:spacing w:val="-19"/>
          <w:sz w:val="20"/>
        </w:rPr>
        <w:t> </w:t>
      </w:r>
      <w:r>
        <w:rPr>
          <w:b/>
          <w:sz w:val="20"/>
        </w:rPr>
        <w:t>Authority</w:t>
      </w:r>
    </w:p>
    <w:p>
      <w:pPr>
        <w:tabs>
          <w:tab w:pos="3205" w:val="left" w:leader="none"/>
        </w:tabs>
        <w:spacing w:before="70"/>
        <w:ind w:left="227" w:right="0" w:firstLine="0"/>
        <w:jc w:val="left"/>
        <w:rPr>
          <w:b/>
          <w:sz w:val="20"/>
        </w:rPr>
      </w:pPr>
      <w:r>
        <w:rPr>
          <w:sz w:val="20"/>
        </w:rPr>
        <w:t>Heather</w:t>
      </w:r>
      <w:r>
        <w:rPr>
          <w:spacing w:val="-4"/>
          <w:sz w:val="20"/>
        </w:rPr>
        <w:t> </w:t>
      </w:r>
      <w:r>
        <w:rPr>
          <w:sz w:val="20"/>
        </w:rPr>
        <w:t>Pilley</w:t>
        <w:tab/>
      </w:r>
      <w:r>
        <w:rPr>
          <w:b/>
          <w:sz w:val="20"/>
        </w:rPr>
        <w:t>Financial Conduct</w:t>
      </w:r>
      <w:r>
        <w:rPr>
          <w:b/>
          <w:spacing w:val="-19"/>
          <w:sz w:val="20"/>
        </w:rPr>
        <w:t> </w:t>
      </w:r>
      <w:r>
        <w:rPr>
          <w:b/>
          <w:sz w:val="20"/>
        </w:rPr>
        <w:t>Authority</w:t>
      </w:r>
    </w:p>
    <w:sectPr>
      <w:pgSz w:w="11910" w:h="16840"/>
      <w:pgMar w:top="1360" w:bottom="280" w:left="132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45" w:hanging="426"/>
        <w:jc w:val="left"/>
      </w:pPr>
      <w:rPr>
        <w:rFonts w:hint="default" w:ascii="Arial" w:hAnsi="Arial" w:eastAsia="Arial" w:cs="Arial"/>
        <w:w w:val="100"/>
        <w:sz w:val="20"/>
        <w:szCs w:val="20"/>
      </w:rPr>
    </w:lvl>
    <w:lvl w:ilvl="1">
      <w:start w:val="0"/>
      <w:numFmt w:val="bullet"/>
      <w:lvlText w:val="•"/>
      <w:lvlJc w:val="left"/>
      <w:pPr>
        <w:ind w:left="1440" w:hanging="426"/>
      </w:pPr>
      <w:rPr>
        <w:rFonts w:hint="default"/>
      </w:rPr>
    </w:lvl>
    <w:lvl w:ilvl="2">
      <w:start w:val="0"/>
      <w:numFmt w:val="bullet"/>
      <w:lvlText w:val="•"/>
      <w:lvlJc w:val="left"/>
      <w:pPr>
        <w:ind w:left="2340" w:hanging="426"/>
      </w:pPr>
      <w:rPr>
        <w:rFonts w:hint="default"/>
      </w:rPr>
    </w:lvl>
    <w:lvl w:ilvl="3">
      <w:start w:val="0"/>
      <w:numFmt w:val="bullet"/>
      <w:lvlText w:val="•"/>
      <w:lvlJc w:val="left"/>
      <w:pPr>
        <w:ind w:left="3241" w:hanging="426"/>
      </w:pPr>
      <w:rPr>
        <w:rFonts w:hint="default"/>
      </w:rPr>
    </w:lvl>
    <w:lvl w:ilvl="4">
      <w:start w:val="0"/>
      <w:numFmt w:val="bullet"/>
      <w:lvlText w:val="•"/>
      <w:lvlJc w:val="left"/>
      <w:pPr>
        <w:ind w:left="4141" w:hanging="426"/>
      </w:pPr>
      <w:rPr>
        <w:rFonts w:hint="default"/>
      </w:rPr>
    </w:lvl>
    <w:lvl w:ilvl="5">
      <w:start w:val="0"/>
      <w:numFmt w:val="bullet"/>
      <w:lvlText w:val="•"/>
      <w:lvlJc w:val="left"/>
      <w:pPr>
        <w:ind w:left="5042" w:hanging="426"/>
      </w:pPr>
      <w:rPr>
        <w:rFonts w:hint="default"/>
      </w:rPr>
    </w:lvl>
    <w:lvl w:ilvl="6">
      <w:start w:val="0"/>
      <w:numFmt w:val="bullet"/>
      <w:lvlText w:val="•"/>
      <w:lvlJc w:val="left"/>
      <w:pPr>
        <w:ind w:left="5942" w:hanging="426"/>
      </w:pPr>
      <w:rPr>
        <w:rFonts w:hint="default"/>
      </w:rPr>
    </w:lvl>
    <w:lvl w:ilvl="7">
      <w:start w:val="0"/>
      <w:numFmt w:val="bullet"/>
      <w:lvlText w:val="•"/>
      <w:lvlJc w:val="left"/>
      <w:pPr>
        <w:ind w:left="6843" w:hanging="426"/>
      </w:pPr>
      <w:rPr>
        <w:rFonts w:hint="default"/>
      </w:rPr>
    </w:lvl>
    <w:lvl w:ilvl="8">
      <w:start w:val="0"/>
      <w:numFmt w:val="bullet"/>
      <w:lvlText w:val="•"/>
      <w:lvlJc w:val="left"/>
      <w:pPr>
        <w:ind w:left="7743" w:hanging="426"/>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20"/>
      <w:outlineLvl w:val="1"/>
    </w:pPr>
    <w:rPr>
      <w:rFonts w:ascii="Arial" w:hAnsi="Arial" w:eastAsia="Arial" w:cs="Arial"/>
      <w:b/>
      <w:bCs/>
      <w:sz w:val="20"/>
      <w:szCs w:val="20"/>
    </w:rPr>
  </w:style>
  <w:style w:styleId="ListParagraph" w:type="paragraph">
    <w:name w:val="List Paragraph"/>
    <w:basedOn w:val="Normal"/>
    <w:uiPriority w:val="1"/>
    <w:qFormat/>
    <w:pPr>
      <w:ind w:left="119"/>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Working Group on Sterling Risk-Free Reference Rates</dc:subject>
  <dc:title>Minutes of the Working Group on Sterling Risk-Free Reference Rates</dc:title>
  <dcterms:created xsi:type="dcterms:W3CDTF">2020-06-01T02:23:42Z</dcterms:created>
  <dcterms:modified xsi:type="dcterms:W3CDTF">2020-06-01T02:23:42Z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2016-03-02T00:00:00Z</vt:filetime>
  </property>
  <property fmtid="{D5CDD505-2E9C-101B-9397-08002B2CF9AE}" pid="3" name="Creator">
    <vt:lpwstr>PScript5.dll Version 5.2.2</vt:lpwstr>
  </property>
  <property fmtid="{D5CDD505-2E9C-101B-9397-08002B2CF9AE}" pid="4" name="LastSaved">
    <vt:filetime>2020-06-01T00:00:00Z</vt:filetime>
  </property>
</Properties>
</file>