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4" w:lineRule="auto" w:before="70"/>
        <w:ind w:left="652" w:right="645"/>
        <w:jc w:val="center"/>
      </w:pPr>
      <w:r>
        <w:rPr/>
        <w:t>Minutes</w:t>
      </w:r>
      <w:r>
        <w:rPr>
          <w:spacing w:val="-8"/>
        </w:rPr>
        <w:t> </w:t>
      </w:r>
      <w:r>
        <w:rPr/>
        <w:t>of</w:t>
      </w:r>
      <w:r>
        <w:rPr>
          <w:spacing w:val="-6"/>
        </w:rPr>
        <w:t> </w:t>
      </w:r>
      <w:r>
        <w:rPr/>
        <w:t>the</w:t>
      </w:r>
      <w:r>
        <w:rPr>
          <w:spacing w:val="-8"/>
        </w:rPr>
        <w:t> </w:t>
      </w:r>
      <w:r>
        <w:rPr/>
        <w:t>Meeting</w:t>
      </w:r>
      <w:r>
        <w:rPr>
          <w:spacing w:val="-6"/>
        </w:rPr>
        <w:t> </w:t>
      </w:r>
      <w:r>
        <w:rPr/>
        <w:t>of</w:t>
      </w:r>
      <w:r>
        <w:rPr>
          <w:spacing w:val="-6"/>
        </w:rPr>
        <w:t> </w:t>
      </w:r>
      <w:r>
        <w:rPr/>
        <w:t>the</w:t>
      </w:r>
      <w:r>
        <w:rPr>
          <w:spacing w:val="-6"/>
        </w:rPr>
        <w:t> </w:t>
      </w:r>
      <w:r>
        <w:rPr/>
        <w:t>Working</w:t>
      </w:r>
      <w:r>
        <w:rPr>
          <w:spacing w:val="-6"/>
        </w:rPr>
        <w:t> </w:t>
      </w:r>
      <w:r>
        <w:rPr/>
        <w:t>Group</w:t>
      </w:r>
      <w:r>
        <w:rPr>
          <w:spacing w:val="-8"/>
        </w:rPr>
        <w:t> </w:t>
      </w:r>
      <w:r>
        <w:rPr/>
        <w:t>on</w:t>
      </w:r>
      <w:r>
        <w:rPr>
          <w:spacing w:val="-7"/>
        </w:rPr>
        <w:t> </w:t>
      </w:r>
      <w:r>
        <w:rPr/>
        <w:t>Sterling</w:t>
      </w:r>
      <w:r>
        <w:rPr>
          <w:spacing w:val="-7"/>
        </w:rPr>
        <w:t> </w:t>
      </w:r>
      <w:r>
        <w:rPr/>
        <w:t>Risk-Free</w:t>
      </w:r>
      <w:r>
        <w:rPr>
          <w:spacing w:val="-8"/>
        </w:rPr>
        <w:t> </w:t>
      </w:r>
      <w:r>
        <w:rPr/>
        <w:t>Reference</w:t>
      </w:r>
      <w:r>
        <w:rPr>
          <w:spacing w:val="-6"/>
        </w:rPr>
        <w:t> </w:t>
      </w:r>
      <w:r>
        <w:rPr/>
        <w:t>Rates Tuesday 2</w:t>
      </w:r>
      <w:r>
        <w:rPr>
          <w:spacing w:val="-3"/>
        </w:rPr>
        <w:t> </w:t>
      </w:r>
      <w:r>
        <w:rPr/>
        <w:t>June</w:t>
      </w:r>
    </w:p>
    <w:p>
      <w:pPr>
        <w:spacing w:before="1"/>
        <w:ind w:left="646" w:right="645" w:firstLine="0"/>
        <w:jc w:val="center"/>
        <w:rPr>
          <w:b/>
          <w:sz w:val="19"/>
        </w:rPr>
      </w:pPr>
      <w:r>
        <w:rPr>
          <w:b/>
          <w:sz w:val="19"/>
        </w:rPr>
        <w:t>Bank of</w:t>
      </w:r>
      <w:r>
        <w:rPr>
          <w:b/>
          <w:spacing w:val="-23"/>
          <w:sz w:val="19"/>
        </w:rPr>
        <w:t> </w:t>
      </w:r>
      <w:r>
        <w:rPr>
          <w:b/>
          <w:sz w:val="19"/>
        </w:rPr>
        <w:t>England</w:t>
      </w:r>
    </w:p>
    <w:p>
      <w:pPr>
        <w:pStyle w:val="BodyText"/>
        <w:spacing w:before="7"/>
        <w:rPr>
          <w:b/>
          <w:sz w:val="25"/>
        </w:rPr>
      </w:pPr>
    </w:p>
    <w:p>
      <w:pPr>
        <w:spacing w:before="0"/>
        <w:ind w:left="154" w:right="0" w:firstLine="0"/>
        <w:jc w:val="left"/>
        <w:rPr>
          <w:b/>
          <w:sz w:val="19"/>
        </w:rPr>
      </w:pPr>
      <w:r>
        <w:rPr>
          <w:b/>
          <w:sz w:val="19"/>
        </w:rPr>
        <w:t>Minutes of 15 April 2015 meeting</w:t>
      </w:r>
    </w:p>
    <w:p>
      <w:pPr>
        <w:pStyle w:val="BodyText"/>
        <w:spacing w:before="1"/>
        <w:rPr>
          <w:b/>
        </w:rPr>
      </w:pPr>
    </w:p>
    <w:p>
      <w:pPr>
        <w:pStyle w:val="ListParagraph"/>
        <w:numPr>
          <w:ilvl w:val="0"/>
          <w:numId w:val="1"/>
        </w:numPr>
        <w:tabs>
          <w:tab w:pos="555" w:val="left" w:leader="none"/>
          <w:tab w:pos="556" w:val="left" w:leader="none"/>
        </w:tabs>
        <w:spacing w:line="240" w:lineRule="auto" w:before="0" w:after="0"/>
        <w:ind w:left="555" w:right="0" w:hanging="402"/>
        <w:jc w:val="left"/>
        <w:rPr>
          <w:sz w:val="19"/>
        </w:rPr>
      </w:pPr>
      <w:r>
        <w:rPr>
          <w:sz w:val="19"/>
        </w:rPr>
        <w:t>The minutes of the previous meeting on 15 April 2015 were</w:t>
      </w:r>
      <w:r>
        <w:rPr>
          <w:spacing w:val="-26"/>
          <w:sz w:val="19"/>
        </w:rPr>
        <w:t> </w:t>
      </w:r>
      <w:r>
        <w:rPr>
          <w:sz w:val="19"/>
        </w:rPr>
        <w:t>approved.</w:t>
      </w:r>
    </w:p>
    <w:p>
      <w:pPr>
        <w:pStyle w:val="BodyText"/>
      </w:pPr>
    </w:p>
    <w:p>
      <w:pPr>
        <w:pStyle w:val="Heading1"/>
      </w:pPr>
      <w:r>
        <w:rPr/>
        <w:t>RFR selection criteria</w:t>
      </w:r>
    </w:p>
    <w:p>
      <w:pPr>
        <w:pStyle w:val="BodyText"/>
        <w:spacing w:before="1"/>
        <w:rPr>
          <w:b/>
        </w:rPr>
      </w:pPr>
    </w:p>
    <w:p>
      <w:pPr>
        <w:pStyle w:val="ListParagraph"/>
        <w:numPr>
          <w:ilvl w:val="0"/>
          <w:numId w:val="1"/>
        </w:numPr>
        <w:tabs>
          <w:tab w:pos="555" w:val="left" w:leader="none"/>
          <w:tab w:pos="556" w:val="left" w:leader="none"/>
        </w:tabs>
        <w:spacing w:line="357" w:lineRule="auto" w:before="0" w:after="0"/>
        <w:ind w:left="154" w:right="189" w:firstLine="0"/>
        <w:jc w:val="left"/>
        <w:rPr>
          <w:sz w:val="19"/>
        </w:rPr>
      </w:pPr>
      <w:r>
        <w:rPr>
          <w:sz w:val="19"/>
        </w:rPr>
        <w:t>The</w:t>
      </w:r>
      <w:r>
        <w:rPr>
          <w:spacing w:val="-9"/>
          <w:sz w:val="19"/>
        </w:rPr>
        <w:t> </w:t>
      </w:r>
      <w:r>
        <w:rPr>
          <w:sz w:val="19"/>
        </w:rPr>
        <w:t>Group</w:t>
      </w:r>
      <w:r>
        <w:rPr>
          <w:spacing w:val="-8"/>
          <w:sz w:val="19"/>
        </w:rPr>
        <w:t> </w:t>
      </w:r>
      <w:r>
        <w:rPr>
          <w:sz w:val="19"/>
        </w:rPr>
        <w:t>reviewed</w:t>
      </w:r>
      <w:r>
        <w:rPr>
          <w:spacing w:val="-8"/>
          <w:sz w:val="19"/>
        </w:rPr>
        <w:t> </w:t>
      </w:r>
      <w:r>
        <w:rPr>
          <w:sz w:val="19"/>
        </w:rPr>
        <w:t>and</w:t>
      </w:r>
      <w:r>
        <w:rPr>
          <w:spacing w:val="-8"/>
          <w:sz w:val="19"/>
        </w:rPr>
        <w:t> </w:t>
      </w:r>
      <w:r>
        <w:rPr>
          <w:sz w:val="19"/>
        </w:rPr>
        <w:t>approved</w:t>
      </w:r>
      <w:r>
        <w:rPr>
          <w:spacing w:val="-8"/>
          <w:sz w:val="19"/>
        </w:rPr>
        <w:t> </w:t>
      </w:r>
      <w:r>
        <w:rPr>
          <w:sz w:val="19"/>
        </w:rPr>
        <w:t>the</w:t>
      </w:r>
      <w:r>
        <w:rPr>
          <w:spacing w:val="-8"/>
          <w:sz w:val="19"/>
        </w:rPr>
        <w:t> </w:t>
      </w:r>
      <w:r>
        <w:rPr>
          <w:sz w:val="19"/>
        </w:rPr>
        <w:t>initial</w:t>
      </w:r>
      <w:r>
        <w:rPr>
          <w:spacing w:val="-8"/>
          <w:sz w:val="19"/>
        </w:rPr>
        <w:t> </w:t>
      </w:r>
      <w:r>
        <w:rPr>
          <w:sz w:val="19"/>
        </w:rPr>
        <w:t>set</w:t>
      </w:r>
      <w:r>
        <w:rPr>
          <w:spacing w:val="-8"/>
          <w:sz w:val="19"/>
        </w:rPr>
        <w:t> </w:t>
      </w:r>
      <w:r>
        <w:rPr>
          <w:sz w:val="19"/>
        </w:rPr>
        <w:t>of</w:t>
      </w:r>
      <w:r>
        <w:rPr>
          <w:spacing w:val="-8"/>
          <w:sz w:val="19"/>
        </w:rPr>
        <w:t> </w:t>
      </w:r>
      <w:r>
        <w:rPr>
          <w:sz w:val="19"/>
        </w:rPr>
        <w:t>criteria</w:t>
      </w:r>
      <w:r>
        <w:rPr>
          <w:spacing w:val="-8"/>
          <w:sz w:val="19"/>
        </w:rPr>
        <w:t> </w:t>
      </w:r>
      <w:r>
        <w:rPr>
          <w:sz w:val="19"/>
        </w:rPr>
        <w:t>for</w:t>
      </w:r>
      <w:r>
        <w:rPr>
          <w:spacing w:val="-8"/>
          <w:sz w:val="19"/>
        </w:rPr>
        <w:t> </w:t>
      </w:r>
      <w:r>
        <w:rPr>
          <w:sz w:val="19"/>
        </w:rPr>
        <w:t>the</w:t>
      </w:r>
      <w:r>
        <w:rPr>
          <w:spacing w:val="-9"/>
          <w:sz w:val="19"/>
        </w:rPr>
        <w:t> </w:t>
      </w:r>
      <w:r>
        <w:rPr>
          <w:sz w:val="19"/>
        </w:rPr>
        <w:t>selection</w:t>
      </w:r>
      <w:r>
        <w:rPr>
          <w:spacing w:val="-8"/>
          <w:sz w:val="19"/>
        </w:rPr>
        <w:t> </w:t>
      </w:r>
      <w:r>
        <w:rPr>
          <w:sz w:val="19"/>
        </w:rPr>
        <w:t>of</w:t>
      </w:r>
      <w:r>
        <w:rPr>
          <w:spacing w:val="-6"/>
          <w:sz w:val="19"/>
        </w:rPr>
        <w:t> </w:t>
      </w:r>
      <w:r>
        <w:rPr>
          <w:sz w:val="19"/>
        </w:rPr>
        <w:t>the</w:t>
      </w:r>
      <w:r>
        <w:rPr>
          <w:spacing w:val="-8"/>
          <w:sz w:val="19"/>
        </w:rPr>
        <w:t> </w:t>
      </w:r>
      <w:r>
        <w:rPr>
          <w:sz w:val="19"/>
        </w:rPr>
        <w:t>Risk-Free</w:t>
      </w:r>
      <w:r>
        <w:rPr>
          <w:spacing w:val="-6"/>
          <w:sz w:val="19"/>
        </w:rPr>
        <w:t> </w:t>
      </w:r>
      <w:r>
        <w:rPr>
          <w:sz w:val="19"/>
        </w:rPr>
        <w:t>Rate (RFR).</w:t>
      </w:r>
      <w:r>
        <w:rPr>
          <w:spacing w:val="-7"/>
          <w:sz w:val="19"/>
        </w:rPr>
        <w:t> </w:t>
      </w:r>
      <w:r>
        <w:rPr>
          <w:sz w:val="19"/>
        </w:rPr>
        <w:t>It</w:t>
      </w:r>
      <w:r>
        <w:rPr>
          <w:spacing w:val="-7"/>
          <w:sz w:val="19"/>
        </w:rPr>
        <w:t> </w:t>
      </w:r>
      <w:r>
        <w:rPr>
          <w:sz w:val="19"/>
        </w:rPr>
        <w:t>was</w:t>
      </w:r>
      <w:r>
        <w:rPr>
          <w:spacing w:val="-6"/>
          <w:sz w:val="19"/>
        </w:rPr>
        <w:t> </w:t>
      </w:r>
      <w:r>
        <w:rPr>
          <w:sz w:val="19"/>
        </w:rPr>
        <w:t>agreed</w:t>
      </w:r>
      <w:r>
        <w:rPr>
          <w:spacing w:val="-7"/>
          <w:sz w:val="19"/>
        </w:rPr>
        <w:t> </w:t>
      </w:r>
      <w:r>
        <w:rPr>
          <w:sz w:val="19"/>
        </w:rPr>
        <w:t>that</w:t>
      </w:r>
      <w:r>
        <w:rPr>
          <w:spacing w:val="-6"/>
          <w:sz w:val="19"/>
        </w:rPr>
        <w:t> </w:t>
      </w:r>
      <w:r>
        <w:rPr>
          <w:sz w:val="19"/>
        </w:rPr>
        <w:t>they</w:t>
      </w:r>
      <w:r>
        <w:rPr>
          <w:spacing w:val="-6"/>
          <w:sz w:val="19"/>
        </w:rPr>
        <w:t> </w:t>
      </w:r>
      <w:r>
        <w:rPr>
          <w:sz w:val="19"/>
        </w:rPr>
        <w:t>should</w:t>
      </w:r>
      <w:r>
        <w:rPr>
          <w:spacing w:val="-8"/>
          <w:sz w:val="19"/>
        </w:rPr>
        <w:t> </w:t>
      </w:r>
      <w:r>
        <w:rPr>
          <w:sz w:val="19"/>
        </w:rPr>
        <w:t>be</w:t>
      </w:r>
      <w:r>
        <w:rPr>
          <w:spacing w:val="-7"/>
          <w:sz w:val="19"/>
        </w:rPr>
        <w:t> </w:t>
      </w:r>
      <w:r>
        <w:rPr>
          <w:sz w:val="19"/>
        </w:rPr>
        <w:t>posted</w:t>
      </w:r>
      <w:r>
        <w:rPr>
          <w:spacing w:val="-8"/>
          <w:sz w:val="19"/>
        </w:rPr>
        <w:t> </w:t>
      </w:r>
      <w:r>
        <w:rPr>
          <w:sz w:val="19"/>
        </w:rPr>
        <w:t>on</w:t>
      </w:r>
      <w:r>
        <w:rPr>
          <w:spacing w:val="-7"/>
          <w:sz w:val="19"/>
        </w:rPr>
        <w:t> </w:t>
      </w:r>
      <w:r>
        <w:rPr>
          <w:sz w:val="19"/>
        </w:rPr>
        <w:t>the</w:t>
      </w:r>
      <w:r>
        <w:rPr>
          <w:spacing w:val="-7"/>
          <w:sz w:val="19"/>
        </w:rPr>
        <w:t> </w:t>
      </w:r>
      <w:r>
        <w:rPr>
          <w:sz w:val="19"/>
        </w:rPr>
        <w:t>Bank</w:t>
      </w:r>
      <w:r>
        <w:rPr>
          <w:spacing w:val="-6"/>
          <w:sz w:val="19"/>
        </w:rPr>
        <w:t> </w:t>
      </w:r>
      <w:r>
        <w:rPr>
          <w:sz w:val="19"/>
        </w:rPr>
        <w:t>of</w:t>
      </w:r>
      <w:r>
        <w:rPr>
          <w:spacing w:val="-8"/>
          <w:sz w:val="19"/>
        </w:rPr>
        <w:t> </w:t>
      </w:r>
      <w:r>
        <w:rPr>
          <w:sz w:val="19"/>
        </w:rPr>
        <w:t>England</w:t>
      </w:r>
      <w:r>
        <w:rPr>
          <w:spacing w:val="-5"/>
          <w:sz w:val="19"/>
        </w:rPr>
        <w:t> </w:t>
      </w:r>
      <w:r>
        <w:rPr>
          <w:sz w:val="19"/>
        </w:rPr>
        <w:t>website</w:t>
      </w:r>
      <w:r>
        <w:rPr>
          <w:spacing w:val="-7"/>
          <w:sz w:val="19"/>
        </w:rPr>
        <w:t> </w:t>
      </w:r>
      <w:r>
        <w:rPr>
          <w:sz w:val="19"/>
        </w:rPr>
        <w:t>and</w:t>
      </w:r>
      <w:r>
        <w:rPr>
          <w:spacing w:val="-7"/>
          <w:sz w:val="19"/>
        </w:rPr>
        <w:t> </w:t>
      </w:r>
      <w:r>
        <w:rPr>
          <w:sz w:val="19"/>
        </w:rPr>
        <w:t>should</w:t>
      </w:r>
      <w:r>
        <w:rPr>
          <w:spacing w:val="-5"/>
          <w:sz w:val="19"/>
        </w:rPr>
        <w:t> </w:t>
      </w:r>
      <w:r>
        <w:rPr>
          <w:sz w:val="19"/>
        </w:rPr>
        <w:t>form</w:t>
      </w:r>
      <w:r>
        <w:rPr>
          <w:spacing w:val="-6"/>
          <w:sz w:val="19"/>
        </w:rPr>
        <w:t> </w:t>
      </w:r>
      <w:r>
        <w:rPr>
          <w:sz w:val="19"/>
        </w:rPr>
        <w:t>the basis of discussions with end users. Final selection criteria will be agreed in advance of a decision to select the</w:t>
      </w:r>
      <w:r>
        <w:rPr>
          <w:spacing w:val="-2"/>
          <w:sz w:val="19"/>
        </w:rPr>
        <w:t> </w:t>
      </w:r>
      <w:r>
        <w:rPr>
          <w:sz w:val="19"/>
        </w:rPr>
        <w:t>RFR.</w:t>
      </w:r>
    </w:p>
    <w:p>
      <w:pPr>
        <w:pStyle w:val="Heading1"/>
        <w:spacing w:before="108"/>
      </w:pPr>
      <w:r>
        <w:rPr/>
        <w:t>Potential RFR sub group updates and interim reports</w:t>
      </w:r>
    </w:p>
    <w:p>
      <w:pPr>
        <w:pStyle w:val="BodyText"/>
        <w:spacing w:before="2"/>
        <w:rPr>
          <w:b/>
        </w:rPr>
      </w:pPr>
    </w:p>
    <w:p>
      <w:pPr>
        <w:pStyle w:val="ListParagraph"/>
        <w:numPr>
          <w:ilvl w:val="0"/>
          <w:numId w:val="1"/>
        </w:numPr>
        <w:tabs>
          <w:tab w:pos="555" w:val="left" w:leader="none"/>
          <w:tab w:pos="556" w:val="left" w:leader="none"/>
        </w:tabs>
        <w:spacing w:line="355" w:lineRule="auto" w:before="0" w:after="0"/>
        <w:ind w:left="154" w:right="388" w:firstLine="0"/>
        <w:jc w:val="left"/>
        <w:rPr>
          <w:sz w:val="19"/>
        </w:rPr>
      </w:pPr>
      <w:r>
        <w:rPr>
          <w:sz w:val="19"/>
        </w:rPr>
        <w:t>Representatives</w:t>
      </w:r>
      <w:r>
        <w:rPr>
          <w:spacing w:val="-10"/>
          <w:sz w:val="19"/>
        </w:rPr>
        <w:t> </w:t>
      </w:r>
      <w:r>
        <w:rPr>
          <w:sz w:val="19"/>
        </w:rPr>
        <w:t>of</w:t>
      </w:r>
      <w:r>
        <w:rPr>
          <w:spacing w:val="-11"/>
          <w:sz w:val="19"/>
        </w:rPr>
        <w:t> </w:t>
      </w:r>
      <w:r>
        <w:rPr>
          <w:sz w:val="19"/>
        </w:rPr>
        <w:t>the</w:t>
      </w:r>
      <w:r>
        <w:rPr>
          <w:spacing w:val="-11"/>
          <w:sz w:val="19"/>
        </w:rPr>
        <w:t> </w:t>
      </w:r>
      <w:r>
        <w:rPr>
          <w:sz w:val="19"/>
        </w:rPr>
        <w:t>four</w:t>
      </w:r>
      <w:r>
        <w:rPr>
          <w:spacing w:val="-10"/>
          <w:sz w:val="19"/>
        </w:rPr>
        <w:t> </w:t>
      </w:r>
      <w:r>
        <w:rPr>
          <w:sz w:val="19"/>
        </w:rPr>
        <w:t>sub-groups</w:t>
      </w:r>
      <w:r>
        <w:rPr>
          <w:spacing w:val="-10"/>
          <w:sz w:val="19"/>
        </w:rPr>
        <w:t> </w:t>
      </w:r>
      <w:r>
        <w:rPr>
          <w:sz w:val="19"/>
        </w:rPr>
        <w:t>outlined</w:t>
      </w:r>
      <w:r>
        <w:rPr>
          <w:spacing w:val="-11"/>
          <w:sz w:val="19"/>
        </w:rPr>
        <w:t> </w:t>
      </w:r>
      <w:r>
        <w:rPr>
          <w:sz w:val="19"/>
        </w:rPr>
        <w:t>their</w:t>
      </w:r>
      <w:r>
        <w:rPr>
          <w:spacing w:val="-9"/>
          <w:sz w:val="19"/>
        </w:rPr>
        <w:t> </w:t>
      </w:r>
      <w:r>
        <w:rPr>
          <w:sz w:val="19"/>
        </w:rPr>
        <w:t>initial</w:t>
      </w:r>
      <w:r>
        <w:rPr>
          <w:spacing w:val="-11"/>
          <w:sz w:val="19"/>
        </w:rPr>
        <w:t> </w:t>
      </w:r>
      <w:r>
        <w:rPr>
          <w:sz w:val="19"/>
        </w:rPr>
        <w:t>considerations</w:t>
      </w:r>
      <w:r>
        <w:rPr>
          <w:spacing w:val="-9"/>
          <w:sz w:val="19"/>
        </w:rPr>
        <w:t> </w:t>
      </w:r>
      <w:r>
        <w:rPr>
          <w:sz w:val="19"/>
        </w:rPr>
        <w:t>of</w:t>
      </w:r>
      <w:r>
        <w:rPr>
          <w:spacing w:val="-12"/>
          <w:sz w:val="19"/>
        </w:rPr>
        <w:t> </w:t>
      </w:r>
      <w:r>
        <w:rPr>
          <w:sz w:val="19"/>
        </w:rPr>
        <w:t>the</w:t>
      </w:r>
      <w:r>
        <w:rPr>
          <w:spacing w:val="-10"/>
          <w:sz w:val="19"/>
        </w:rPr>
        <w:t> </w:t>
      </w:r>
      <w:r>
        <w:rPr>
          <w:sz w:val="19"/>
        </w:rPr>
        <w:t>potential</w:t>
      </w:r>
      <w:r>
        <w:rPr>
          <w:spacing w:val="-9"/>
          <w:sz w:val="19"/>
        </w:rPr>
        <w:t> </w:t>
      </w:r>
      <w:r>
        <w:rPr>
          <w:sz w:val="19"/>
        </w:rPr>
        <w:t>RFR options:</w:t>
      </w:r>
      <w:r>
        <w:rPr>
          <w:spacing w:val="-3"/>
          <w:sz w:val="19"/>
        </w:rPr>
        <w:t> </w:t>
      </w:r>
      <w:r>
        <w:rPr>
          <w:sz w:val="19"/>
        </w:rPr>
        <w:t>i)</w:t>
      </w:r>
      <w:r>
        <w:rPr>
          <w:spacing w:val="-4"/>
          <w:sz w:val="19"/>
        </w:rPr>
        <w:t> </w:t>
      </w:r>
      <w:r>
        <w:rPr>
          <w:sz w:val="19"/>
        </w:rPr>
        <w:t>unsecured</w:t>
      </w:r>
      <w:r>
        <w:rPr>
          <w:spacing w:val="-4"/>
          <w:sz w:val="19"/>
        </w:rPr>
        <w:t> </w:t>
      </w:r>
      <w:r>
        <w:rPr>
          <w:sz w:val="19"/>
        </w:rPr>
        <w:t>rates;</w:t>
      </w:r>
      <w:r>
        <w:rPr>
          <w:spacing w:val="-3"/>
          <w:sz w:val="19"/>
        </w:rPr>
        <w:t> </w:t>
      </w:r>
      <w:r>
        <w:rPr>
          <w:sz w:val="19"/>
        </w:rPr>
        <w:t>ii)</w:t>
      </w:r>
      <w:r>
        <w:rPr>
          <w:spacing w:val="-5"/>
          <w:sz w:val="19"/>
        </w:rPr>
        <w:t> </w:t>
      </w:r>
      <w:r>
        <w:rPr>
          <w:sz w:val="19"/>
        </w:rPr>
        <w:t>secured</w:t>
      </w:r>
      <w:r>
        <w:rPr>
          <w:spacing w:val="-4"/>
          <w:sz w:val="19"/>
        </w:rPr>
        <w:t> </w:t>
      </w:r>
      <w:r>
        <w:rPr>
          <w:sz w:val="19"/>
        </w:rPr>
        <w:t>rates;</w:t>
      </w:r>
      <w:r>
        <w:rPr>
          <w:spacing w:val="-2"/>
          <w:sz w:val="19"/>
        </w:rPr>
        <w:t> </w:t>
      </w:r>
      <w:r>
        <w:rPr>
          <w:sz w:val="19"/>
        </w:rPr>
        <w:t>iii)</w:t>
      </w:r>
      <w:r>
        <w:rPr>
          <w:spacing w:val="-5"/>
          <w:sz w:val="19"/>
        </w:rPr>
        <w:t> </w:t>
      </w:r>
      <w:r>
        <w:rPr>
          <w:sz w:val="19"/>
        </w:rPr>
        <w:t>Bank</w:t>
      </w:r>
      <w:r>
        <w:rPr>
          <w:spacing w:val="-4"/>
          <w:sz w:val="19"/>
        </w:rPr>
        <w:t> </w:t>
      </w:r>
      <w:r>
        <w:rPr>
          <w:sz w:val="19"/>
        </w:rPr>
        <w:t>Rate;</w:t>
      </w:r>
      <w:r>
        <w:rPr>
          <w:spacing w:val="-2"/>
          <w:sz w:val="19"/>
        </w:rPr>
        <w:t> </w:t>
      </w:r>
      <w:r>
        <w:rPr>
          <w:sz w:val="19"/>
        </w:rPr>
        <w:t>iv)</w:t>
      </w:r>
      <w:r>
        <w:rPr>
          <w:spacing w:val="-4"/>
          <w:sz w:val="19"/>
        </w:rPr>
        <w:t> </w:t>
      </w:r>
      <w:r>
        <w:rPr>
          <w:sz w:val="19"/>
        </w:rPr>
        <w:t>any</w:t>
      </w:r>
      <w:r>
        <w:rPr>
          <w:spacing w:val="-3"/>
          <w:sz w:val="19"/>
        </w:rPr>
        <w:t> </w:t>
      </w:r>
      <w:r>
        <w:rPr>
          <w:sz w:val="19"/>
        </w:rPr>
        <w:t>other</w:t>
      </w:r>
      <w:r>
        <w:rPr>
          <w:spacing w:val="-4"/>
          <w:sz w:val="19"/>
        </w:rPr>
        <w:t> </w:t>
      </w:r>
      <w:r>
        <w:rPr>
          <w:sz w:val="19"/>
        </w:rPr>
        <w:t>alternatives.</w:t>
      </w:r>
    </w:p>
    <w:p>
      <w:pPr>
        <w:pStyle w:val="ListParagraph"/>
        <w:numPr>
          <w:ilvl w:val="1"/>
          <w:numId w:val="1"/>
        </w:numPr>
        <w:tabs>
          <w:tab w:pos="821" w:val="left" w:leader="none"/>
          <w:tab w:pos="822" w:val="left" w:leader="none"/>
        </w:tabs>
        <w:spacing w:line="355" w:lineRule="auto" w:before="116" w:after="0"/>
        <w:ind w:left="821" w:right="163" w:hanging="339"/>
        <w:jc w:val="left"/>
        <w:rPr>
          <w:sz w:val="19"/>
        </w:rPr>
      </w:pPr>
      <w:r>
        <w:rPr>
          <w:sz w:val="19"/>
          <w:u w:val="single"/>
        </w:rPr>
        <w:t>Unsecured rates:</w:t>
      </w:r>
      <w:r>
        <w:rPr>
          <w:sz w:val="19"/>
        </w:rPr>
        <w:t> The Group discussed initial data analysis of volumes in overnight deposit transactions.</w:t>
      </w:r>
      <w:r>
        <w:rPr>
          <w:spacing w:val="-11"/>
          <w:sz w:val="19"/>
        </w:rPr>
        <w:t> </w:t>
      </w:r>
      <w:r>
        <w:rPr>
          <w:sz w:val="19"/>
        </w:rPr>
        <w:t>Data</w:t>
      </w:r>
      <w:r>
        <w:rPr>
          <w:spacing w:val="-8"/>
          <w:sz w:val="19"/>
        </w:rPr>
        <w:t> </w:t>
      </w:r>
      <w:r>
        <w:rPr>
          <w:sz w:val="19"/>
        </w:rPr>
        <w:t>from</w:t>
      </w:r>
      <w:r>
        <w:rPr>
          <w:spacing w:val="-8"/>
          <w:sz w:val="19"/>
        </w:rPr>
        <w:t> </w:t>
      </w:r>
      <w:r>
        <w:rPr>
          <w:sz w:val="19"/>
        </w:rPr>
        <w:t>the</w:t>
      </w:r>
      <w:r>
        <w:rPr>
          <w:spacing w:val="-9"/>
          <w:sz w:val="19"/>
        </w:rPr>
        <w:t> </w:t>
      </w:r>
      <w:r>
        <w:rPr>
          <w:sz w:val="19"/>
        </w:rPr>
        <w:t>UK</w:t>
      </w:r>
      <w:r>
        <w:rPr>
          <w:spacing w:val="-9"/>
          <w:sz w:val="19"/>
        </w:rPr>
        <w:t> </w:t>
      </w:r>
      <w:r>
        <w:rPr>
          <w:sz w:val="19"/>
        </w:rPr>
        <w:t>payment</w:t>
      </w:r>
      <w:r>
        <w:rPr>
          <w:spacing w:val="-8"/>
          <w:sz w:val="19"/>
        </w:rPr>
        <w:t> </w:t>
      </w:r>
      <w:r>
        <w:rPr>
          <w:sz w:val="19"/>
        </w:rPr>
        <w:t>system</w:t>
      </w:r>
      <w:r>
        <w:rPr>
          <w:spacing w:val="-11"/>
          <w:sz w:val="19"/>
        </w:rPr>
        <w:t> </w:t>
      </w:r>
      <w:r>
        <w:rPr>
          <w:sz w:val="19"/>
        </w:rPr>
        <w:t>suggests</w:t>
      </w:r>
      <w:r>
        <w:rPr>
          <w:spacing w:val="-9"/>
          <w:sz w:val="19"/>
        </w:rPr>
        <w:t> </w:t>
      </w:r>
      <w:r>
        <w:rPr>
          <w:sz w:val="19"/>
        </w:rPr>
        <w:t>that</w:t>
      </w:r>
      <w:r>
        <w:rPr>
          <w:spacing w:val="-9"/>
          <w:sz w:val="19"/>
        </w:rPr>
        <w:t> </w:t>
      </w:r>
      <w:r>
        <w:rPr>
          <w:sz w:val="19"/>
        </w:rPr>
        <w:t>transaction</w:t>
      </w:r>
      <w:r>
        <w:rPr>
          <w:spacing w:val="-9"/>
          <w:sz w:val="19"/>
        </w:rPr>
        <w:t> </w:t>
      </w:r>
      <w:r>
        <w:rPr>
          <w:sz w:val="19"/>
        </w:rPr>
        <w:t>volumes</w:t>
      </w:r>
      <w:r>
        <w:rPr>
          <w:spacing w:val="-9"/>
          <w:sz w:val="19"/>
        </w:rPr>
        <w:t> </w:t>
      </w:r>
      <w:r>
        <w:rPr>
          <w:sz w:val="19"/>
        </w:rPr>
        <w:t>of</w:t>
      </w:r>
      <w:r>
        <w:rPr>
          <w:spacing w:val="-9"/>
          <w:sz w:val="19"/>
        </w:rPr>
        <w:t> </w:t>
      </w:r>
      <w:r>
        <w:rPr>
          <w:sz w:val="19"/>
        </w:rPr>
        <w:t>bilateral overnight</w:t>
      </w:r>
      <w:r>
        <w:rPr>
          <w:spacing w:val="-8"/>
          <w:sz w:val="19"/>
        </w:rPr>
        <w:t> </w:t>
      </w:r>
      <w:r>
        <w:rPr>
          <w:sz w:val="19"/>
        </w:rPr>
        <w:t>deposits</w:t>
      </w:r>
      <w:r>
        <w:rPr>
          <w:spacing w:val="-9"/>
          <w:sz w:val="19"/>
        </w:rPr>
        <w:t> </w:t>
      </w:r>
      <w:r>
        <w:rPr>
          <w:sz w:val="19"/>
        </w:rPr>
        <w:t>have</w:t>
      </w:r>
      <w:r>
        <w:rPr>
          <w:spacing w:val="-10"/>
          <w:sz w:val="19"/>
        </w:rPr>
        <w:t> </w:t>
      </w:r>
      <w:r>
        <w:rPr>
          <w:sz w:val="19"/>
        </w:rPr>
        <w:t>remained</w:t>
      </w:r>
      <w:r>
        <w:rPr>
          <w:spacing w:val="-10"/>
          <w:sz w:val="19"/>
        </w:rPr>
        <w:t> </w:t>
      </w:r>
      <w:r>
        <w:rPr>
          <w:sz w:val="19"/>
        </w:rPr>
        <w:t>reasonably</w:t>
      </w:r>
      <w:r>
        <w:rPr>
          <w:spacing w:val="-9"/>
          <w:sz w:val="19"/>
        </w:rPr>
        <w:t> </w:t>
      </w:r>
      <w:r>
        <w:rPr>
          <w:sz w:val="19"/>
        </w:rPr>
        <w:t>stable</w:t>
      </w:r>
      <w:r>
        <w:rPr>
          <w:spacing w:val="-10"/>
          <w:sz w:val="19"/>
        </w:rPr>
        <w:t> </w:t>
      </w:r>
      <w:r>
        <w:rPr>
          <w:sz w:val="19"/>
        </w:rPr>
        <w:t>since</w:t>
      </w:r>
      <w:r>
        <w:rPr>
          <w:spacing w:val="-9"/>
          <w:sz w:val="19"/>
        </w:rPr>
        <w:t> </w:t>
      </w:r>
      <w:r>
        <w:rPr>
          <w:sz w:val="19"/>
        </w:rPr>
        <w:t>the</w:t>
      </w:r>
      <w:r>
        <w:rPr>
          <w:spacing w:val="-9"/>
          <w:sz w:val="19"/>
        </w:rPr>
        <w:t> </w:t>
      </w:r>
      <w:r>
        <w:rPr>
          <w:sz w:val="19"/>
        </w:rPr>
        <w:t>crisis,</w:t>
      </w:r>
      <w:r>
        <w:rPr>
          <w:spacing w:val="-10"/>
          <w:sz w:val="19"/>
        </w:rPr>
        <w:t> </w:t>
      </w:r>
      <w:r>
        <w:rPr>
          <w:sz w:val="19"/>
        </w:rPr>
        <w:t>whereas</w:t>
      </w:r>
      <w:r>
        <w:rPr>
          <w:spacing w:val="-8"/>
          <w:sz w:val="19"/>
        </w:rPr>
        <w:t> </w:t>
      </w:r>
      <w:r>
        <w:rPr>
          <w:sz w:val="19"/>
        </w:rPr>
        <w:t>there</w:t>
      </w:r>
      <w:r>
        <w:rPr>
          <w:spacing w:val="-9"/>
          <w:sz w:val="19"/>
        </w:rPr>
        <w:t> </w:t>
      </w:r>
      <w:r>
        <w:rPr>
          <w:sz w:val="19"/>
        </w:rPr>
        <w:t>had</w:t>
      </w:r>
      <w:r>
        <w:rPr>
          <w:spacing w:val="-9"/>
          <w:sz w:val="19"/>
        </w:rPr>
        <w:t> </w:t>
      </w:r>
      <w:r>
        <w:rPr>
          <w:sz w:val="19"/>
        </w:rPr>
        <w:t>been a</w:t>
      </w:r>
      <w:r>
        <w:rPr>
          <w:spacing w:val="-8"/>
          <w:sz w:val="19"/>
        </w:rPr>
        <w:t> </w:t>
      </w:r>
      <w:r>
        <w:rPr>
          <w:sz w:val="19"/>
        </w:rPr>
        <w:t>decline</w:t>
      </w:r>
      <w:r>
        <w:rPr>
          <w:spacing w:val="-7"/>
          <w:sz w:val="19"/>
        </w:rPr>
        <w:t> </w:t>
      </w:r>
      <w:r>
        <w:rPr>
          <w:sz w:val="19"/>
        </w:rPr>
        <w:t>in</w:t>
      </w:r>
      <w:r>
        <w:rPr>
          <w:spacing w:val="-9"/>
          <w:sz w:val="19"/>
        </w:rPr>
        <w:t> </w:t>
      </w:r>
      <w:r>
        <w:rPr>
          <w:sz w:val="19"/>
        </w:rPr>
        <w:t>the</w:t>
      </w:r>
      <w:r>
        <w:rPr>
          <w:spacing w:val="-7"/>
          <w:sz w:val="19"/>
        </w:rPr>
        <w:t> </w:t>
      </w:r>
      <w:r>
        <w:rPr>
          <w:sz w:val="19"/>
        </w:rPr>
        <w:t>volume</w:t>
      </w:r>
      <w:r>
        <w:rPr>
          <w:spacing w:val="-8"/>
          <w:sz w:val="19"/>
        </w:rPr>
        <w:t> </w:t>
      </w:r>
      <w:r>
        <w:rPr>
          <w:sz w:val="19"/>
        </w:rPr>
        <w:t>of</w:t>
      </w:r>
      <w:r>
        <w:rPr>
          <w:spacing w:val="-8"/>
          <w:sz w:val="19"/>
        </w:rPr>
        <w:t> </w:t>
      </w:r>
      <w:r>
        <w:rPr>
          <w:sz w:val="19"/>
        </w:rPr>
        <w:t>brokered</w:t>
      </w:r>
      <w:r>
        <w:rPr>
          <w:spacing w:val="-7"/>
          <w:sz w:val="19"/>
        </w:rPr>
        <w:t> </w:t>
      </w:r>
      <w:r>
        <w:rPr>
          <w:sz w:val="19"/>
        </w:rPr>
        <w:t>transactions.</w:t>
      </w:r>
      <w:r>
        <w:rPr>
          <w:spacing w:val="-9"/>
          <w:sz w:val="19"/>
        </w:rPr>
        <w:t> </w:t>
      </w:r>
      <w:r>
        <w:rPr>
          <w:sz w:val="19"/>
        </w:rPr>
        <w:t>And</w:t>
      </w:r>
      <w:r>
        <w:rPr>
          <w:spacing w:val="-6"/>
          <w:sz w:val="19"/>
        </w:rPr>
        <w:t> </w:t>
      </w:r>
      <w:r>
        <w:rPr>
          <w:sz w:val="19"/>
        </w:rPr>
        <w:t>the</w:t>
      </w:r>
      <w:r>
        <w:rPr>
          <w:spacing w:val="-9"/>
          <w:sz w:val="19"/>
        </w:rPr>
        <w:t> </w:t>
      </w:r>
      <w:r>
        <w:rPr>
          <w:sz w:val="19"/>
        </w:rPr>
        <w:t>Bank</w:t>
      </w:r>
      <w:r>
        <w:rPr>
          <w:spacing w:val="-7"/>
          <w:sz w:val="19"/>
        </w:rPr>
        <w:t> </w:t>
      </w:r>
      <w:r>
        <w:rPr>
          <w:sz w:val="19"/>
        </w:rPr>
        <w:t>of</w:t>
      </w:r>
      <w:r>
        <w:rPr>
          <w:spacing w:val="-8"/>
          <w:sz w:val="19"/>
        </w:rPr>
        <w:t> </w:t>
      </w:r>
      <w:r>
        <w:rPr>
          <w:sz w:val="19"/>
        </w:rPr>
        <w:t>England’s</w:t>
      </w:r>
      <w:r>
        <w:rPr>
          <w:spacing w:val="-7"/>
          <w:sz w:val="19"/>
        </w:rPr>
        <w:t> </w:t>
      </w:r>
      <w:r>
        <w:rPr>
          <w:sz w:val="19"/>
        </w:rPr>
        <w:t>bi-annual</w:t>
      </w:r>
      <w:r>
        <w:rPr>
          <w:spacing w:val="-7"/>
          <w:sz w:val="19"/>
        </w:rPr>
        <w:t> </w:t>
      </w:r>
      <w:r>
        <w:rPr>
          <w:sz w:val="19"/>
        </w:rPr>
        <w:t>money market</w:t>
      </w:r>
      <w:r>
        <w:rPr>
          <w:spacing w:val="-7"/>
          <w:sz w:val="19"/>
        </w:rPr>
        <w:t> </w:t>
      </w:r>
      <w:r>
        <w:rPr>
          <w:sz w:val="19"/>
        </w:rPr>
        <w:t>survey</w:t>
      </w:r>
      <w:r>
        <w:rPr>
          <w:spacing w:val="-7"/>
          <w:sz w:val="19"/>
        </w:rPr>
        <w:t> </w:t>
      </w:r>
      <w:r>
        <w:rPr>
          <w:sz w:val="19"/>
        </w:rPr>
        <w:t>showed</w:t>
      </w:r>
      <w:r>
        <w:rPr>
          <w:spacing w:val="-6"/>
          <w:sz w:val="19"/>
        </w:rPr>
        <w:t> </w:t>
      </w:r>
      <w:r>
        <w:rPr>
          <w:sz w:val="19"/>
        </w:rPr>
        <w:t>that</w:t>
      </w:r>
      <w:r>
        <w:rPr>
          <w:spacing w:val="-7"/>
          <w:sz w:val="19"/>
        </w:rPr>
        <w:t> </w:t>
      </w:r>
      <w:r>
        <w:rPr>
          <w:sz w:val="19"/>
        </w:rPr>
        <w:t>aggregate</w:t>
      </w:r>
      <w:r>
        <w:rPr>
          <w:spacing w:val="-7"/>
          <w:sz w:val="19"/>
        </w:rPr>
        <w:t> </w:t>
      </w:r>
      <w:r>
        <w:rPr>
          <w:sz w:val="19"/>
        </w:rPr>
        <w:t>volumes</w:t>
      </w:r>
      <w:r>
        <w:rPr>
          <w:spacing w:val="-6"/>
          <w:sz w:val="19"/>
        </w:rPr>
        <w:t> </w:t>
      </w:r>
      <w:r>
        <w:rPr>
          <w:sz w:val="19"/>
        </w:rPr>
        <w:t>of</w:t>
      </w:r>
      <w:r>
        <w:rPr>
          <w:spacing w:val="-5"/>
          <w:sz w:val="19"/>
        </w:rPr>
        <w:t> </w:t>
      </w:r>
      <w:r>
        <w:rPr>
          <w:sz w:val="19"/>
        </w:rPr>
        <w:t>overnight</w:t>
      </w:r>
      <w:r>
        <w:rPr>
          <w:spacing w:val="-5"/>
          <w:sz w:val="19"/>
        </w:rPr>
        <w:t> </w:t>
      </w:r>
      <w:r>
        <w:rPr>
          <w:sz w:val="19"/>
        </w:rPr>
        <w:t>deposits</w:t>
      </w:r>
      <w:r>
        <w:rPr>
          <w:spacing w:val="-6"/>
          <w:sz w:val="19"/>
        </w:rPr>
        <w:t> </w:t>
      </w:r>
      <w:r>
        <w:rPr>
          <w:sz w:val="19"/>
        </w:rPr>
        <w:t>in</w:t>
      </w:r>
      <w:r>
        <w:rPr>
          <w:spacing w:val="-7"/>
          <w:sz w:val="19"/>
        </w:rPr>
        <w:t> </w:t>
      </w:r>
      <w:r>
        <w:rPr>
          <w:sz w:val="19"/>
        </w:rPr>
        <w:t>2014</w:t>
      </w:r>
      <w:r>
        <w:rPr>
          <w:spacing w:val="-5"/>
          <w:sz w:val="19"/>
        </w:rPr>
        <w:t> </w:t>
      </w:r>
      <w:r>
        <w:rPr>
          <w:sz w:val="19"/>
        </w:rPr>
        <w:t>were</w:t>
      </w:r>
      <w:r>
        <w:rPr>
          <w:spacing w:val="-6"/>
          <w:sz w:val="19"/>
        </w:rPr>
        <w:t> </w:t>
      </w:r>
      <w:r>
        <w:rPr>
          <w:sz w:val="19"/>
        </w:rPr>
        <w:t>around</w:t>
      </w:r>
    </w:p>
    <w:p>
      <w:pPr>
        <w:pStyle w:val="BodyText"/>
        <w:spacing w:line="357" w:lineRule="auto" w:before="5"/>
        <w:ind w:left="821" w:right="190"/>
      </w:pPr>
      <w:r>
        <w:rPr/>
        <w:t>£30-£40bn per day</w:t>
      </w:r>
      <w:r>
        <w:rPr>
          <w:vertAlign w:val="superscript"/>
        </w:rPr>
        <w:t>1</w:t>
      </w:r>
      <w:r>
        <w:rPr>
          <w:vertAlign w:val="baseline"/>
        </w:rPr>
        <w:t>. However, the Group noted that it was difficult to judge how volumes are likely to develop in the future – although this was considered an issue for all transaction- based rates. The Group noted that selection of an unsecured rate would have a more simple transition than other options as existing SONIA infrastructure can be developed. The Group discussed whether same-day availability was a necessary feature of the benchmark and agreed to include this in discussions with end-users.</w:t>
      </w:r>
    </w:p>
    <w:p>
      <w:pPr>
        <w:pStyle w:val="ListParagraph"/>
        <w:numPr>
          <w:ilvl w:val="1"/>
          <w:numId w:val="1"/>
        </w:numPr>
        <w:tabs>
          <w:tab w:pos="821" w:val="left" w:leader="none"/>
          <w:tab w:pos="822" w:val="left" w:leader="none"/>
        </w:tabs>
        <w:spacing w:line="357" w:lineRule="auto" w:before="107" w:after="0"/>
        <w:ind w:left="821" w:right="163" w:hanging="339"/>
        <w:jc w:val="left"/>
        <w:rPr>
          <w:sz w:val="19"/>
        </w:rPr>
      </w:pPr>
      <w:r>
        <w:rPr>
          <w:sz w:val="19"/>
          <w:u w:val="single"/>
        </w:rPr>
        <w:t>Secured rates:</w:t>
      </w:r>
      <w:r>
        <w:rPr>
          <w:sz w:val="19"/>
        </w:rPr>
        <w:t> Initial analysis of the UK gilt repo market showed that transaction volumes were high and robust. Aggregate volumes of cleared repo – both stock specific and general collateral (GC) repo – have been at least £30bn-£40bn per day over the past five years. Further</w:t>
      </w:r>
      <w:r>
        <w:rPr>
          <w:spacing w:val="-9"/>
          <w:sz w:val="19"/>
        </w:rPr>
        <w:t> </w:t>
      </w:r>
      <w:r>
        <w:rPr>
          <w:sz w:val="19"/>
        </w:rPr>
        <w:t>data</w:t>
      </w:r>
      <w:r>
        <w:rPr>
          <w:spacing w:val="-9"/>
          <w:sz w:val="19"/>
        </w:rPr>
        <w:t> </w:t>
      </w:r>
      <w:r>
        <w:rPr>
          <w:sz w:val="19"/>
        </w:rPr>
        <w:t>collection</w:t>
      </w:r>
      <w:r>
        <w:rPr>
          <w:spacing w:val="-8"/>
          <w:sz w:val="19"/>
        </w:rPr>
        <w:t> </w:t>
      </w:r>
      <w:r>
        <w:rPr>
          <w:sz w:val="19"/>
        </w:rPr>
        <w:t>was</w:t>
      </w:r>
      <w:r>
        <w:rPr>
          <w:spacing w:val="-7"/>
          <w:sz w:val="19"/>
        </w:rPr>
        <w:t> </w:t>
      </w:r>
      <w:r>
        <w:rPr>
          <w:sz w:val="19"/>
        </w:rPr>
        <w:t>underway</w:t>
      </w:r>
      <w:r>
        <w:rPr>
          <w:spacing w:val="-9"/>
          <w:sz w:val="19"/>
        </w:rPr>
        <w:t> </w:t>
      </w:r>
      <w:r>
        <w:rPr>
          <w:sz w:val="19"/>
        </w:rPr>
        <w:t>–</w:t>
      </w:r>
      <w:r>
        <w:rPr>
          <w:spacing w:val="-8"/>
          <w:sz w:val="19"/>
        </w:rPr>
        <w:t> </w:t>
      </w:r>
      <w:r>
        <w:rPr>
          <w:sz w:val="19"/>
        </w:rPr>
        <w:t>including</w:t>
      </w:r>
      <w:r>
        <w:rPr>
          <w:spacing w:val="-8"/>
          <w:sz w:val="19"/>
        </w:rPr>
        <w:t> </w:t>
      </w:r>
      <w:r>
        <w:rPr>
          <w:sz w:val="19"/>
        </w:rPr>
        <w:t>from</w:t>
      </w:r>
      <w:r>
        <w:rPr>
          <w:spacing w:val="-8"/>
          <w:sz w:val="19"/>
        </w:rPr>
        <w:t> </w:t>
      </w:r>
      <w:r>
        <w:rPr>
          <w:sz w:val="19"/>
        </w:rPr>
        <w:t>other</w:t>
      </w:r>
      <w:r>
        <w:rPr>
          <w:spacing w:val="-9"/>
          <w:sz w:val="19"/>
        </w:rPr>
        <w:t> </w:t>
      </w:r>
      <w:r>
        <w:rPr>
          <w:sz w:val="19"/>
        </w:rPr>
        <w:t>market</w:t>
      </w:r>
      <w:r>
        <w:rPr>
          <w:spacing w:val="-7"/>
          <w:sz w:val="19"/>
        </w:rPr>
        <w:t> </w:t>
      </w:r>
      <w:r>
        <w:rPr>
          <w:sz w:val="19"/>
        </w:rPr>
        <w:t>infrastructure</w:t>
      </w:r>
      <w:r>
        <w:rPr>
          <w:spacing w:val="-9"/>
          <w:sz w:val="19"/>
        </w:rPr>
        <w:t> </w:t>
      </w:r>
      <w:r>
        <w:rPr>
          <w:sz w:val="19"/>
        </w:rPr>
        <w:t>–</w:t>
      </w:r>
      <w:r>
        <w:rPr>
          <w:spacing w:val="-9"/>
          <w:sz w:val="19"/>
        </w:rPr>
        <w:t> </w:t>
      </w:r>
      <w:r>
        <w:rPr>
          <w:sz w:val="19"/>
        </w:rPr>
        <w:t>and</w:t>
      </w:r>
      <w:r>
        <w:rPr>
          <w:spacing w:val="-8"/>
          <w:sz w:val="19"/>
        </w:rPr>
        <w:t> </w:t>
      </w:r>
      <w:r>
        <w:rPr>
          <w:sz w:val="19"/>
        </w:rPr>
        <w:t>it</w:t>
      </w:r>
      <w:r>
        <w:rPr>
          <w:spacing w:val="-8"/>
          <w:sz w:val="19"/>
        </w:rPr>
        <w:t> </w:t>
      </w:r>
      <w:r>
        <w:rPr>
          <w:sz w:val="19"/>
        </w:rPr>
        <w:t>was noted that a change in market settlement practices could help identification of repo transactions, with potential volumes of at least £70bn per day. The Group discussed how stock</w:t>
      </w:r>
      <w:r>
        <w:rPr>
          <w:spacing w:val="-8"/>
          <w:sz w:val="19"/>
        </w:rPr>
        <w:t> </w:t>
      </w:r>
      <w:r>
        <w:rPr>
          <w:sz w:val="19"/>
        </w:rPr>
        <w:t>specific</w:t>
      </w:r>
      <w:r>
        <w:rPr>
          <w:spacing w:val="-7"/>
          <w:sz w:val="19"/>
        </w:rPr>
        <w:t> </w:t>
      </w:r>
      <w:r>
        <w:rPr>
          <w:sz w:val="19"/>
        </w:rPr>
        <w:t>repo</w:t>
      </w:r>
      <w:r>
        <w:rPr>
          <w:spacing w:val="-8"/>
          <w:sz w:val="19"/>
        </w:rPr>
        <w:t> </w:t>
      </w:r>
      <w:r>
        <w:rPr>
          <w:sz w:val="19"/>
        </w:rPr>
        <w:t>could</w:t>
      </w:r>
      <w:r>
        <w:rPr>
          <w:spacing w:val="-8"/>
          <w:sz w:val="19"/>
        </w:rPr>
        <w:t> </w:t>
      </w:r>
      <w:r>
        <w:rPr>
          <w:sz w:val="19"/>
        </w:rPr>
        <w:t>be</w:t>
      </w:r>
      <w:r>
        <w:rPr>
          <w:spacing w:val="-8"/>
          <w:sz w:val="19"/>
        </w:rPr>
        <w:t> </w:t>
      </w:r>
      <w:r>
        <w:rPr>
          <w:sz w:val="19"/>
        </w:rPr>
        <w:t>included</w:t>
      </w:r>
      <w:r>
        <w:rPr>
          <w:spacing w:val="-8"/>
          <w:sz w:val="19"/>
        </w:rPr>
        <w:t> </w:t>
      </w:r>
      <w:r>
        <w:rPr>
          <w:sz w:val="19"/>
        </w:rPr>
        <w:t>in</w:t>
      </w:r>
      <w:r>
        <w:rPr>
          <w:spacing w:val="-8"/>
          <w:sz w:val="19"/>
        </w:rPr>
        <w:t> </w:t>
      </w:r>
      <w:r>
        <w:rPr>
          <w:sz w:val="19"/>
        </w:rPr>
        <w:t>a</w:t>
      </w:r>
      <w:r>
        <w:rPr>
          <w:spacing w:val="-8"/>
          <w:sz w:val="19"/>
        </w:rPr>
        <w:t> </w:t>
      </w:r>
      <w:r>
        <w:rPr>
          <w:sz w:val="19"/>
        </w:rPr>
        <w:t>benchmark,</w:t>
      </w:r>
      <w:r>
        <w:rPr>
          <w:spacing w:val="-6"/>
          <w:sz w:val="19"/>
        </w:rPr>
        <w:t> </w:t>
      </w:r>
      <w:r>
        <w:rPr>
          <w:sz w:val="19"/>
        </w:rPr>
        <w:t>even</w:t>
      </w:r>
      <w:r>
        <w:rPr>
          <w:spacing w:val="-7"/>
          <w:sz w:val="19"/>
        </w:rPr>
        <w:t> </w:t>
      </w:r>
      <w:r>
        <w:rPr>
          <w:sz w:val="19"/>
        </w:rPr>
        <w:t>where</w:t>
      </w:r>
      <w:r>
        <w:rPr>
          <w:spacing w:val="-8"/>
          <w:sz w:val="19"/>
        </w:rPr>
        <w:t> </w:t>
      </w:r>
      <w:r>
        <w:rPr>
          <w:sz w:val="19"/>
        </w:rPr>
        <w:t>they</w:t>
      </w:r>
      <w:r>
        <w:rPr>
          <w:spacing w:val="-7"/>
          <w:sz w:val="19"/>
        </w:rPr>
        <w:t> </w:t>
      </w:r>
      <w:r>
        <w:rPr>
          <w:sz w:val="19"/>
        </w:rPr>
        <w:t>traded</w:t>
      </w:r>
      <w:r>
        <w:rPr>
          <w:spacing w:val="-8"/>
          <w:sz w:val="19"/>
        </w:rPr>
        <w:t> </w:t>
      </w:r>
      <w:r>
        <w:rPr>
          <w:sz w:val="19"/>
        </w:rPr>
        <w:t>“special”.</w:t>
      </w:r>
      <w:r>
        <w:rPr>
          <w:spacing w:val="38"/>
          <w:sz w:val="19"/>
        </w:rPr>
        <w:t> </w:t>
      </w:r>
      <w:r>
        <w:rPr>
          <w:sz w:val="19"/>
        </w:rPr>
        <w:t>Most felt that an appropriate calculation methodology could be used to remove the effect of “specialness”, although this may lead to some uncertainty over aggregate volumes used in the benchmark and how they develop over time. The Group also discussed whether a secured rate benchmark could be based off a wider set of non-gilt collateral, although it was noted that such a rate may not reflect a risk-free borrowing</w:t>
      </w:r>
      <w:r>
        <w:rPr>
          <w:spacing w:val="-25"/>
          <w:sz w:val="19"/>
        </w:rPr>
        <w:t> </w:t>
      </w:r>
      <w:r>
        <w:rPr>
          <w:sz w:val="19"/>
        </w:rPr>
        <w:t>rate.</w:t>
      </w:r>
    </w:p>
    <w:p>
      <w:pPr>
        <w:pStyle w:val="BodyText"/>
        <w:rPr>
          <w:sz w:val="20"/>
        </w:rPr>
      </w:pPr>
    </w:p>
    <w:p>
      <w:pPr>
        <w:pStyle w:val="BodyText"/>
        <w:rPr>
          <w:sz w:val="13"/>
        </w:rPr>
      </w:pPr>
      <w:r>
        <w:rPr/>
        <w:pict>
          <v:shape style="position:absolute;margin-left:93.720001pt;margin-top:9.817002pt;width:135.5pt;height:.1pt;mso-position-horizontal-relative:page;mso-position-vertical-relative:paragraph;z-index:-251658240;mso-wrap-distance-left:0;mso-wrap-distance-right:0" coordorigin="1874,196" coordsize="2710,0" path="m1874,196l4584,196e" filled="false" stroked="true" strokeweight=".66pt" strokecolor="#000000">
            <v:path arrowok="t"/>
            <v:stroke dashstyle="solid"/>
            <w10:wrap type="topAndBottom"/>
          </v:shape>
        </w:pict>
      </w:r>
    </w:p>
    <w:p>
      <w:pPr>
        <w:spacing w:before="29"/>
        <w:ind w:left="154" w:right="0" w:firstLine="0"/>
        <w:jc w:val="left"/>
        <w:rPr>
          <w:sz w:val="17"/>
        </w:rPr>
      </w:pPr>
      <w:r>
        <w:rPr>
          <w:position w:val="9"/>
          <w:sz w:val="11"/>
        </w:rPr>
        <w:t>1 </w:t>
      </w:r>
      <w:hyperlink r:id="rId5">
        <w:r>
          <w:rPr>
            <w:color w:val="0000FF"/>
            <w:sz w:val="17"/>
            <w:u w:val="single" w:color="0000FF"/>
          </w:rPr>
          <w:t>http://www.bankofengland.co.uk/publications/Documents/other/markets/mmlg/smms2014h2.pdf</w:t>
        </w:r>
      </w:hyperlink>
    </w:p>
    <w:p>
      <w:pPr>
        <w:spacing w:after="0"/>
        <w:jc w:val="left"/>
        <w:rPr>
          <w:sz w:val="17"/>
        </w:rPr>
        <w:sectPr>
          <w:type w:val="continuous"/>
          <w:pgSz w:w="12240" w:h="15840"/>
          <w:pgMar w:top="1280" w:bottom="280" w:left="1720" w:right="1720"/>
        </w:sectPr>
      </w:pPr>
    </w:p>
    <w:p>
      <w:pPr>
        <w:pStyle w:val="ListParagraph"/>
        <w:numPr>
          <w:ilvl w:val="1"/>
          <w:numId w:val="1"/>
        </w:numPr>
        <w:tabs>
          <w:tab w:pos="822" w:val="left" w:leader="none"/>
        </w:tabs>
        <w:spacing w:line="357" w:lineRule="auto" w:before="71" w:after="0"/>
        <w:ind w:left="821" w:right="266" w:hanging="339"/>
        <w:jc w:val="left"/>
        <w:rPr>
          <w:sz w:val="19"/>
        </w:rPr>
      </w:pPr>
      <w:r>
        <w:rPr>
          <w:sz w:val="19"/>
          <w:u w:val="single"/>
        </w:rPr>
        <w:t>Bank Rate:</w:t>
      </w:r>
      <w:r>
        <w:rPr>
          <w:sz w:val="19"/>
        </w:rPr>
        <w:t> The Group agreed that Bank Rate as an RFR was transparent and robust rate, which was used frequently in the retail and small business lending markets, with a small existing</w:t>
      </w:r>
      <w:r>
        <w:rPr>
          <w:spacing w:val="-10"/>
          <w:sz w:val="19"/>
        </w:rPr>
        <w:t> </w:t>
      </w:r>
      <w:r>
        <w:rPr>
          <w:sz w:val="19"/>
        </w:rPr>
        <w:t>market</w:t>
      </w:r>
      <w:r>
        <w:rPr>
          <w:spacing w:val="-9"/>
          <w:sz w:val="19"/>
        </w:rPr>
        <w:t> </w:t>
      </w:r>
      <w:r>
        <w:rPr>
          <w:sz w:val="19"/>
        </w:rPr>
        <w:t>for</w:t>
      </w:r>
      <w:r>
        <w:rPr>
          <w:spacing w:val="-10"/>
          <w:sz w:val="19"/>
        </w:rPr>
        <w:t> </w:t>
      </w:r>
      <w:r>
        <w:rPr>
          <w:sz w:val="19"/>
        </w:rPr>
        <w:t>Bank</w:t>
      </w:r>
      <w:r>
        <w:rPr>
          <w:spacing w:val="-8"/>
          <w:sz w:val="19"/>
        </w:rPr>
        <w:t> </w:t>
      </w:r>
      <w:r>
        <w:rPr>
          <w:sz w:val="19"/>
        </w:rPr>
        <w:t>Rate-linked</w:t>
      </w:r>
      <w:r>
        <w:rPr>
          <w:spacing w:val="-9"/>
          <w:sz w:val="19"/>
        </w:rPr>
        <w:t> </w:t>
      </w:r>
      <w:r>
        <w:rPr>
          <w:sz w:val="19"/>
        </w:rPr>
        <w:t>derivatives.</w:t>
      </w:r>
      <w:r>
        <w:rPr>
          <w:spacing w:val="-9"/>
          <w:sz w:val="19"/>
        </w:rPr>
        <w:t> </w:t>
      </w:r>
      <w:r>
        <w:rPr>
          <w:sz w:val="19"/>
        </w:rPr>
        <w:t>The</w:t>
      </w:r>
      <w:r>
        <w:rPr>
          <w:spacing w:val="-9"/>
          <w:sz w:val="19"/>
        </w:rPr>
        <w:t> </w:t>
      </w:r>
      <w:r>
        <w:rPr>
          <w:sz w:val="19"/>
        </w:rPr>
        <w:t>Group</w:t>
      </w:r>
      <w:r>
        <w:rPr>
          <w:spacing w:val="-10"/>
          <w:sz w:val="19"/>
        </w:rPr>
        <w:t> </w:t>
      </w:r>
      <w:r>
        <w:rPr>
          <w:sz w:val="19"/>
        </w:rPr>
        <w:t>felt</w:t>
      </w:r>
      <w:r>
        <w:rPr>
          <w:spacing w:val="-10"/>
          <w:sz w:val="19"/>
        </w:rPr>
        <w:t> </w:t>
      </w:r>
      <w:r>
        <w:rPr>
          <w:sz w:val="19"/>
        </w:rPr>
        <w:t>a</w:t>
      </w:r>
      <w:r>
        <w:rPr>
          <w:spacing w:val="-10"/>
          <w:sz w:val="19"/>
        </w:rPr>
        <w:t> </w:t>
      </w:r>
      <w:r>
        <w:rPr>
          <w:sz w:val="19"/>
        </w:rPr>
        <w:t>key</w:t>
      </w:r>
      <w:r>
        <w:rPr>
          <w:spacing w:val="-9"/>
          <w:sz w:val="19"/>
        </w:rPr>
        <w:t> </w:t>
      </w:r>
      <w:r>
        <w:rPr>
          <w:sz w:val="19"/>
        </w:rPr>
        <w:t>disadvantage</w:t>
      </w:r>
      <w:r>
        <w:rPr>
          <w:spacing w:val="-7"/>
          <w:sz w:val="19"/>
        </w:rPr>
        <w:t> </w:t>
      </w:r>
      <w:r>
        <w:rPr>
          <w:sz w:val="19"/>
        </w:rPr>
        <w:t>was</w:t>
      </w:r>
      <w:r>
        <w:rPr>
          <w:spacing w:val="-8"/>
          <w:sz w:val="19"/>
        </w:rPr>
        <w:t> </w:t>
      </w:r>
      <w:r>
        <w:rPr>
          <w:sz w:val="19"/>
        </w:rPr>
        <w:t>that Bank Rate did not represent market transactions and widespread use of the rate as an RFR could</w:t>
      </w:r>
      <w:r>
        <w:rPr>
          <w:spacing w:val="-5"/>
          <w:sz w:val="19"/>
        </w:rPr>
        <w:t> </w:t>
      </w:r>
      <w:r>
        <w:rPr>
          <w:sz w:val="19"/>
        </w:rPr>
        <w:t>place</w:t>
      </w:r>
      <w:r>
        <w:rPr>
          <w:spacing w:val="-5"/>
          <w:sz w:val="19"/>
        </w:rPr>
        <w:t> </w:t>
      </w:r>
      <w:r>
        <w:rPr>
          <w:sz w:val="19"/>
        </w:rPr>
        <w:t>an</w:t>
      </w:r>
      <w:r>
        <w:rPr>
          <w:spacing w:val="-4"/>
          <w:sz w:val="19"/>
        </w:rPr>
        <w:t> </w:t>
      </w:r>
      <w:r>
        <w:rPr>
          <w:sz w:val="19"/>
        </w:rPr>
        <w:t>undue</w:t>
      </w:r>
      <w:r>
        <w:rPr>
          <w:spacing w:val="-4"/>
          <w:sz w:val="19"/>
        </w:rPr>
        <w:t> </w:t>
      </w:r>
      <w:r>
        <w:rPr>
          <w:sz w:val="19"/>
        </w:rPr>
        <w:t>restriction</w:t>
      </w:r>
      <w:r>
        <w:rPr>
          <w:spacing w:val="-4"/>
          <w:sz w:val="19"/>
        </w:rPr>
        <w:t> </w:t>
      </w:r>
      <w:r>
        <w:rPr>
          <w:sz w:val="19"/>
        </w:rPr>
        <w:t>on</w:t>
      </w:r>
      <w:r>
        <w:rPr>
          <w:spacing w:val="-5"/>
          <w:sz w:val="19"/>
        </w:rPr>
        <w:t> </w:t>
      </w:r>
      <w:r>
        <w:rPr>
          <w:sz w:val="19"/>
        </w:rPr>
        <w:t>the</w:t>
      </w:r>
      <w:r>
        <w:rPr>
          <w:spacing w:val="-5"/>
          <w:sz w:val="19"/>
        </w:rPr>
        <w:t> </w:t>
      </w:r>
      <w:r>
        <w:rPr>
          <w:sz w:val="19"/>
        </w:rPr>
        <w:t>future</w:t>
      </w:r>
      <w:r>
        <w:rPr>
          <w:spacing w:val="-4"/>
          <w:sz w:val="19"/>
        </w:rPr>
        <w:t> </w:t>
      </w:r>
      <w:r>
        <w:rPr>
          <w:sz w:val="19"/>
        </w:rPr>
        <w:t>implementation</w:t>
      </w:r>
      <w:r>
        <w:rPr>
          <w:spacing w:val="-5"/>
          <w:sz w:val="19"/>
        </w:rPr>
        <w:t> </w:t>
      </w:r>
      <w:r>
        <w:rPr>
          <w:sz w:val="19"/>
        </w:rPr>
        <w:t>of</w:t>
      </w:r>
      <w:r>
        <w:rPr>
          <w:spacing w:val="-4"/>
          <w:sz w:val="19"/>
        </w:rPr>
        <w:t> </w:t>
      </w:r>
      <w:r>
        <w:rPr>
          <w:sz w:val="19"/>
        </w:rPr>
        <w:t>monetary</w:t>
      </w:r>
      <w:r>
        <w:rPr>
          <w:spacing w:val="-2"/>
          <w:sz w:val="19"/>
        </w:rPr>
        <w:t> </w:t>
      </w:r>
      <w:r>
        <w:rPr>
          <w:sz w:val="19"/>
        </w:rPr>
        <w:t>policy.</w:t>
      </w:r>
    </w:p>
    <w:p>
      <w:pPr>
        <w:pStyle w:val="ListParagraph"/>
        <w:numPr>
          <w:ilvl w:val="1"/>
          <w:numId w:val="1"/>
        </w:numPr>
        <w:tabs>
          <w:tab w:pos="821" w:val="left" w:leader="none"/>
        </w:tabs>
        <w:spacing w:line="357" w:lineRule="auto" w:before="108" w:after="0"/>
        <w:ind w:left="821" w:right="309" w:hanging="339"/>
        <w:jc w:val="left"/>
        <w:rPr>
          <w:sz w:val="19"/>
        </w:rPr>
      </w:pPr>
      <w:r>
        <w:rPr>
          <w:sz w:val="19"/>
          <w:u w:val="single"/>
        </w:rPr>
        <w:t>Other alternative RFRs:</w:t>
      </w:r>
      <w:r>
        <w:rPr>
          <w:sz w:val="19"/>
        </w:rPr>
        <w:t> One option discussed was an RFR based on the UK Treasury Bill market. Current secondary market volumes were viewed as too low to support a robust benchmark</w:t>
      </w:r>
      <w:r>
        <w:rPr>
          <w:spacing w:val="-7"/>
          <w:sz w:val="19"/>
        </w:rPr>
        <w:t> </w:t>
      </w:r>
      <w:r>
        <w:rPr>
          <w:sz w:val="19"/>
        </w:rPr>
        <w:t>and</w:t>
      </w:r>
      <w:r>
        <w:rPr>
          <w:spacing w:val="-9"/>
          <w:sz w:val="19"/>
        </w:rPr>
        <w:t> </w:t>
      </w:r>
      <w:r>
        <w:rPr>
          <w:sz w:val="19"/>
        </w:rPr>
        <w:t>to</w:t>
      </w:r>
      <w:r>
        <w:rPr>
          <w:spacing w:val="-9"/>
          <w:sz w:val="19"/>
        </w:rPr>
        <w:t> </w:t>
      </w:r>
      <w:r>
        <w:rPr>
          <w:sz w:val="19"/>
        </w:rPr>
        <w:t>change</w:t>
      </w:r>
      <w:r>
        <w:rPr>
          <w:spacing w:val="-9"/>
          <w:sz w:val="19"/>
        </w:rPr>
        <w:t> </w:t>
      </w:r>
      <w:r>
        <w:rPr>
          <w:sz w:val="19"/>
        </w:rPr>
        <w:t>that</w:t>
      </w:r>
      <w:r>
        <w:rPr>
          <w:spacing w:val="-9"/>
          <w:sz w:val="19"/>
        </w:rPr>
        <w:t> </w:t>
      </w:r>
      <w:r>
        <w:rPr>
          <w:sz w:val="19"/>
        </w:rPr>
        <w:t>could</w:t>
      </w:r>
      <w:r>
        <w:rPr>
          <w:spacing w:val="-8"/>
          <w:sz w:val="19"/>
        </w:rPr>
        <w:t> </w:t>
      </w:r>
      <w:r>
        <w:rPr>
          <w:sz w:val="19"/>
        </w:rPr>
        <w:t>constrain</w:t>
      </w:r>
      <w:r>
        <w:rPr>
          <w:spacing w:val="-8"/>
          <w:sz w:val="19"/>
        </w:rPr>
        <w:t> </w:t>
      </w:r>
      <w:r>
        <w:rPr>
          <w:sz w:val="19"/>
        </w:rPr>
        <w:t>the</w:t>
      </w:r>
      <w:r>
        <w:rPr>
          <w:spacing w:val="-9"/>
          <w:sz w:val="19"/>
        </w:rPr>
        <w:t> </w:t>
      </w:r>
      <w:r>
        <w:rPr>
          <w:sz w:val="19"/>
        </w:rPr>
        <w:t>flexibility</w:t>
      </w:r>
      <w:r>
        <w:rPr>
          <w:spacing w:val="-6"/>
          <w:sz w:val="19"/>
        </w:rPr>
        <w:t> </w:t>
      </w:r>
      <w:r>
        <w:rPr>
          <w:sz w:val="19"/>
        </w:rPr>
        <w:t>of</w:t>
      </w:r>
      <w:r>
        <w:rPr>
          <w:spacing w:val="-7"/>
          <w:sz w:val="19"/>
        </w:rPr>
        <w:t> </w:t>
      </w:r>
      <w:r>
        <w:rPr>
          <w:sz w:val="19"/>
        </w:rPr>
        <w:t>the</w:t>
      </w:r>
      <w:r>
        <w:rPr>
          <w:spacing w:val="-9"/>
          <w:sz w:val="19"/>
        </w:rPr>
        <w:t> </w:t>
      </w:r>
      <w:r>
        <w:rPr>
          <w:sz w:val="19"/>
        </w:rPr>
        <w:t>Debt</w:t>
      </w:r>
      <w:r>
        <w:rPr>
          <w:spacing w:val="-6"/>
          <w:sz w:val="19"/>
        </w:rPr>
        <w:t> </w:t>
      </w:r>
      <w:r>
        <w:rPr>
          <w:sz w:val="19"/>
        </w:rPr>
        <w:t>Management</w:t>
      </w:r>
      <w:r>
        <w:rPr>
          <w:spacing w:val="-9"/>
          <w:sz w:val="19"/>
        </w:rPr>
        <w:t> </w:t>
      </w:r>
      <w:r>
        <w:rPr>
          <w:sz w:val="19"/>
        </w:rPr>
        <w:t>Office and</w:t>
      </w:r>
      <w:r>
        <w:rPr>
          <w:spacing w:val="-9"/>
          <w:sz w:val="19"/>
        </w:rPr>
        <w:t> </w:t>
      </w:r>
      <w:r>
        <w:rPr>
          <w:sz w:val="19"/>
        </w:rPr>
        <w:t>require</w:t>
      </w:r>
      <w:r>
        <w:rPr>
          <w:spacing w:val="-9"/>
          <w:sz w:val="19"/>
        </w:rPr>
        <w:t> </w:t>
      </w:r>
      <w:r>
        <w:rPr>
          <w:sz w:val="19"/>
        </w:rPr>
        <w:t>strong</w:t>
      </w:r>
      <w:r>
        <w:rPr>
          <w:spacing w:val="-10"/>
          <w:sz w:val="19"/>
        </w:rPr>
        <w:t> </w:t>
      </w:r>
      <w:r>
        <w:rPr>
          <w:sz w:val="19"/>
        </w:rPr>
        <w:t>coordination</w:t>
      </w:r>
      <w:r>
        <w:rPr>
          <w:spacing w:val="-7"/>
          <w:sz w:val="19"/>
        </w:rPr>
        <w:t> </w:t>
      </w:r>
      <w:r>
        <w:rPr>
          <w:sz w:val="19"/>
        </w:rPr>
        <w:t>with</w:t>
      </w:r>
      <w:r>
        <w:rPr>
          <w:spacing w:val="-8"/>
          <w:sz w:val="19"/>
        </w:rPr>
        <w:t> </w:t>
      </w:r>
      <w:r>
        <w:rPr>
          <w:sz w:val="19"/>
        </w:rPr>
        <w:t>HM</w:t>
      </w:r>
      <w:r>
        <w:rPr>
          <w:spacing w:val="-7"/>
          <w:sz w:val="19"/>
        </w:rPr>
        <w:t> </w:t>
      </w:r>
      <w:r>
        <w:rPr>
          <w:sz w:val="19"/>
        </w:rPr>
        <w:t>Treasury.</w:t>
      </w:r>
      <w:r>
        <w:rPr>
          <w:spacing w:val="-9"/>
          <w:sz w:val="19"/>
        </w:rPr>
        <w:t> </w:t>
      </w:r>
      <w:r>
        <w:rPr>
          <w:sz w:val="19"/>
        </w:rPr>
        <w:t>In</w:t>
      </w:r>
      <w:r>
        <w:rPr>
          <w:spacing w:val="-10"/>
          <w:sz w:val="19"/>
        </w:rPr>
        <w:t> </w:t>
      </w:r>
      <w:r>
        <w:rPr>
          <w:sz w:val="19"/>
        </w:rPr>
        <w:t>addition,</w:t>
      </w:r>
      <w:r>
        <w:rPr>
          <w:spacing w:val="-8"/>
          <w:sz w:val="19"/>
        </w:rPr>
        <w:t> </w:t>
      </w:r>
      <w:r>
        <w:rPr>
          <w:sz w:val="19"/>
        </w:rPr>
        <w:t>the</w:t>
      </w:r>
      <w:r>
        <w:rPr>
          <w:spacing w:val="-10"/>
          <w:sz w:val="19"/>
        </w:rPr>
        <w:t> </w:t>
      </w:r>
      <w:r>
        <w:rPr>
          <w:sz w:val="19"/>
        </w:rPr>
        <w:t>Group</w:t>
      </w:r>
      <w:r>
        <w:rPr>
          <w:spacing w:val="-8"/>
          <w:sz w:val="19"/>
        </w:rPr>
        <w:t> </w:t>
      </w:r>
      <w:r>
        <w:rPr>
          <w:sz w:val="19"/>
        </w:rPr>
        <w:t>felt</w:t>
      </w:r>
      <w:r>
        <w:rPr>
          <w:spacing w:val="-9"/>
          <w:sz w:val="19"/>
        </w:rPr>
        <w:t> </w:t>
      </w:r>
      <w:r>
        <w:rPr>
          <w:sz w:val="19"/>
        </w:rPr>
        <w:t>that</w:t>
      </w:r>
      <w:r>
        <w:rPr>
          <w:spacing w:val="-9"/>
          <w:sz w:val="19"/>
        </w:rPr>
        <w:t> </w:t>
      </w:r>
      <w:r>
        <w:rPr>
          <w:sz w:val="19"/>
        </w:rPr>
        <w:t>volumes</w:t>
      </w:r>
      <w:r>
        <w:rPr>
          <w:spacing w:val="-7"/>
          <w:sz w:val="19"/>
        </w:rPr>
        <w:t> </w:t>
      </w:r>
      <w:r>
        <w:rPr>
          <w:sz w:val="19"/>
        </w:rPr>
        <w:t>in the UK T-Bill market could be affected by the overall fiscal</w:t>
      </w:r>
      <w:r>
        <w:rPr>
          <w:spacing w:val="-22"/>
          <w:sz w:val="19"/>
        </w:rPr>
        <w:t> </w:t>
      </w:r>
      <w:r>
        <w:rPr>
          <w:sz w:val="19"/>
        </w:rPr>
        <w:t>position.</w:t>
      </w:r>
    </w:p>
    <w:p>
      <w:pPr>
        <w:pStyle w:val="BodyText"/>
        <w:spacing w:line="357" w:lineRule="auto" w:before="109"/>
        <w:ind w:left="821" w:right="133"/>
      </w:pPr>
      <w:r>
        <w:rPr/>
        <w:t>A second option discussed was a term Overnight Index Swap (OIS) rate. It was noted that a robust term OIS rate would require a robust overnight rate, and as such consideration of term OIS should be rolled into the unsecured and secured rate options.</w:t>
      </w:r>
    </w:p>
    <w:p>
      <w:pPr>
        <w:pStyle w:val="BodyText"/>
        <w:spacing w:line="357" w:lineRule="auto" w:before="109"/>
        <w:ind w:left="821" w:right="270"/>
      </w:pPr>
      <w:r>
        <w:rPr/>
        <w:t>A third option discussed was whether private money market activity could be combined with the rate paid on reserves by the Bank of England. The Group felt that this may be overly complex and could place some constraint on the Bank’s monetary policy framework.</w:t>
      </w:r>
    </w:p>
    <w:p>
      <w:pPr>
        <w:pStyle w:val="ListParagraph"/>
        <w:numPr>
          <w:ilvl w:val="0"/>
          <w:numId w:val="1"/>
        </w:numPr>
        <w:tabs>
          <w:tab w:pos="556" w:val="left" w:leader="none"/>
        </w:tabs>
        <w:spacing w:line="357" w:lineRule="auto" w:before="111" w:after="0"/>
        <w:ind w:left="154" w:right="336" w:firstLine="0"/>
        <w:jc w:val="both"/>
        <w:rPr>
          <w:sz w:val="19"/>
        </w:rPr>
      </w:pPr>
      <w:r>
        <w:rPr>
          <w:sz w:val="19"/>
        </w:rPr>
        <w:t>Based</w:t>
      </w:r>
      <w:r>
        <w:rPr>
          <w:spacing w:val="-9"/>
          <w:sz w:val="19"/>
        </w:rPr>
        <w:t> </w:t>
      </w:r>
      <w:r>
        <w:rPr>
          <w:sz w:val="19"/>
        </w:rPr>
        <w:t>in</w:t>
      </w:r>
      <w:r>
        <w:rPr>
          <w:spacing w:val="-8"/>
          <w:sz w:val="19"/>
        </w:rPr>
        <w:t> </w:t>
      </w:r>
      <w:r>
        <w:rPr>
          <w:sz w:val="19"/>
        </w:rPr>
        <w:t>the</w:t>
      </w:r>
      <w:r>
        <w:rPr>
          <w:spacing w:val="-9"/>
          <w:sz w:val="19"/>
        </w:rPr>
        <w:t> </w:t>
      </w:r>
      <w:r>
        <w:rPr>
          <w:sz w:val="19"/>
        </w:rPr>
        <w:t>analysis</w:t>
      </w:r>
      <w:r>
        <w:rPr>
          <w:spacing w:val="-7"/>
          <w:sz w:val="19"/>
        </w:rPr>
        <w:t> </w:t>
      </w:r>
      <w:r>
        <w:rPr>
          <w:sz w:val="19"/>
        </w:rPr>
        <w:t>presented,</w:t>
      </w:r>
      <w:r>
        <w:rPr>
          <w:spacing w:val="-6"/>
          <w:sz w:val="19"/>
        </w:rPr>
        <w:t> </w:t>
      </w:r>
      <w:r>
        <w:rPr>
          <w:sz w:val="19"/>
        </w:rPr>
        <w:t>the</w:t>
      </w:r>
      <w:r>
        <w:rPr>
          <w:spacing w:val="-7"/>
          <w:sz w:val="19"/>
        </w:rPr>
        <w:t> </w:t>
      </w:r>
      <w:r>
        <w:rPr>
          <w:sz w:val="19"/>
        </w:rPr>
        <w:t>Group</w:t>
      </w:r>
      <w:r>
        <w:rPr>
          <w:spacing w:val="-8"/>
          <w:sz w:val="19"/>
        </w:rPr>
        <w:t> </w:t>
      </w:r>
      <w:r>
        <w:rPr>
          <w:sz w:val="19"/>
        </w:rPr>
        <w:t>agreed</w:t>
      </w:r>
      <w:r>
        <w:rPr>
          <w:spacing w:val="-8"/>
          <w:sz w:val="19"/>
        </w:rPr>
        <w:t> </w:t>
      </w:r>
      <w:r>
        <w:rPr>
          <w:sz w:val="19"/>
        </w:rPr>
        <w:t>to</w:t>
      </w:r>
      <w:r>
        <w:rPr>
          <w:spacing w:val="-8"/>
          <w:sz w:val="19"/>
        </w:rPr>
        <w:t> </w:t>
      </w:r>
      <w:r>
        <w:rPr>
          <w:sz w:val="19"/>
        </w:rPr>
        <w:t>focus</w:t>
      </w:r>
      <w:r>
        <w:rPr>
          <w:spacing w:val="-8"/>
          <w:sz w:val="19"/>
        </w:rPr>
        <w:t> </w:t>
      </w:r>
      <w:r>
        <w:rPr>
          <w:sz w:val="19"/>
        </w:rPr>
        <w:t>further</w:t>
      </w:r>
      <w:r>
        <w:rPr>
          <w:spacing w:val="-6"/>
          <w:sz w:val="19"/>
        </w:rPr>
        <w:t> </w:t>
      </w:r>
      <w:r>
        <w:rPr>
          <w:sz w:val="19"/>
        </w:rPr>
        <w:t>work</w:t>
      </w:r>
      <w:r>
        <w:rPr>
          <w:spacing w:val="-6"/>
          <w:sz w:val="19"/>
        </w:rPr>
        <w:t> </w:t>
      </w:r>
      <w:r>
        <w:rPr>
          <w:sz w:val="19"/>
        </w:rPr>
        <w:t>on</w:t>
      </w:r>
      <w:r>
        <w:rPr>
          <w:spacing w:val="-8"/>
          <w:sz w:val="19"/>
        </w:rPr>
        <w:t> </w:t>
      </w:r>
      <w:r>
        <w:rPr>
          <w:sz w:val="19"/>
        </w:rPr>
        <w:t>the</w:t>
      </w:r>
      <w:r>
        <w:rPr>
          <w:spacing w:val="-7"/>
          <w:sz w:val="19"/>
        </w:rPr>
        <w:t> </w:t>
      </w:r>
      <w:r>
        <w:rPr>
          <w:sz w:val="19"/>
        </w:rPr>
        <w:t>unsecured</w:t>
      </w:r>
      <w:r>
        <w:rPr>
          <w:spacing w:val="-8"/>
          <w:sz w:val="19"/>
        </w:rPr>
        <w:t> </w:t>
      </w:r>
      <w:r>
        <w:rPr>
          <w:sz w:val="19"/>
        </w:rPr>
        <w:t>and secured</w:t>
      </w:r>
      <w:r>
        <w:rPr>
          <w:spacing w:val="-8"/>
          <w:sz w:val="19"/>
        </w:rPr>
        <w:t> </w:t>
      </w:r>
      <w:r>
        <w:rPr>
          <w:sz w:val="19"/>
        </w:rPr>
        <w:t>rate</w:t>
      </w:r>
      <w:r>
        <w:rPr>
          <w:spacing w:val="-7"/>
          <w:sz w:val="19"/>
        </w:rPr>
        <w:t> </w:t>
      </w:r>
      <w:r>
        <w:rPr>
          <w:sz w:val="19"/>
        </w:rPr>
        <w:t>options.</w:t>
      </w:r>
      <w:r>
        <w:rPr>
          <w:spacing w:val="38"/>
          <w:sz w:val="19"/>
        </w:rPr>
        <w:t> </w:t>
      </w:r>
      <w:r>
        <w:rPr>
          <w:sz w:val="19"/>
        </w:rPr>
        <w:t>It</w:t>
      </w:r>
      <w:r>
        <w:rPr>
          <w:spacing w:val="-5"/>
          <w:sz w:val="19"/>
        </w:rPr>
        <w:t> </w:t>
      </w:r>
      <w:r>
        <w:rPr>
          <w:sz w:val="19"/>
        </w:rPr>
        <w:t>was</w:t>
      </w:r>
      <w:r>
        <w:rPr>
          <w:spacing w:val="-7"/>
          <w:sz w:val="19"/>
        </w:rPr>
        <w:t> </w:t>
      </w:r>
      <w:r>
        <w:rPr>
          <w:sz w:val="19"/>
        </w:rPr>
        <w:t>agreed</w:t>
      </w:r>
      <w:r>
        <w:rPr>
          <w:spacing w:val="-7"/>
          <w:sz w:val="19"/>
        </w:rPr>
        <w:t> </w:t>
      </w:r>
      <w:r>
        <w:rPr>
          <w:sz w:val="19"/>
        </w:rPr>
        <w:t>to</w:t>
      </w:r>
      <w:r>
        <w:rPr>
          <w:spacing w:val="-7"/>
          <w:sz w:val="19"/>
        </w:rPr>
        <w:t> </w:t>
      </w:r>
      <w:r>
        <w:rPr>
          <w:sz w:val="19"/>
        </w:rPr>
        <w:t>discontinue</w:t>
      </w:r>
      <w:r>
        <w:rPr>
          <w:spacing w:val="-6"/>
          <w:sz w:val="19"/>
        </w:rPr>
        <w:t> </w:t>
      </w:r>
      <w:r>
        <w:rPr>
          <w:sz w:val="19"/>
        </w:rPr>
        <w:t>work</w:t>
      </w:r>
      <w:r>
        <w:rPr>
          <w:spacing w:val="-6"/>
          <w:sz w:val="19"/>
        </w:rPr>
        <w:t> </w:t>
      </w:r>
      <w:r>
        <w:rPr>
          <w:sz w:val="19"/>
        </w:rPr>
        <w:t>on</w:t>
      </w:r>
      <w:r>
        <w:rPr>
          <w:spacing w:val="-8"/>
          <w:sz w:val="19"/>
        </w:rPr>
        <w:t> </w:t>
      </w:r>
      <w:r>
        <w:rPr>
          <w:sz w:val="19"/>
        </w:rPr>
        <w:t>Bank</w:t>
      </w:r>
      <w:r>
        <w:rPr>
          <w:spacing w:val="-6"/>
          <w:sz w:val="19"/>
        </w:rPr>
        <w:t> </w:t>
      </w:r>
      <w:r>
        <w:rPr>
          <w:sz w:val="19"/>
        </w:rPr>
        <w:t>Rate</w:t>
      </w:r>
      <w:r>
        <w:rPr>
          <w:spacing w:val="-8"/>
          <w:sz w:val="19"/>
        </w:rPr>
        <w:t> </w:t>
      </w:r>
      <w:r>
        <w:rPr>
          <w:sz w:val="19"/>
        </w:rPr>
        <w:t>as</w:t>
      </w:r>
      <w:r>
        <w:rPr>
          <w:spacing w:val="-5"/>
          <w:sz w:val="19"/>
        </w:rPr>
        <w:t> </w:t>
      </w:r>
      <w:r>
        <w:rPr>
          <w:sz w:val="19"/>
        </w:rPr>
        <w:t>a</w:t>
      </w:r>
      <w:r>
        <w:rPr>
          <w:spacing w:val="-8"/>
          <w:sz w:val="19"/>
        </w:rPr>
        <w:t> </w:t>
      </w:r>
      <w:r>
        <w:rPr>
          <w:sz w:val="19"/>
        </w:rPr>
        <w:t>primary</w:t>
      </w:r>
      <w:r>
        <w:rPr>
          <w:spacing w:val="-8"/>
          <w:sz w:val="19"/>
        </w:rPr>
        <w:t> </w:t>
      </w:r>
      <w:r>
        <w:rPr>
          <w:sz w:val="19"/>
        </w:rPr>
        <w:t>RFR</w:t>
      </w:r>
      <w:r>
        <w:rPr>
          <w:spacing w:val="-7"/>
          <w:sz w:val="19"/>
        </w:rPr>
        <w:t> </w:t>
      </w:r>
      <w:r>
        <w:rPr>
          <w:sz w:val="19"/>
        </w:rPr>
        <w:t>option,</w:t>
      </w:r>
      <w:r>
        <w:rPr>
          <w:spacing w:val="-7"/>
          <w:sz w:val="19"/>
        </w:rPr>
        <w:t> </w:t>
      </w:r>
      <w:r>
        <w:rPr>
          <w:sz w:val="19"/>
        </w:rPr>
        <w:t>but to retain it as a potential fall-back</w:t>
      </w:r>
      <w:r>
        <w:rPr>
          <w:spacing w:val="-9"/>
          <w:sz w:val="19"/>
        </w:rPr>
        <w:t> </w:t>
      </w:r>
      <w:r>
        <w:rPr>
          <w:sz w:val="19"/>
        </w:rPr>
        <w:t>option.</w:t>
      </w:r>
    </w:p>
    <w:p>
      <w:pPr>
        <w:pStyle w:val="Heading1"/>
        <w:spacing w:before="108"/>
        <w:jc w:val="both"/>
      </w:pPr>
      <w:r>
        <w:rPr/>
        <w:t>End-user engagement strategy</w:t>
      </w:r>
    </w:p>
    <w:p>
      <w:pPr>
        <w:pStyle w:val="BodyText"/>
        <w:spacing w:before="2"/>
        <w:rPr>
          <w:b/>
        </w:rPr>
      </w:pPr>
    </w:p>
    <w:p>
      <w:pPr>
        <w:pStyle w:val="ListParagraph"/>
        <w:numPr>
          <w:ilvl w:val="0"/>
          <w:numId w:val="1"/>
        </w:numPr>
        <w:tabs>
          <w:tab w:pos="555" w:val="left" w:leader="none"/>
          <w:tab w:pos="556" w:val="left" w:leader="none"/>
        </w:tabs>
        <w:spacing w:line="355" w:lineRule="auto" w:before="0" w:after="0"/>
        <w:ind w:left="154" w:right="242" w:firstLine="0"/>
        <w:jc w:val="left"/>
        <w:rPr>
          <w:sz w:val="19"/>
        </w:rPr>
      </w:pPr>
      <w:r>
        <w:rPr>
          <w:sz w:val="19"/>
        </w:rPr>
        <w:t>The</w:t>
      </w:r>
      <w:r>
        <w:rPr>
          <w:spacing w:val="-11"/>
          <w:sz w:val="19"/>
        </w:rPr>
        <w:t> </w:t>
      </w:r>
      <w:r>
        <w:rPr>
          <w:sz w:val="19"/>
        </w:rPr>
        <w:t>Group</w:t>
      </w:r>
      <w:r>
        <w:rPr>
          <w:spacing w:val="-10"/>
          <w:sz w:val="19"/>
        </w:rPr>
        <w:t> </w:t>
      </w:r>
      <w:r>
        <w:rPr>
          <w:sz w:val="19"/>
        </w:rPr>
        <w:t>agreed</w:t>
      </w:r>
      <w:r>
        <w:rPr>
          <w:spacing w:val="-11"/>
          <w:sz w:val="19"/>
        </w:rPr>
        <w:t> </w:t>
      </w:r>
      <w:r>
        <w:rPr>
          <w:sz w:val="19"/>
        </w:rPr>
        <w:t>the</w:t>
      </w:r>
      <w:r>
        <w:rPr>
          <w:spacing w:val="-10"/>
          <w:sz w:val="19"/>
        </w:rPr>
        <w:t> </w:t>
      </w:r>
      <w:r>
        <w:rPr>
          <w:sz w:val="19"/>
        </w:rPr>
        <w:t>proposed</w:t>
      </w:r>
      <w:r>
        <w:rPr>
          <w:spacing w:val="-11"/>
          <w:sz w:val="19"/>
        </w:rPr>
        <w:t> </w:t>
      </w:r>
      <w:r>
        <w:rPr>
          <w:sz w:val="19"/>
        </w:rPr>
        <w:t>strategy</w:t>
      </w:r>
      <w:r>
        <w:rPr>
          <w:spacing w:val="-9"/>
          <w:sz w:val="19"/>
        </w:rPr>
        <w:t> </w:t>
      </w:r>
      <w:r>
        <w:rPr>
          <w:sz w:val="19"/>
        </w:rPr>
        <w:t>for</w:t>
      </w:r>
      <w:r>
        <w:rPr>
          <w:spacing w:val="-10"/>
          <w:sz w:val="19"/>
        </w:rPr>
        <w:t> </w:t>
      </w:r>
      <w:r>
        <w:rPr>
          <w:sz w:val="19"/>
        </w:rPr>
        <w:t>engagement</w:t>
      </w:r>
      <w:r>
        <w:rPr>
          <w:spacing w:val="-7"/>
          <w:sz w:val="19"/>
        </w:rPr>
        <w:t> </w:t>
      </w:r>
      <w:r>
        <w:rPr>
          <w:sz w:val="19"/>
        </w:rPr>
        <w:t>with</w:t>
      </w:r>
      <w:r>
        <w:rPr>
          <w:spacing w:val="-11"/>
          <w:sz w:val="19"/>
        </w:rPr>
        <w:t> </w:t>
      </w:r>
      <w:r>
        <w:rPr>
          <w:sz w:val="19"/>
        </w:rPr>
        <w:t>the</w:t>
      </w:r>
      <w:r>
        <w:rPr>
          <w:spacing w:val="-10"/>
          <w:sz w:val="19"/>
        </w:rPr>
        <w:t> </w:t>
      </w:r>
      <w:r>
        <w:rPr>
          <w:sz w:val="19"/>
        </w:rPr>
        <w:t>end-user</w:t>
      </w:r>
      <w:r>
        <w:rPr>
          <w:spacing w:val="-10"/>
          <w:sz w:val="19"/>
        </w:rPr>
        <w:t> </w:t>
      </w:r>
      <w:r>
        <w:rPr>
          <w:sz w:val="19"/>
        </w:rPr>
        <w:t>investor</w:t>
      </w:r>
      <w:r>
        <w:rPr>
          <w:spacing w:val="-10"/>
          <w:sz w:val="19"/>
        </w:rPr>
        <w:t> </w:t>
      </w:r>
      <w:r>
        <w:rPr>
          <w:sz w:val="19"/>
        </w:rPr>
        <w:t>community. In the first phase of engagement, to begin soon, the Group will hold discussions with targeted stakeholders to understand broad demands and potential constraints over RFR selection. The selection criteria and a consolidated summary of the potential RFR sub-group reports would provide context to these</w:t>
      </w:r>
      <w:r>
        <w:rPr>
          <w:spacing w:val="-4"/>
          <w:sz w:val="19"/>
        </w:rPr>
        <w:t> </w:t>
      </w:r>
      <w:r>
        <w:rPr>
          <w:sz w:val="19"/>
        </w:rPr>
        <w:t>discussions.</w:t>
      </w:r>
    </w:p>
    <w:p>
      <w:pPr>
        <w:pStyle w:val="ListParagraph"/>
        <w:numPr>
          <w:ilvl w:val="0"/>
          <w:numId w:val="1"/>
        </w:numPr>
        <w:tabs>
          <w:tab w:pos="555" w:val="left" w:leader="none"/>
          <w:tab w:pos="556" w:val="left" w:leader="none"/>
        </w:tabs>
        <w:spacing w:line="240" w:lineRule="auto" w:before="119" w:after="0"/>
        <w:ind w:left="555" w:right="0" w:hanging="402"/>
        <w:jc w:val="left"/>
        <w:rPr>
          <w:sz w:val="19"/>
        </w:rPr>
      </w:pPr>
      <w:r>
        <w:rPr>
          <w:sz w:val="19"/>
        </w:rPr>
        <w:t>The targeted stakeholders for the initial outreach would be broken into</w:t>
      </w:r>
      <w:r>
        <w:rPr>
          <w:spacing w:val="-35"/>
          <w:sz w:val="19"/>
        </w:rPr>
        <w:t> </w:t>
      </w:r>
      <w:r>
        <w:rPr>
          <w:sz w:val="19"/>
        </w:rPr>
        <w:t>sectors:</w:t>
      </w:r>
    </w:p>
    <w:p>
      <w:pPr>
        <w:pStyle w:val="BodyText"/>
      </w:pPr>
    </w:p>
    <w:p>
      <w:pPr>
        <w:pStyle w:val="ListParagraph"/>
        <w:numPr>
          <w:ilvl w:val="0"/>
          <w:numId w:val="2"/>
        </w:numPr>
        <w:tabs>
          <w:tab w:pos="953" w:val="left" w:leader="none"/>
          <w:tab w:pos="954" w:val="left" w:leader="none"/>
        </w:tabs>
        <w:spacing w:line="240" w:lineRule="auto" w:before="0" w:after="0"/>
        <w:ind w:left="953" w:right="0" w:hanging="336"/>
        <w:jc w:val="left"/>
        <w:rPr>
          <w:sz w:val="19"/>
        </w:rPr>
      </w:pPr>
      <w:r>
        <w:rPr>
          <w:sz w:val="19"/>
        </w:rPr>
        <w:t>Clearing houses and market</w:t>
      </w:r>
      <w:r>
        <w:rPr>
          <w:spacing w:val="-6"/>
          <w:sz w:val="19"/>
        </w:rPr>
        <w:t> </w:t>
      </w:r>
      <w:r>
        <w:rPr>
          <w:sz w:val="19"/>
        </w:rPr>
        <w:t>infrastructure</w:t>
      </w:r>
    </w:p>
    <w:p>
      <w:pPr>
        <w:pStyle w:val="ListParagraph"/>
        <w:numPr>
          <w:ilvl w:val="0"/>
          <w:numId w:val="2"/>
        </w:numPr>
        <w:tabs>
          <w:tab w:pos="953" w:val="left" w:leader="none"/>
          <w:tab w:pos="954" w:val="left" w:leader="none"/>
        </w:tabs>
        <w:spacing w:line="240" w:lineRule="auto" w:before="104" w:after="0"/>
        <w:ind w:left="953" w:right="0" w:hanging="336"/>
        <w:jc w:val="left"/>
        <w:rPr>
          <w:sz w:val="19"/>
        </w:rPr>
      </w:pPr>
      <w:r>
        <w:rPr>
          <w:sz w:val="19"/>
        </w:rPr>
        <w:t>Real money investors and hedge</w:t>
      </w:r>
      <w:r>
        <w:rPr>
          <w:spacing w:val="-5"/>
          <w:sz w:val="19"/>
        </w:rPr>
        <w:t> </w:t>
      </w:r>
      <w:r>
        <w:rPr>
          <w:sz w:val="19"/>
        </w:rPr>
        <w:t>funds</w:t>
      </w:r>
    </w:p>
    <w:p>
      <w:pPr>
        <w:pStyle w:val="ListParagraph"/>
        <w:numPr>
          <w:ilvl w:val="0"/>
          <w:numId w:val="2"/>
        </w:numPr>
        <w:tabs>
          <w:tab w:pos="953" w:val="left" w:leader="none"/>
          <w:tab w:pos="954" w:val="left" w:leader="none"/>
        </w:tabs>
        <w:spacing w:line="240" w:lineRule="auto" w:before="105" w:after="0"/>
        <w:ind w:left="953" w:right="0" w:hanging="336"/>
        <w:jc w:val="left"/>
        <w:rPr>
          <w:sz w:val="19"/>
        </w:rPr>
      </w:pPr>
      <w:r>
        <w:rPr>
          <w:sz w:val="19"/>
        </w:rPr>
        <w:t>Pension funds and insurance</w:t>
      </w:r>
      <w:r>
        <w:rPr>
          <w:spacing w:val="-6"/>
          <w:sz w:val="19"/>
        </w:rPr>
        <w:t> </w:t>
      </w:r>
      <w:r>
        <w:rPr>
          <w:sz w:val="19"/>
        </w:rPr>
        <w:t>companies</w:t>
      </w:r>
    </w:p>
    <w:p>
      <w:pPr>
        <w:pStyle w:val="ListParagraph"/>
        <w:numPr>
          <w:ilvl w:val="0"/>
          <w:numId w:val="2"/>
        </w:numPr>
        <w:tabs>
          <w:tab w:pos="953" w:val="left" w:leader="none"/>
          <w:tab w:pos="954" w:val="left" w:leader="none"/>
        </w:tabs>
        <w:spacing w:line="240" w:lineRule="auto" w:before="104" w:after="0"/>
        <w:ind w:left="953" w:right="0" w:hanging="336"/>
        <w:jc w:val="left"/>
        <w:rPr>
          <w:sz w:val="19"/>
        </w:rPr>
      </w:pPr>
      <w:r>
        <w:rPr>
          <w:sz w:val="19"/>
        </w:rPr>
        <w:t>Bank treasuries and swap</w:t>
      </w:r>
      <w:r>
        <w:rPr>
          <w:spacing w:val="-5"/>
          <w:sz w:val="19"/>
        </w:rPr>
        <w:t> </w:t>
      </w:r>
      <w:r>
        <w:rPr>
          <w:sz w:val="19"/>
        </w:rPr>
        <w:t>dealers</w:t>
      </w:r>
    </w:p>
    <w:p>
      <w:pPr>
        <w:pStyle w:val="ListParagraph"/>
        <w:numPr>
          <w:ilvl w:val="0"/>
          <w:numId w:val="2"/>
        </w:numPr>
        <w:tabs>
          <w:tab w:pos="953" w:val="left" w:leader="none"/>
          <w:tab w:pos="954" w:val="left" w:leader="none"/>
        </w:tabs>
        <w:spacing w:line="240" w:lineRule="auto" w:before="105" w:after="0"/>
        <w:ind w:left="953" w:right="0" w:hanging="336"/>
        <w:jc w:val="left"/>
        <w:rPr>
          <w:sz w:val="19"/>
        </w:rPr>
      </w:pPr>
      <w:r>
        <w:rPr>
          <w:sz w:val="19"/>
        </w:rPr>
        <w:t>Corporates</w:t>
      </w:r>
    </w:p>
    <w:p>
      <w:pPr>
        <w:pStyle w:val="ListParagraph"/>
        <w:numPr>
          <w:ilvl w:val="0"/>
          <w:numId w:val="2"/>
        </w:numPr>
        <w:tabs>
          <w:tab w:pos="953" w:val="left" w:leader="none"/>
          <w:tab w:pos="954" w:val="left" w:leader="none"/>
        </w:tabs>
        <w:spacing w:line="240" w:lineRule="auto" w:before="104" w:after="0"/>
        <w:ind w:left="953" w:right="0" w:hanging="336"/>
        <w:jc w:val="left"/>
        <w:rPr>
          <w:sz w:val="19"/>
        </w:rPr>
      </w:pPr>
      <w:r>
        <w:rPr>
          <w:sz w:val="19"/>
        </w:rPr>
        <w:t>Sovereigns, supranationals and</w:t>
      </w:r>
      <w:r>
        <w:rPr>
          <w:spacing w:val="-4"/>
          <w:sz w:val="19"/>
        </w:rPr>
        <w:t> </w:t>
      </w:r>
      <w:r>
        <w:rPr>
          <w:sz w:val="19"/>
        </w:rPr>
        <w:t>agencies</w:t>
      </w:r>
    </w:p>
    <w:p>
      <w:pPr>
        <w:spacing w:after="0" w:line="240" w:lineRule="auto"/>
        <w:jc w:val="left"/>
        <w:rPr>
          <w:sz w:val="19"/>
        </w:rPr>
        <w:sectPr>
          <w:pgSz w:w="12240" w:h="15840"/>
          <w:pgMar w:top="1280" w:bottom="280" w:left="1720" w:right="1720"/>
        </w:sectPr>
      </w:pPr>
    </w:p>
    <w:p>
      <w:pPr>
        <w:pStyle w:val="Heading1"/>
        <w:spacing w:before="70"/>
      </w:pPr>
      <w:r>
        <w:rPr/>
        <w:t>Private sector attendees</w:t>
      </w:r>
    </w:p>
    <w:p>
      <w:pPr>
        <w:pStyle w:val="BodyText"/>
        <w:spacing w:before="11"/>
        <w:rPr>
          <w:b/>
          <w:sz w:val="21"/>
        </w:rPr>
      </w:pPr>
    </w:p>
    <w:p>
      <w:pPr>
        <w:tabs>
          <w:tab w:pos="3057" w:val="left" w:leader="none"/>
        </w:tabs>
        <w:spacing w:before="0"/>
        <w:ind w:left="256" w:right="0" w:firstLine="0"/>
        <w:jc w:val="left"/>
        <w:rPr>
          <w:b/>
          <w:sz w:val="19"/>
        </w:rPr>
      </w:pPr>
      <w:r>
        <w:rPr>
          <w:sz w:val="19"/>
        </w:rPr>
        <w:t>Nick</w:t>
      </w:r>
      <w:r>
        <w:rPr>
          <w:spacing w:val="-6"/>
          <w:sz w:val="19"/>
        </w:rPr>
        <w:t> </w:t>
      </w:r>
      <w:r>
        <w:rPr>
          <w:sz w:val="19"/>
        </w:rPr>
        <w:t>Saggers</w:t>
        <w:tab/>
      </w:r>
      <w:r>
        <w:rPr>
          <w:b/>
          <w:sz w:val="19"/>
        </w:rPr>
        <w:t>Bank of America-Merrill</w:t>
      </w:r>
      <w:r>
        <w:rPr>
          <w:b/>
          <w:spacing w:val="-5"/>
          <w:sz w:val="19"/>
        </w:rPr>
        <w:t> </w:t>
      </w:r>
      <w:r>
        <w:rPr>
          <w:b/>
          <w:sz w:val="19"/>
        </w:rPr>
        <w:t>Lynch</w:t>
      </w:r>
    </w:p>
    <w:p>
      <w:pPr>
        <w:tabs>
          <w:tab w:pos="3057" w:val="left" w:leader="none"/>
        </w:tabs>
        <w:spacing w:before="63"/>
        <w:ind w:left="256" w:right="0" w:firstLine="0"/>
        <w:jc w:val="left"/>
        <w:rPr>
          <w:b/>
          <w:sz w:val="19"/>
        </w:rPr>
      </w:pPr>
      <w:r>
        <w:rPr>
          <w:sz w:val="19"/>
        </w:rPr>
        <w:t>Francois</w:t>
      </w:r>
      <w:r>
        <w:rPr>
          <w:spacing w:val="-7"/>
          <w:sz w:val="19"/>
        </w:rPr>
        <w:t> </w:t>
      </w:r>
      <w:r>
        <w:rPr>
          <w:sz w:val="19"/>
        </w:rPr>
        <w:t>Jourdain</w:t>
        <w:tab/>
      </w:r>
      <w:r>
        <w:rPr>
          <w:b/>
          <w:sz w:val="19"/>
        </w:rPr>
        <w:t>Barclays</w:t>
      </w:r>
      <w:r>
        <w:rPr>
          <w:b/>
          <w:spacing w:val="-1"/>
          <w:sz w:val="19"/>
        </w:rPr>
        <w:t> </w:t>
      </w:r>
      <w:r>
        <w:rPr>
          <w:b/>
          <w:sz w:val="19"/>
        </w:rPr>
        <w:t>(Chairman)</w:t>
      </w:r>
    </w:p>
    <w:p>
      <w:pPr>
        <w:tabs>
          <w:tab w:pos="3057" w:val="left" w:leader="none"/>
        </w:tabs>
        <w:spacing w:before="65"/>
        <w:ind w:left="256" w:right="0" w:firstLine="0"/>
        <w:jc w:val="left"/>
        <w:rPr>
          <w:b/>
          <w:sz w:val="19"/>
        </w:rPr>
      </w:pPr>
      <w:r>
        <w:rPr>
          <w:sz w:val="19"/>
        </w:rPr>
        <w:t>Mike</w:t>
      </w:r>
      <w:r>
        <w:rPr>
          <w:spacing w:val="-6"/>
          <w:sz w:val="19"/>
        </w:rPr>
        <w:t> </w:t>
      </w:r>
      <w:r>
        <w:rPr>
          <w:sz w:val="19"/>
        </w:rPr>
        <w:t>Manna</w:t>
        <w:tab/>
      </w:r>
      <w:r>
        <w:rPr>
          <w:b/>
          <w:sz w:val="19"/>
        </w:rPr>
        <w:t>Barclays</w:t>
      </w:r>
    </w:p>
    <w:p>
      <w:pPr>
        <w:tabs>
          <w:tab w:pos="3057" w:val="left" w:leader="none"/>
        </w:tabs>
        <w:spacing w:before="63"/>
        <w:ind w:left="256" w:right="0" w:firstLine="0"/>
        <w:jc w:val="left"/>
        <w:rPr>
          <w:b/>
          <w:sz w:val="19"/>
        </w:rPr>
      </w:pPr>
      <w:r>
        <w:rPr>
          <w:sz w:val="19"/>
        </w:rPr>
        <w:t>Laurent</w:t>
      </w:r>
      <w:r>
        <w:rPr>
          <w:spacing w:val="-6"/>
          <w:sz w:val="19"/>
        </w:rPr>
        <w:t> </w:t>
      </w:r>
      <w:r>
        <w:rPr>
          <w:sz w:val="19"/>
        </w:rPr>
        <w:t>Dulout</w:t>
        <w:tab/>
      </w:r>
      <w:r>
        <w:rPr>
          <w:b/>
          <w:sz w:val="19"/>
        </w:rPr>
        <w:t>BNP</w:t>
      </w:r>
      <w:r>
        <w:rPr>
          <w:b/>
          <w:spacing w:val="-17"/>
          <w:sz w:val="19"/>
        </w:rPr>
        <w:t> </w:t>
      </w:r>
      <w:r>
        <w:rPr>
          <w:b/>
          <w:sz w:val="19"/>
        </w:rPr>
        <w:t>Paribas</w:t>
      </w:r>
    </w:p>
    <w:p>
      <w:pPr>
        <w:tabs>
          <w:tab w:pos="3057" w:val="left" w:leader="none"/>
        </w:tabs>
        <w:spacing w:before="64"/>
        <w:ind w:left="256" w:right="0" w:firstLine="0"/>
        <w:jc w:val="left"/>
        <w:rPr>
          <w:b/>
          <w:sz w:val="19"/>
        </w:rPr>
      </w:pPr>
      <w:r>
        <w:rPr>
          <w:sz w:val="19"/>
        </w:rPr>
        <w:t>Mathieu</w:t>
      </w:r>
      <w:r>
        <w:rPr>
          <w:spacing w:val="-8"/>
          <w:sz w:val="19"/>
        </w:rPr>
        <w:t> </w:t>
      </w:r>
      <w:r>
        <w:rPr>
          <w:sz w:val="19"/>
        </w:rPr>
        <w:t>Gaveau</w:t>
        <w:tab/>
      </w:r>
      <w:r>
        <w:rPr>
          <w:b/>
          <w:sz w:val="19"/>
        </w:rPr>
        <w:t>BNP</w:t>
      </w:r>
      <w:r>
        <w:rPr>
          <w:b/>
          <w:spacing w:val="-16"/>
          <w:sz w:val="19"/>
        </w:rPr>
        <w:t> </w:t>
      </w:r>
      <w:r>
        <w:rPr>
          <w:b/>
          <w:sz w:val="19"/>
        </w:rPr>
        <w:t>Paribas</w:t>
      </w:r>
    </w:p>
    <w:p>
      <w:pPr>
        <w:tabs>
          <w:tab w:pos="3057" w:val="left" w:leader="none"/>
        </w:tabs>
        <w:spacing w:before="64"/>
        <w:ind w:left="256" w:right="0" w:firstLine="0"/>
        <w:jc w:val="left"/>
        <w:rPr>
          <w:b/>
          <w:sz w:val="19"/>
        </w:rPr>
      </w:pPr>
      <w:r>
        <w:rPr>
          <w:sz w:val="19"/>
        </w:rPr>
        <w:t>Mark</w:t>
      </w:r>
      <w:r>
        <w:rPr>
          <w:spacing w:val="-4"/>
          <w:sz w:val="19"/>
        </w:rPr>
        <w:t> </w:t>
      </w:r>
      <w:r>
        <w:rPr>
          <w:sz w:val="19"/>
        </w:rPr>
        <w:t>Smith</w:t>
        <w:tab/>
      </w:r>
      <w:r>
        <w:rPr>
          <w:b/>
          <w:sz w:val="19"/>
        </w:rPr>
        <w:t>Citigroup</w:t>
      </w:r>
    </w:p>
    <w:p>
      <w:pPr>
        <w:tabs>
          <w:tab w:pos="3057" w:val="left" w:leader="none"/>
        </w:tabs>
        <w:spacing w:before="63"/>
        <w:ind w:left="256" w:right="0" w:firstLine="0"/>
        <w:jc w:val="left"/>
        <w:rPr>
          <w:b/>
          <w:sz w:val="19"/>
        </w:rPr>
      </w:pPr>
      <w:r>
        <w:rPr>
          <w:sz w:val="19"/>
        </w:rPr>
        <w:t>Alain</w:t>
      </w:r>
      <w:r>
        <w:rPr>
          <w:spacing w:val="-5"/>
          <w:sz w:val="19"/>
        </w:rPr>
        <w:t> </w:t>
      </w:r>
      <w:r>
        <w:rPr>
          <w:sz w:val="19"/>
        </w:rPr>
        <w:t>Verdickt</w:t>
        <w:tab/>
      </w:r>
      <w:r>
        <w:rPr>
          <w:b/>
          <w:sz w:val="19"/>
        </w:rPr>
        <w:t>Citigroup</w:t>
      </w:r>
    </w:p>
    <w:p>
      <w:pPr>
        <w:tabs>
          <w:tab w:pos="3057" w:val="left" w:leader="none"/>
        </w:tabs>
        <w:spacing w:before="65"/>
        <w:ind w:left="256" w:right="0" w:firstLine="0"/>
        <w:jc w:val="left"/>
        <w:rPr>
          <w:b/>
          <w:sz w:val="19"/>
        </w:rPr>
      </w:pPr>
      <w:r>
        <w:rPr>
          <w:sz w:val="19"/>
        </w:rPr>
        <w:t>Laurent</w:t>
      </w:r>
      <w:r>
        <w:rPr>
          <w:spacing w:val="-5"/>
          <w:sz w:val="19"/>
        </w:rPr>
        <w:t> </w:t>
      </w:r>
      <w:r>
        <w:rPr>
          <w:sz w:val="19"/>
        </w:rPr>
        <w:t>Curtat</w:t>
        <w:tab/>
      </w:r>
      <w:r>
        <w:rPr>
          <w:b/>
          <w:sz w:val="19"/>
        </w:rPr>
        <w:t>Credit</w:t>
      </w:r>
      <w:r>
        <w:rPr>
          <w:b/>
          <w:spacing w:val="-1"/>
          <w:sz w:val="19"/>
        </w:rPr>
        <w:t> </w:t>
      </w:r>
      <w:r>
        <w:rPr>
          <w:b/>
          <w:sz w:val="19"/>
        </w:rPr>
        <w:t>Suisse</w:t>
      </w:r>
    </w:p>
    <w:p>
      <w:pPr>
        <w:tabs>
          <w:tab w:pos="3057" w:val="left" w:leader="none"/>
        </w:tabs>
        <w:spacing w:before="63"/>
        <w:ind w:left="256" w:right="0" w:firstLine="0"/>
        <w:jc w:val="left"/>
        <w:rPr>
          <w:b/>
          <w:sz w:val="19"/>
        </w:rPr>
      </w:pPr>
      <w:r>
        <w:rPr>
          <w:sz w:val="19"/>
        </w:rPr>
        <w:t>Adrian</w:t>
      </w:r>
      <w:r>
        <w:rPr>
          <w:spacing w:val="-8"/>
          <w:sz w:val="19"/>
        </w:rPr>
        <w:t> </w:t>
      </w:r>
      <w:r>
        <w:rPr>
          <w:sz w:val="19"/>
        </w:rPr>
        <w:t>Munday</w:t>
        <w:tab/>
      </w:r>
      <w:r>
        <w:rPr>
          <w:b/>
          <w:sz w:val="19"/>
        </w:rPr>
        <w:t>Deutsche Bank</w:t>
      </w:r>
    </w:p>
    <w:p>
      <w:pPr>
        <w:tabs>
          <w:tab w:pos="3057" w:val="left" w:leader="none"/>
        </w:tabs>
        <w:spacing w:before="64"/>
        <w:ind w:left="256" w:right="0" w:firstLine="0"/>
        <w:jc w:val="left"/>
        <w:rPr>
          <w:b/>
          <w:sz w:val="19"/>
        </w:rPr>
      </w:pPr>
      <w:r>
        <w:rPr>
          <w:sz w:val="19"/>
        </w:rPr>
        <w:t>Jonathan</w:t>
      </w:r>
      <w:r>
        <w:rPr>
          <w:spacing w:val="-6"/>
          <w:sz w:val="19"/>
        </w:rPr>
        <w:t> </w:t>
      </w:r>
      <w:r>
        <w:rPr>
          <w:sz w:val="19"/>
        </w:rPr>
        <w:t>Hall</w:t>
        <w:tab/>
      </w:r>
      <w:r>
        <w:rPr>
          <w:b/>
          <w:sz w:val="19"/>
        </w:rPr>
        <w:t>Goldman</w:t>
      </w:r>
      <w:r>
        <w:rPr>
          <w:b/>
          <w:spacing w:val="-23"/>
          <w:sz w:val="19"/>
        </w:rPr>
        <w:t> </w:t>
      </w:r>
      <w:r>
        <w:rPr>
          <w:b/>
          <w:sz w:val="19"/>
        </w:rPr>
        <w:t>Sachs</w:t>
      </w:r>
    </w:p>
    <w:p>
      <w:pPr>
        <w:tabs>
          <w:tab w:pos="3057" w:val="left" w:leader="none"/>
        </w:tabs>
        <w:spacing w:before="63"/>
        <w:ind w:left="256" w:right="0" w:firstLine="0"/>
        <w:jc w:val="left"/>
        <w:rPr>
          <w:b/>
          <w:sz w:val="19"/>
        </w:rPr>
      </w:pPr>
      <w:r>
        <w:rPr>
          <w:sz w:val="19"/>
        </w:rPr>
        <w:t>Michael</w:t>
      </w:r>
      <w:r>
        <w:rPr>
          <w:spacing w:val="-8"/>
          <w:sz w:val="19"/>
        </w:rPr>
        <w:t> </w:t>
      </w:r>
      <w:r>
        <w:rPr>
          <w:sz w:val="19"/>
        </w:rPr>
        <w:t>Graham</w:t>
        <w:tab/>
      </w:r>
      <w:r>
        <w:rPr>
          <w:b/>
          <w:sz w:val="19"/>
        </w:rPr>
        <w:t>Goldman</w:t>
      </w:r>
      <w:r>
        <w:rPr>
          <w:b/>
          <w:spacing w:val="-23"/>
          <w:sz w:val="19"/>
        </w:rPr>
        <w:t> </w:t>
      </w:r>
      <w:r>
        <w:rPr>
          <w:b/>
          <w:sz w:val="19"/>
        </w:rPr>
        <w:t>Sachs</w:t>
      </w:r>
    </w:p>
    <w:p>
      <w:pPr>
        <w:pStyle w:val="BodyText"/>
        <w:tabs>
          <w:tab w:pos="3057" w:val="left" w:leader="none"/>
        </w:tabs>
        <w:spacing w:before="65"/>
        <w:ind w:left="256"/>
        <w:rPr>
          <w:b/>
        </w:rPr>
      </w:pPr>
      <w:r>
        <w:rPr/>
        <w:t>Christophe</w:t>
      </w:r>
      <w:r>
        <w:rPr>
          <w:spacing w:val="-9"/>
        </w:rPr>
        <w:t> </w:t>
      </w:r>
      <w:r>
        <w:rPr/>
        <w:t>Rivoire</w:t>
        <w:tab/>
      </w:r>
      <w:r>
        <w:rPr>
          <w:b/>
        </w:rPr>
        <w:t>HSBC</w:t>
      </w:r>
    </w:p>
    <w:p>
      <w:pPr>
        <w:tabs>
          <w:tab w:pos="3057" w:val="left" w:leader="none"/>
        </w:tabs>
        <w:spacing w:before="64"/>
        <w:ind w:left="256" w:right="0" w:firstLine="0"/>
        <w:jc w:val="left"/>
        <w:rPr>
          <w:b/>
          <w:sz w:val="19"/>
        </w:rPr>
      </w:pPr>
      <w:r>
        <w:rPr>
          <w:sz w:val="19"/>
        </w:rPr>
        <w:t>Charles</w:t>
      </w:r>
      <w:r>
        <w:rPr>
          <w:spacing w:val="-7"/>
          <w:sz w:val="19"/>
        </w:rPr>
        <w:t> </w:t>
      </w:r>
      <w:r>
        <w:rPr>
          <w:sz w:val="19"/>
        </w:rPr>
        <w:t>Bristow</w:t>
        <w:tab/>
      </w:r>
      <w:r>
        <w:rPr>
          <w:b/>
          <w:sz w:val="19"/>
        </w:rPr>
        <w:t>JP Morgan</w:t>
      </w:r>
      <w:r>
        <w:rPr>
          <w:b/>
          <w:spacing w:val="1"/>
          <w:sz w:val="19"/>
        </w:rPr>
        <w:t> </w:t>
      </w:r>
      <w:r>
        <w:rPr>
          <w:b/>
          <w:sz w:val="19"/>
        </w:rPr>
        <w:t>Chase</w:t>
      </w:r>
    </w:p>
    <w:p>
      <w:pPr>
        <w:tabs>
          <w:tab w:pos="3057" w:val="left" w:leader="none"/>
        </w:tabs>
        <w:spacing w:before="63"/>
        <w:ind w:left="256" w:right="0" w:firstLine="0"/>
        <w:jc w:val="left"/>
        <w:rPr>
          <w:b/>
          <w:sz w:val="19"/>
        </w:rPr>
      </w:pPr>
      <w:r>
        <w:rPr>
          <w:sz w:val="19"/>
        </w:rPr>
        <w:t>Christophe</w:t>
      </w:r>
      <w:r>
        <w:rPr>
          <w:spacing w:val="-9"/>
          <w:sz w:val="19"/>
        </w:rPr>
        <w:t> </w:t>
      </w:r>
      <w:r>
        <w:rPr>
          <w:sz w:val="19"/>
        </w:rPr>
        <w:t>Coutte</w:t>
        <w:tab/>
      </w:r>
      <w:r>
        <w:rPr>
          <w:b/>
          <w:sz w:val="19"/>
        </w:rPr>
        <w:t>Lloyds</w:t>
      </w:r>
    </w:p>
    <w:p>
      <w:pPr>
        <w:tabs>
          <w:tab w:pos="3057" w:val="left" w:leader="none"/>
        </w:tabs>
        <w:spacing w:before="64"/>
        <w:ind w:left="256" w:right="0" w:firstLine="0"/>
        <w:jc w:val="left"/>
        <w:rPr>
          <w:b/>
          <w:sz w:val="19"/>
        </w:rPr>
      </w:pPr>
      <w:r>
        <w:rPr>
          <w:sz w:val="19"/>
        </w:rPr>
        <w:t>Ed</w:t>
      </w:r>
      <w:r>
        <w:rPr>
          <w:spacing w:val="-4"/>
          <w:sz w:val="19"/>
        </w:rPr>
        <w:t> </w:t>
      </w:r>
      <w:r>
        <w:rPr>
          <w:sz w:val="19"/>
        </w:rPr>
        <w:t>McAleer</w:t>
        <w:tab/>
      </w:r>
      <w:r>
        <w:rPr>
          <w:b/>
          <w:sz w:val="19"/>
        </w:rPr>
        <w:t>Morgan</w:t>
      </w:r>
      <w:r>
        <w:rPr>
          <w:b/>
          <w:spacing w:val="-1"/>
          <w:sz w:val="19"/>
        </w:rPr>
        <w:t> </w:t>
      </w:r>
      <w:r>
        <w:rPr>
          <w:b/>
          <w:sz w:val="19"/>
        </w:rPr>
        <w:t>Stanley</w:t>
      </w:r>
    </w:p>
    <w:p>
      <w:pPr>
        <w:tabs>
          <w:tab w:pos="3057" w:val="left" w:leader="none"/>
        </w:tabs>
        <w:spacing w:before="63"/>
        <w:ind w:left="256" w:right="0" w:firstLine="0"/>
        <w:jc w:val="left"/>
        <w:rPr>
          <w:b/>
          <w:sz w:val="19"/>
        </w:rPr>
      </w:pPr>
      <w:r>
        <w:rPr>
          <w:sz w:val="19"/>
        </w:rPr>
        <w:t>Lewis</w:t>
      </w:r>
      <w:r>
        <w:rPr>
          <w:spacing w:val="-6"/>
          <w:sz w:val="19"/>
        </w:rPr>
        <w:t> </w:t>
      </w:r>
      <w:r>
        <w:rPr>
          <w:sz w:val="19"/>
        </w:rPr>
        <w:t>O’Donald</w:t>
        <w:tab/>
      </w:r>
      <w:r>
        <w:rPr>
          <w:b/>
          <w:sz w:val="19"/>
        </w:rPr>
        <w:t>Nomura</w:t>
      </w:r>
    </w:p>
    <w:p>
      <w:pPr>
        <w:tabs>
          <w:tab w:pos="3057" w:val="left" w:leader="none"/>
        </w:tabs>
        <w:spacing w:before="65"/>
        <w:ind w:left="256" w:right="0" w:firstLine="0"/>
        <w:jc w:val="left"/>
        <w:rPr>
          <w:b/>
          <w:sz w:val="19"/>
        </w:rPr>
      </w:pPr>
      <w:r>
        <w:rPr>
          <w:sz w:val="19"/>
        </w:rPr>
        <w:t>Robert</w:t>
      </w:r>
      <w:r>
        <w:rPr>
          <w:spacing w:val="-7"/>
          <w:sz w:val="19"/>
        </w:rPr>
        <w:t> </w:t>
      </w:r>
      <w:r>
        <w:rPr>
          <w:sz w:val="19"/>
        </w:rPr>
        <w:t>Begbie</w:t>
        <w:tab/>
      </w:r>
      <w:r>
        <w:rPr>
          <w:b/>
          <w:sz w:val="19"/>
        </w:rPr>
        <w:t>Royal Bank of</w:t>
      </w:r>
      <w:r>
        <w:rPr>
          <w:b/>
          <w:spacing w:val="-5"/>
          <w:sz w:val="19"/>
        </w:rPr>
        <w:t> </w:t>
      </w:r>
      <w:r>
        <w:rPr>
          <w:b/>
          <w:sz w:val="19"/>
        </w:rPr>
        <w:t>Scotland</w:t>
      </w:r>
    </w:p>
    <w:p>
      <w:pPr>
        <w:tabs>
          <w:tab w:pos="3057" w:val="left" w:leader="none"/>
        </w:tabs>
        <w:spacing w:before="63"/>
        <w:ind w:left="256" w:right="0" w:firstLine="0"/>
        <w:jc w:val="left"/>
        <w:rPr>
          <w:b/>
          <w:sz w:val="19"/>
        </w:rPr>
      </w:pPr>
      <w:r>
        <w:rPr>
          <w:sz w:val="19"/>
        </w:rPr>
        <w:t>Paul</w:t>
      </w:r>
      <w:r>
        <w:rPr>
          <w:spacing w:val="-6"/>
          <w:sz w:val="19"/>
        </w:rPr>
        <w:t> </w:t>
      </w:r>
      <w:r>
        <w:rPr>
          <w:sz w:val="19"/>
        </w:rPr>
        <w:t>Barnes</w:t>
        <w:tab/>
      </w:r>
      <w:r>
        <w:rPr>
          <w:b/>
          <w:sz w:val="19"/>
        </w:rPr>
        <w:t>Santander</w:t>
      </w:r>
      <w:r>
        <w:rPr>
          <w:b/>
          <w:spacing w:val="-1"/>
          <w:sz w:val="19"/>
        </w:rPr>
        <w:t> </w:t>
      </w:r>
      <w:r>
        <w:rPr>
          <w:b/>
          <w:sz w:val="19"/>
        </w:rPr>
        <w:t>UK</w:t>
      </w:r>
    </w:p>
    <w:p>
      <w:pPr>
        <w:tabs>
          <w:tab w:pos="3057" w:val="left" w:leader="none"/>
        </w:tabs>
        <w:spacing w:before="64"/>
        <w:ind w:left="256" w:right="0" w:firstLine="0"/>
        <w:jc w:val="left"/>
        <w:rPr>
          <w:b/>
          <w:sz w:val="19"/>
        </w:rPr>
      </w:pPr>
      <w:r>
        <w:rPr>
          <w:sz w:val="19"/>
        </w:rPr>
        <w:t>Stephane</w:t>
      </w:r>
      <w:r>
        <w:rPr>
          <w:spacing w:val="-7"/>
          <w:sz w:val="19"/>
        </w:rPr>
        <w:t> </w:t>
      </w:r>
      <w:r>
        <w:rPr>
          <w:sz w:val="19"/>
        </w:rPr>
        <w:t>Cuny</w:t>
        <w:tab/>
      </w:r>
      <w:r>
        <w:rPr>
          <w:b/>
          <w:sz w:val="19"/>
        </w:rPr>
        <w:t>Société</w:t>
      </w:r>
      <w:r>
        <w:rPr>
          <w:b/>
          <w:spacing w:val="-2"/>
          <w:sz w:val="19"/>
        </w:rPr>
        <w:t> </w:t>
      </w:r>
      <w:r>
        <w:rPr>
          <w:b/>
          <w:sz w:val="19"/>
        </w:rPr>
        <w:t>Générale</w:t>
      </w:r>
    </w:p>
    <w:p>
      <w:pPr>
        <w:tabs>
          <w:tab w:pos="3057" w:val="left" w:leader="none"/>
        </w:tabs>
        <w:spacing w:before="63"/>
        <w:ind w:left="256" w:right="0" w:firstLine="0"/>
        <w:jc w:val="left"/>
        <w:rPr>
          <w:b/>
          <w:sz w:val="19"/>
        </w:rPr>
      </w:pPr>
      <w:r>
        <w:rPr>
          <w:sz w:val="19"/>
        </w:rPr>
        <w:t>David</w:t>
      </w:r>
      <w:r>
        <w:rPr>
          <w:spacing w:val="-6"/>
          <w:sz w:val="19"/>
        </w:rPr>
        <w:t> </w:t>
      </w:r>
      <w:r>
        <w:rPr>
          <w:sz w:val="19"/>
        </w:rPr>
        <w:t>Geen</w:t>
        <w:tab/>
      </w:r>
      <w:r>
        <w:rPr>
          <w:b/>
          <w:sz w:val="19"/>
        </w:rPr>
        <w:t>ISDA (Observer</w:t>
      </w:r>
      <w:r>
        <w:rPr>
          <w:b/>
          <w:spacing w:val="-2"/>
          <w:sz w:val="19"/>
        </w:rPr>
        <w:t> </w:t>
      </w:r>
      <w:r>
        <w:rPr>
          <w:b/>
          <w:sz w:val="19"/>
        </w:rPr>
        <w:t>only)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1"/>
        <w:spacing w:before="164"/>
      </w:pPr>
      <w:r>
        <w:rPr/>
        <w:t>Official sector attendees</w:t>
      </w:r>
    </w:p>
    <w:p>
      <w:pPr>
        <w:pStyle w:val="BodyText"/>
        <w:spacing w:before="11"/>
        <w:rPr>
          <w:b/>
          <w:sz w:val="21"/>
        </w:rPr>
      </w:pPr>
    </w:p>
    <w:p>
      <w:pPr>
        <w:tabs>
          <w:tab w:pos="3057" w:val="left" w:leader="none"/>
        </w:tabs>
        <w:spacing w:before="0"/>
        <w:ind w:left="256" w:right="0" w:firstLine="0"/>
        <w:jc w:val="left"/>
        <w:rPr>
          <w:b/>
          <w:sz w:val="19"/>
        </w:rPr>
      </w:pPr>
      <w:r>
        <w:rPr>
          <w:sz w:val="19"/>
        </w:rPr>
        <w:t>Ed</w:t>
      </w:r>
      <w:r>
        <w:rPr>
          <w:spacing w:val="-5"/>
          <w:sz w:val="19"/>
        </w:rPr>
        <w:t> </w:t>
      </w:r>
      <w:r>
        <w:rPr>
          <w:sz w:val="19"/>
        </w:rPr>
        <w:t>Ocampo</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Will</w:t>
      </w:r>
      <w:r>
        <w:rPr>
          <w:spacing w:val="-3"/>
          <w:sz w:val="19"/>
        </w:rPr>
        <w:t> </w:t>
      </w:r>
      <w:r>
        <w:rPr>
          <w:sz w:val="19"/>
        </w:rPr>
        <w:t>Parry</w:t>
        <w:tab/>
      </w:r>
      <w:r>
        <w:rPr>
          <w:b/>
          <w:sz w:val="19"/>
        </w:rPr>
        <w:t>Bank of</w:t>
      </w:r>
      <w:r>
        <w:rPr>
          <w:b/>
          <w:spacing w:val="-16"/>
          <w:sz w:val="19"/>
        </w:rPr>
        <w:t> </w:t>
      </w:r>
      <w:r>
        <w:rPr>
          <w:b/>
          <w:sz w:val="19"/>
        </w:rPr>
        <w:t>England</w:t>
      </w:r>
    </w:p>
    <w:p>
      <w:pPr>
        <w:tabs>
          <w:tab w:pos="3057" w:val="left" w:leader="none"/>
        </w:tabs>
        <w:spacing w:before="65"/>
        <w:ind w:left="256" w:right="0" w:firstLine="0"/>
        <w:jc w:val="left"/>
        <w:rPr>
          <w:b/>
          <w:sz w:val="19"/>
        </w:rPr>
      </w:pPr>
      <w:r>
        <w:rPr>
          <w:sz w:val="19"/>
        </w:rPr>
        <w:t>Rob</w:t>
      </w:r>
      <w:r>
        <w:rPr>
          <w:spacing w:val="-6"/>
          <w:sz w:val="19"/>
        </w:rPr>
        <w:t> </w:t>
      </w:r>
      <w:r>
        <w:rPr>
          <w:sz w:val="19"/>
        </w:rPr>
        <w:t>Harris</w:t>
        <w:tab/>
      </w:r>
      <w:r>
        <w:rPr>
          <w:b/>
          <w:sz w:val="19"/>
        </w:rPr>
        <w:t>Bank of</w:t>
      </w:r>
      <w:r>
        <w:rPr>
          <w:b/>
          <w:spacing w:val="-15"/>
          <w:sz w:val="19"/>
        </w:rPr>
        <w:t> </w:t>
      </w:r>
      <w:r>
        <w:rPr>
          <w:b/>
          <w:sz w:val="19"/>
        </w:rPr>
        <w:t>England</w:t>
      </w:r>
    </w:p>
    <w:p>
      <w:pPr>
        <w:tabs>
          <w:tab w:pos="3057" w:val="left" w:leader="none"/>
        </w:tabs>
        <w:spacing w:before="64"/>
        <w:ind w:left="256" w:right="0" w:firstLine="0"/>
        <w:jc w:val="left"/>
        <w:rPr>
          <w:b/>
          <w:sz w:val="19"/>
        </w:rPr>
      </w:pPr>
      <w:r>
        <w:rPr>
          <w:sz w:val="19"/>
        </w:rPr>
        <w:t>Carlos</w:t>
      </w:r>
      <w:r>
        <w:rPr>
          <w:spacing w:val="-7"/>
          <w:sz w:val="19"/>
        </w:rPr>
        <w:t> </w:t>
      </w:r>
      <w:r>
        <w:rPr>
          <w:sz w:val="19"/>
        </w:rPr>
        <w:t>Molinas</w:t>
        <w:tab/>
      </w:r>
      <w:r>
        <w:rPr>
          <w:b/>
          <w:sz w:val="19"/>
        </w:rPr>
        <w:t>Financial</w:t>
      </w:r>
      <w:r>
        <w:rPr>
          <w:b/>
          <w:spacing w:val="-22"/>
          <w:sz w:val="19"/>
        </w:rPr>
        <w:t> </w:t>
      </w:r>
      <w:r>
        <w:rPr>
          <w:b/>
          <w:sz w:val="19"/>
        </w:rPr>
        <w:t>Conduct</w:t>
      </w:r>
      <w:r>
        <w:rPr>
          <w:b/>
          <w:spacing w:val="-23"/>
          <w:sz w:val="19"/>
        </w:rPr>
        <w:t> </w:t>
      </w:r>
      <w:r>
        <w:rPr>
          <w:b/>
          <w:sz w:val="19"/>
        </w:rPr>
        <w:t>Authority</w:t>
      </w:r>
    </w:p>
    <w:p>
      <w:pPr>
        <w:tabs>
          <w:tab w:pos="3057" w:val="left" w:leader="none"/>
        </w:tabs>
        <w:spacing w:before="63"/>
        <w:ind w:left="256" w:right="0" w:firstLine="0"/>
        <w:jc w:val="left"/>
        <w:rPr>
          <w:b/>
          <w:sz w:val="19"/>
        </w:rPr>
      </w:pPr>
      <w:r>
        <w:rPr>
          <w:sz w:val="19"/>
        </w:rPr>
        <w:t>Devid</w:t>
      </w:r>
      <w:r>
        <w:rPr>
          <w:spacing w:val="-8"/>
          <w:sz w:val="19"/>
        </w:rPr>
        <w:t> </w:t>
      </w:r>
      <w:r>
        <w:rPr>
          <w:sz w:val="19"/>
        </w:rPr>
        <w:t>Mazzonetto</w:t>
        <w:tab/>
      </w:r>
      <w:r>
        <w:rPr>
          <w:b/>
          <w:sz w:val="19"/>
        </w:rPr>
        <w:t>Financial</w:t>
      </w:r>
      <w:r>
        <w:rPr>
          <w:b/>
          <w:spacing w:val="-22"/>
          <w:sz w:val="19"/>
        </w:rPr>
        <w:t> </w:t>
      </w:r>
      <w:r>
        <w:rPr>
          <w:b/>
          <w:sz w:val="19"/>
        </w:rPr>
        <w:t>Conduct</w:t>
      </w:r>
      <w:r>
        <w:rPr>
          <w:b/>
          <w:spacing w:val="-23"/>
          <w:sz w:val="19"/>
        </w:rPr>
        <w:t> </w:t>
      </w:r>
      <w:r>
        <w:rPr>
          <w:b/>
          <w:sz w:val="19"/>
        </w:rPr>
        <w:t>Authority</w:t>
      </w:r>
    </w:p>
    <w:sectPr>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35"/>
      </w:pPr>
      <w:rPr>
        <w:rFonts w:hint="default" w:ascii="Symbol" w:hAnsi="Symbol" w:eastAsia="Symbol" w:cs="Symbol"/>
        <w:w w:val="99"/>
        <w:sz w:val="19"/>
        <w:szCs w:val="19"/>
      </w:rPr>
    </w:lvl>
    <w:lvl w:ilvl="1">
      <w:start w:val="0"/>
      <w:numFmt w:val="bullet"/>
      <w:lvlText w:val="•"/>
      <w:lvlJc w:val="left"/>
      <w:pPr>
        <w:ind w:left="1744" w:hanging="335"/>
      </w:pPr>
      <w:rPr>
        <w:rFonts w:hint="default"/>
      </w:rPr>
    </w:lvl>
    <w:lvl w:ilvl="2">
      <w:start w:val="0"/>
      <w:numFmt w:val="bullet"/>
      <w:lvlText w:val="•"/>
      <w:lvlJc w:val="left"/>
      <w:pPr>
        <w:ind w:left="2528" w:hanging="335"/>
      </w:pPr>
      <w:rPr>
        <w:rFonts w:hint="default"/>
      </w:rPr>
    </w:lvl>
    <w:lvl w:ilvl="3">
      <w:start w:val="0"/>
      <w:numFmt w:val="bullet"/>
      <w:lvlText w:val="•"/>
      <w:lvlJc w:val="left"/>
      <w:pPr>
        <w:ind w:left="3312" w:hanging="335"/>
      </w:pPr>
      <w:rPr>
        <w:rFonts w:hint="default"/>
      </w:rPr>
    </w:lvl>
    <w:lvl w:ilvl="4">
      <w:start w:val="0"/>
      <w:numFmt w:val="bullet"/>
      <w:lvlText w:val="•"/>
      <w:lvlJc w:val="left"/>
      <w:pPr>
        <w:ind w:left="4096" w:hanging="335"/>
      </w:pPr>
      <w:rPr>
        <w:rFonts w:hint="default"/>
      </w:rPr>
    </w:lvl>
    <w:lvl w:ilvl="5">
      <w:start w:val="0"/>
      <w:numFmt w:val="bullet"/>
      <w:lvlText w:val="•"/>
      <w:lvlJc w:val="left"/>
      <w:pPr>
        <w:ind w:left="4880" w:hanging="335"/>
      </w:pPr>
      <w:rPr>
        <w:rFonts w:hint="default"/>
      </w:rPr>
    </w:lvl>
    <w:lvl w:ilvl="6">
      <w:start w:val="0"/>
      <w:numFmt w:val="bullet"/>
      <w:lvlText w:val="•"/>
      <w:lvlJc w:val="left"/>
      <w:pPr>
        <w:ind w:left="5664" w:hanging="335"/>
      </w:pPr>
      <w:rPr>
        <w:rFonts w:hint="default"/>
      </w:rPr>
    </w:lvl>
    <w:lvl w:ilvl="7">
      <w:start w:val="0"/>
      <w:numFmt w:val="bullet"/>
      <w:lvlText w:val="•"/>
      <w:lvlJc w:val="left"/>
      <w:pPr>
        <w:ind w:left="6448" w:hanging="335"/>
      </w:pPr>
      <w:rPr>
        <w:rFonts w:hint="default"/>
      </w:rPr>
    </w:lvl>
    <w:lvl w:ilvl="8">
      <w:start w:val="0"/>
      <w:numFmt w:val="bullet"/>
      <w:lvlText w:val="•"/>
      <w:lvlJc w:val="left"/>
      <w:pPr>
        <w:ind w:left="7232" w:hanging="335"/>
      </w:pPr>
      <w:rPr>
        <w:rFonts w:hint="default"/>
      </w:rPr>
    </w:lvl>
  </w:abstractNum>
  <w:abstractNum w:abstractNumId="0">
    <w:multiLevelType w:val="hybridMultilevel"/>
    <w:lvl w:ilvl="0">
      <w:start w:val="1"/>
      <w:numFmt w:val="decimal"/>
      <w:lvlText w:val="%1"/>
      <w:lvlJc w:val="left"/>
      <w:pPr>
        <w:ind w:left="555" w:hanging="401"/>
        <w:jc w:val="left"/>
      </w:pPr>
      <w:rPr>
        <w:rFonts w:hint="default" w:ascii="Arial" w:hAnsi="Arial" w:eastAsia="Arial" w:cs="Arial"/>
        <w:w w:val="99"/>
        <w:sz w:val="19"/>
        <w:szCs w:val="19"/>
      </w:rPr>
    </w:lvl>
    <w:lvl w:ilvl="1">
      <w:start w:val="1"/>
      <w:numFmt w:val="lowerRoman"/>
      <w:lvlText w:val="%2."/>
      <w:lvlJc w:val="left"/>
      <w:pPr>
        <w:ind w:left="821" w:hanging="339"/>
        <w:jc w:val="left"/>
      </w:pPr>
      <w:rPr>
        <w:rFonts w:hint="default" w:ascii="Arial" w:hAnsi="Arial" w:eastAsia="Arial" w:cs="Arial"/>
        <w:spacing w:val="-1"/>
        <w:w w:val="99"/>
        <w:sz w:val="19"/>
        <w:szCs w:val="19"/>
      </w:rPr>
    </w:lvl>
    <w:lvl w:ilvl="2">
      <w:start w:val="0"/>
      <w:numFmt w:val="bullet"/>
      <w:lvlText w:val="•"/>
      <w:lvlJc w:val="left"/>
      <w:pPr>
        <w:ind w:left="1706" w:hanging="339"/>
      </w:pPr>
      <w:rPr>
        <w:rFonts w:hint="default"/>
      </w:rPr>
    </w:lvl>
    <w:lvl w:ilvl="3">
      <w:start w:val="0"/>
      <w:numFmt w:val="bullet"/>
      <w:lvlText w:val="•"/>
      <w:lvlJc w:val="left"/>
      <w:pPr>
        <w:ind w:left="2593" w:hanging="339"/>
      </w:pPr>
      <w:rPr>
        <w:rFonts w:hint="default"/>
      </w:rPr>
    </w:lvl>
    <w:lvl w:ilvl="4">
      <w:start w:val="0"/>
      <w:numFmt w:val="bullet"/>
      <w:lvlText w:val="•"/>
      <w:lvlJc w:val="left"/>
      <w:pPr>
        <w:ind w:left="3480" w:hanging="339"/>
      </w:pPr>
      <w:rPr>
        <w:rFonts w:hint="default"/>
      </w:rPr>
    </w:lvl>
    <w:lvl w:ilvl="5">
      <w:start w:val="0"/>
      <w:numFmt w:val="bullet"/>
      <w:lvlText w:val="•"/>
      <w:lvlJc w:val="left"/>
      <w:pPr>
        <w:ind w:left="4366" w:hanging="339"/>
      </w:pPr>
      <w:rPr>
        <w:rFonts w:hint="default"/>
      </w:rPr>
    </w:lvl>
    <w:lvl w:ilvl="6">
      <w:start w:val="0"/>
      <w:numFmt w:val="bullet"/>
      <w:lvlText w:val="•"/>
      <w:lvlJc w:val="left"/>
      <w:pPr>
        <w:ind w:left="5253" w:hanging="339"/>
      </w:pPr>
      <w:rPr>
        <w:rFonts w:hint="default"/>
      </w:rPr>
    </w:lvl>
    <w:lvl w:ilvl="7">
      <w:start w:val="0"/>
      <w:numFmt w:val="bullet"/>
      <w:lvlText w:val="•"/>
      <w:lvlJc w:val="left"/>
      <w:pPr>
        <w:ind w:left="6140" w:hanging="339"/>
      </w:pPr>
      <w:rPr>
        <w:rFonts w:hint="default"/>
      </w:rPr>
    </w:lvl>
    <w:lvl w:ilvl="8">
      <w:start w:val="0"/>
      <w:numFmt w:val="bullet"/>
      <w:lvlText w:val="•"/>
      <w:lvlJc w:val="left"/>
      <w:pPr>
        <w:ind w:left="7026"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54"/>
      <w:outlineLvl w:val="1"/>
    </w:pPr>
    <w:rPr>
      <w:rFonts w:ascii="Arial" w:hAnsi="Arial" w:eastAsia="Arial" w:cs="Arial"/>
      <w:b/>
      <w:bCs/>
      <w:sz w:val="19"/>
      <w:szCs w:val="19"/>
    </w:rPr>
  </w:style>
  <w:style w:styleId="ListParagraph" w:type="paragraph">
    <w:name w:val="List Paragraph"/>
    <w:basedOn w:val="Normal"/>
    <w:uiPriority w:val="1"/>
    <w:qFormat/>
    <w:pPr>
      <w:ind w:left="953" w:hanging="33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Documents/other/markets/mmlg/smms2014h2.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Sterling Risk Free Reference Rates - 2 June 2015</dc:title>
  <dcterms:created xsi:type="dcterms:W3CDTF">2020-06-01T02:24:02Z</dcterms:created>
  <dcterms:modified xsi:type="dcterms:W3CDTF">2020-06-01T02:24:02Z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PScript5.dll Version 5.2.2</vt:lpwstr>
  </property>
  <property fmtid="{D5CDD505-2E9C-101B-9397-08002B2CF9AE}" pid="4" name="LastSaved">
    <vt:filetime>2020-06-01T00:00:00Z</vt:filetime>
  </property>
</Properties>
</file>