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7" w:lineRule="auto" w:before="76"/>
        <w:ind w:left="881" w:right="775"/>
        <w:jc w:val="center"/>
      </w:pPr>
      <w:r>
        <w:rPr/>
        <w:t>Minutes of the Meeting of the Working Group on Sterling Risk-Free Reference Rates Tuesday 22 June 2017</w:t>
      </w:r>
    </w:p>
    <w:p>
      <w:pPr>
        <w:spacing w:line="227" w:lineRule="exact" w:before="0"/>
        <w:ind w:left="880" w:right="775" w:firstLine="0"/>
        <w:jc w:val="center"/>
        <w:rPr>
          <w:b/>
          <w:sz w:val="20"/>
        </w:rPr>
      </w:pPr>
      <w:r>
        <w:rPr>
          <w:b/>
          <w:sz w:val="20"/>
        </w:rPr>
        <w:t>Barclays’ offices – Canary Wharf</w:t>
      </w:r>
    </w:p>
    <w:p>
      <w:pPr>
        <w:pStyle w:val="BodyText"/>
        <w:spacing w:before="8"/>
        <w:rPr>
          <w:b/>
          <w:sz w:val="30"/>
        </w:rPr>
      </w:pPr>
    </w:p>
    <w:p>
      <w:pPr>
        <w:spacing w:before="0"/>
        <w:ind w:left="200"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269" w:firstLine="0"/>
        <w:jc w:val="left"/>
        <w:rPr>
          <w:sz w:val="20"/>
        </w:rPr>
      </w:pPr>
      <w:r>
        <w:rPr>
          <w:sz w:val="20"/>
        </w:rPr>
        <w:t>The Chair reminded all members of the Group of their responsibilities in relation to compliance</w:t>
      </w:r>
      <w:r>
        <w:rPr>
          <w:spacing w:val="-34"/>
          <w:sz w:val="20"/>
        </w:rPr>
        <w:t> </w:t>
      </w:r>
      <w:r>
        <w:rPr>
          <w:sz w:val="20"/>
        </w:rPr>
        <w:t>with competition law and the importance of taking their own independent competition law</w:t>
      </w:r>
      <w:r>
        <w:rPr>
          <w:spacing w:val="-17"/>
          <w:sz w:val="20"/>
        </w:rPr>
        <w:t> </w:t>
      </w:r>
      <w:r>
        <w:rPr>
          <w:sz w:val="20"/>
        </w:rPr>
        <w:t>advice.</w:t>
      </w:r>
    </w:p>
    <w:p>
      <w:pPr>
        <w:pStyle w:val="Heading1"/>
        <w:spacing w:before="119"/>
      </w:pPr>
      <w:r>
        <w:rPr/>
        <w:t>Minutes of previous meeting</w:t>
      </w:r>
    </w:p>
    <w:p>
      <w:pPr>
        <w:pStyle w:val="BodyText"/>
        <w:spacing w:before="6"/>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The minutes of the previous meeting on 22 May were</w:t>
      </w:r>
      <w:r>
        <w:rPr>
          <w:spacing w:val="2"/>
          <w:sz w:val="20"/>
        </w:rPr>
        <w:t> </w:t>
      </w:r>
      <w:r>
        <w:rPr>
          <w:sz w:val="20"/>
        </w:rPr>
        <w:t>approved.</w:t>
      </w:r>
    </w:p>
    <w:p>
      <w:pPr>
        <w:pStyle w:val="BodyText"/>
        <w:spacing w:before="3"/>
      </w:pPr>
    </w:p>
    <w:p>
      <w:pPr>
        <w:pStyle w:val="Heading1"/>
      </w:pPr>
      <w:r>
        <w:rPr/>
        <w:t>Update from interest rate infrastructure sub-group</w:t>
      </w:r>
    </w:p>
    <w:p>
      <w:pPr>
        <w:pStyle w:val="BodyText"/>
        <w:spacing w:before="9"/>
        <w:rPr>
          <w:b/>
        </w:rPr>
      </w:pPr>
    </w:p>
    <w:p>
      <w:pPr>
        <w:pStyle w:val="ListParagraph"/>
        <w:numPr>
          <w:ilvl w:val="0"/>
          <w:numId w:val="1"/>
        </w:numPr>
        <w:tabs>
          <w:tab w:pos="627" w:val="left" w:leader="none"/>
          <w:tab w:pos="628" w:val="left" w:leader="none"/>
        </w:tabs>
        <w:spacing w:line="360" w:lineRule="auto" w:before="0" w:after="0"/>
        <w:ind w:left="200" w:right="150" w:firstLine="0"/>
        <w:jc w:val="left"/>
        <w:rPr>
          <w:sz w:val="20"/>
        </w:rPr>
      </w:pPr>
      <w:r>
        <w:rPr>
          <w:sz w:val="20"/>
        </w:rPr>
        <w:t>The sub-group leads outlined progress so far. Discussion had focused on the most appropriate design of a futures contract referencing SONIA, with the most important issues being: the term of the future; whether a simple or a compound interest calculation is used; whether settlement involves</w:t>
      </w:r>
      <w:r>
        <w:rPr>
          <w:spacing w:val="-37"/>
          <w:sz w:val="20"/>
        </w:rPr>
        <w:t> </w:t>
      </w:r>
      <w:r>
        <w:rPr>
          <w:sz w:val="20"/>
        </w:rPr>
        <w:t>physical delivery (for example of a swap) or is cash-settled; and the most appropriate rollover dates. The sub- group highlighted that any futures contract should be designed with a broad spectrum of users in</w:t>
      </w:r>
      <w:r>
        <w:rPr>
          <w:spacing w:val="-19"/>
          <w:sz w:val="20"/>
        </w:rPr>
        <w:t> </w:t>
      </w:r>
      <w:r>
        <w:rPr>
          <w:sz w:val="20"/>
        </w:rPr>
        <w:t>mind.</w:t>
      </w:r>
    </w:p>
    <w:p>
      <w:pPr>
        <w:pStyle w:val="ListParagraph"/>
        <w:numPr>
          <w:ilvl w:val="0"/>
          <w:numId w:val="1"/>
        </w:numPr>
        <w:tabs>
          <w:tab w:pos="627" w:val="left" w:leader="none"/>
          <w:tab w:pos="628" w:val="left" w:leader="none"/>
        </w:tabs>
        <w:spacing w:line="240" w:lineRule="auto" w:before="121" w:after="0"/>
        <w:ind w:left="627" w:right="0" w:hanging="428"/>
        <w:jc w:val="left"/>
        <w:rPr>
          <w:sz w:val="20"/>
        </w:rPr>
      </w:pPr>
      <w:r>
        <w:rPr>
          <w:sz w:val="20"/>
        </w:rPr>
        <w:t>The sub-group viewed the existing design of SONIA Overnight Index Swaps as</w:t>
      </w:r>
      <w:r>
        <w:rPr>
          <w:spacing w:val="-9"/>
          <w:sz w:val="20"/>
        </w:rPr>
        <w:t> </w:t>
      </w:r>
      <w:r>
        <w:rPr>
          <w:sz w:val="20"/>
        </w:rPr>
        <w:t>appropriate.</w:t>
      </w:r>
    </w:p>
    <w:p>
      <w:pPr>
        <w:pStyle w:val="BodyText"/>
      </w:pPr>
    </w:p>
    <w:p>
      <w:pPr>
        <w:pStyle w:val="Heading1"/>
      </w:pPr>
      <w:r>
        <w:rPr/>
        <w:t>Update on forthcoming RFR conference</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686" w:firstLine="0"/>
        <w:jc w:val="left"/>
        <w:rPr>
          <w:sz w:val="20"/>
        </w:rPr>
      </w:pPr>
      <w:r>
        <w:rPr>
          <w:sz w:val="20"/>
        </w:rPr>
        <w:t>The</w:t>
      </w:r>
      <w:r>
        <w:rPr>
          <w:spacing w:val="-6"/>
          <w:sz w:val="20"/>
        </w:rPr>
        <w:t> </w:t>
      </w:r>
      <w:r>
        <w:rPr>
          <w:sz w:val="20"/>
        </w:rPr>
        <w:t>Chair’s</w:t>
      </w:r>
      <w:r>
        <w:rPr>
          <w:spacing w:val="-2"/>
          <w:sz w:val="20"/>
        </w:rPr>
        <w:t> </w:t>
      </w:r>
      <w:r>
        <w:rPr>
          <w:sz w:val="20"/>
        </w:rPr>
        <w:t>office</w:t>
      </w:r>
      <w:r>
        <w:rPr>
          <w:spacing w:val="-4"/>
          <w:sz w:val="20"/>
        </w:rPr>
        <w:t> </w:t>
      </w:r>
      <w:r>
        <w:rPr>
          <w:sz w:val="20"/>
        </w:rPr>
        <w:t>and</w:t>
      </w:r>
      <w:r>
        <w:rPr>
          <w:spacing w:val="-5"/>
          <w:sz w:val="20"/>
        </w:rPr>
        <w:t> </w:t>
      </w:r>
      <w:r>
        <w:rPr>
          <w:sz w:val="20"/>
        </w:rPr>
        <w:t>the</w:t>
      </w:r>
      <w:r>
        <w:rPr>
          <w:spacing w:val="-3"/>
          <w:sz w:val="20"/>
        </w:rPr>
        <w:t> </w:t>
      </w:r>
      <w:r>
        <w:rPr>
          <w:sz w:val="20"/>
        </w:rPr>
        <w:t>Bank</w:t>
      </w:r>
      <w:r>
        <w:rPr>
          <w:spacing w:val="-1"/>
          <w:sz w:val="20"/>
        </w:rPr>
        <w:t> </w:t>
      </w:r>
      <w:r>
        <w:rPr>
          <w:sz w:val="20"/>
        </w:rPr>
        <w:t>provided</w:t>
      </w:r>
      <w:r>
        <w:rPr>
          <w:spacing w:val="-4"/>
          <w:sz w:val="20"/>
        </w:rPr>
        <w:t> </w:t>
      </w:r>
      <w:r>
        <w:rPr>
          <w:sz w:val="20"/>
        </w:rPr>
        <w:t>a</w:t>
      </w:r>
      <w:r>
        <w:rPr>
          <w:spacing w:val="-4"/>
          <w:sz w:val="20"/>
        </w:rPr>
        <w:t> </w:t>
      </w:r>
      <w:r>
        <w:rPr>
          <w:sz w:val="20"/>
        </w:rPr>
        <w:t>brief</w:t>
      </w:r>
      <w:r>
        <w:rPr>
          <w:spacing w:val="-3"/>
          <w:sz w:val="20"/>
        </w:rPr>
        <w:t> </w:t>
      </w:r>
      <w:r>
        <w:rPr>
          <w:sz w:val="20"/>
        </w:rPr>
        <w:t>update</w:t>
      </w:r>
      <w:r>
        <w:rPr>
          <w:spacing w:val="-4"/>
          <w:sz w:val="20"/>
        </w:rPr>
        <w:t> </w:t>
      </w:r>
      <w:r>
        <w:rPr>
          <w:sz w:val="20"/>
        </w:rPr>
        <w:t>on</w:t>
      </w:r>
      <w:r>
        <w:rPr>
          <w:spacing w:val="-3"/>
          <w:sz w:val="20"/>
        </w:rPr>
        <w:t> </w:t>
      </w:r>
      <w:r>
        <w:rPr>
          <w:sz w:val="20"/>
        </w:rPr>
        <w:t>the</w:t>
      </w:r>
      <w:r>
        <w:rPr>
          <w:spacing w:val="-4"/>
          <w:sz w:val="20"/>
        </w:rPr>
        <w:t> </w:t>
      </w:r>
      <w:r>
        <w:rPr>
          <w:sz w:val="20"/>
        </w:rPr>
        <w:t>forthcoming</w:t>
      </w:r>
      <w:r>
        <w:rPr>
          <w:spacing w:val="-6"/>
          <w:sz w:val="20"/>
        </w:rPr>
        <w:t> </w:t>
      </w:r>
      <w:r>
        <w:rPr>
          <w:sz w:val="20"/>
        </w:rPr>
        <w:t>conference.</w:t>
      </w:r>
      <w:r>
        <w:rPr>
          <w:spacing w:val="-5"/>
          <w:sz w:val="20"/>
        </w:rPr>
        <w:t> </w:t>
      </w:r>
      <w:r>
        <w:rPr>
          <w:sz w:val="20"/>
        </w:rPr>
        <w:t>Group members were thanked for helping to identify</w:t>
      </w:r>
      <w:r>
        <w:rPr>
          <w:spacing w:val="-5"/>
          <w:sz w:val="20"/>
        </w:rPr>
        <w:t> </w:t>
      </w:r>
      <w:r>
        <w:rPr>
          <w:sz w:val="20"/>
        </w:rPr>
        <w:t>invitees.</w:t>
      </w:r>
    </w:p>
    <w:p>
      <w:pPr>
        <w:pStyle w:val="Heading1"/>
        <w:spacing w:before="117"/>
      </w:pPr>
      <w:r>
        <w:rPr/>
        <w:t>Review of Group’s White Paper</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02" w:firstLine="0"/>
        <w:jc w:val="left"/>
        <w:rPr>
          <w:sz w:val="20"/>
        </w:rPr>
      </w:pPr>
      <w:r>
        <w:rPr>
          <w:sz w:val="20"/>
        </w:rPr>
        <w:t>The Group discussed a draft of their White Paper, which explained why the Group had recommended SONIA as the sterling RFR and outlined some early thoughts on the adoption of SONIA</w:t>
      </w:r>
      <w:r>
        <w:rPr>
          <w:spacing w:val="-28"/>
          <w:sz w:val="20"/>
        </w:rPr>
        <w:t> </w:t>
      </w:r>
      <w:r>
        <w:rPr>
          <w:sz w:val="20"/>
        </w:rPr>
        <w:t>as an alternative to sterling Libor. It was agreed that the first key objective of the Paper was to ensure</w:t>
      </w:r>
      <w:r>
        <w:rPr>
          <w:spacing w:val="-25"/>
          <w:sz w:val="20"/>
        </w:rPr>
        <w:t> </w:t>
      </w:r>
      <w:r>
        <w:rPr>
          <w:sz w:val="20"/>
        </w:rPr>
        <w:t>that</w:t>
      </w:r>
    </w:p>
    <w:p>
      <w:pPr>
        <w:pStyle w:val="BodyText"/>
        <w:spacing w:line="360" w:lineRule="auto"/>
        <w:ind w:left="200" w:right="290"/>
        <w:jc w:val="both"/>
      </w:pPr>
      <w:r>
        <w:rPr/>
        <w:t>the Group’s choice of RFR benefits from the support of the wider community of users of sterling interest rate benchmarks. The second key objective was to actively seek detailed feedback on issues related to the adoption of SONIA across financial markets.</w:t>
      </w:r>
    </w:p>
    <w:p>
      <w:pPr>
        <w:pStyle w:val="ListParagraph"/>
        <w:numPr>
          <w:ilvl w:val="0"/>
          <w:numId w:val="1"/>
        </w:numPr>
        <w:tabs>
          <w:tab w:pos="627" w:val="left" w:leader="none"/>
          <w:tab w:pos="628" w:val="left" w:leader="none"/>
        </w:tabs>
        <w:spacing w:line="360" w:lineRule="auto" w:before="122" w:after="0"/>
        <w:ind w:left="200" w:right="196" w:firstLine="0"/>
        <w:jc w:val="left"/>
        <w:rPr>
          <w:sz w:val="20"/>
        </w:rPr>
      </w:pPr>
      <w:r>
        <w:rPr>
          <w:sz w:val="20"/>
        </w:rPr>
        <w:t>The Group discussed whether a term extension for the RFR would be required to encourage adoption. Many members felt that the existing OIS structure – where interest payments are made at the end of the period, based on the compounded daily SONIA outturns – was preferred for most purposes. It was agreed that the Group’s preference should be stated in the White Paper, but that specific feedback should be</w:t>
      </w:r>
      <w:r>
        <w:rPr>
          <w:spacing w:val="-1"/>
          <w:sz w:val="20"/>
        </w:rPr>
        <w:t> </w:t>
      </w:r>
      <w:r>
        <w:rPr>
          <w:sz w:val="20"/>
        </w:rPr>
        <w:t>sought.</w:t>
      </w:r>
    </w:p>
    <w:p>
      <w:pPr>
        <w:pStyle w:val="Heading1"/>
        <w:spacing w:before="116"/>
      </w:pPr>
      <w:r>
        <w:rPr/>
        <w:t>FCA consultation: “Powers in relation to LIBOR contributions”</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80" w:firstLine="0"/>
        <w:jc w:val="left"/>
        <w:rPr>
          <w:sz w:val="20"/>
        </w:rPr>
      </w:pPr>
      <w:r>
        <w:rPr>
          <w:sz w:val="20"/>
        </w:rPr>
        <w:t>The FCA provided to the Group an overview of their recently published consultation, “Powers in relation to Libor contributions.”</w:t>
      </w:r>
      <w:r>
        <w:rPr>
          <w:sz w:val="20"/>
          <w:vertAlign w:val="superscript"/>
        </w:rPr>
        <w:t>1</w:t>
      </w:r>
      <w:r>
        <w:rPr>
          <w:sz w:val="20"/>
          <w:vertAlign w:val="baseline"/>
        </w:rPr>
        <w:t> The consultation describes the FCA’s proposed approach to its</w:t>
      </w:r>
      <w:r>
        <w:rPr>
          <w:spacing w:val="-31"/>
          <w:sz w:val="20"/>
          <w:vertAlign w:val="baseline"/>
        </w:rPr>
        <w:t> </w:t>
      </w:r>
      <w:r>
        <w:rPr>
          <w:sz w:val="20"/>
          <w:vertAlign w:val="baseline"/>
        </w:rPr>
        <w:t>domestic</w:t>
      </w:r>
    </w:p>
    <w:p>
      <w:pPr>
        <w:pStyle w:val="BodyText"/>
      </w:pPr>
    </w:p>
    <w:p>
      <w:pPr>
        <w:pStyle w:val="BodyText"/>
      </w:pPr>
    </w:p>
    <w:p>
      <w:pPr>
        <w:pStyle w:val="BodyText"/>
        <w:spacing w:before="2"/>
        <w:rPr>
          <w:sz w:val="11"/>
        </w:rPr>
      </w:pPr>
      <w:r>
        <w:rPr/>
        <w:pict>
          <v:shape style="position:absolute;margin-left:72.024002pt;margin-top:8.788263pt;width:144.050pt;height:.1pt;mso-position-horizontal-relative:page;mso-position-vertical-relative:paragraph;z-index:-251658240;mso-wrap-distance-left:0;mso-wrap-distance-right:0" coordorigin="1440,176" coordsize="2881,0" path="m1440,176l4321,176e" filled="false" stroked="true" strokeweight=".71997pt" strokecolor="#000000">
            <v:path arrowok="t"/>
            <v:stroke dashstyle="solid"/>
            <w10:wrap type="topAndBottom"/>
          </v:shape>
        </w:pict>
      </w:r>
    </w:p>
    <w:p>
      <w:pPr>
        <w:spacing w:before="39"/>
        <w:ind w:left="200" w:right="0" w:firstLine="0"/>
        <w:jc w:val="left"/>
        <w:rPr>
          <w:sz w:val="18"/>
        </w:rPr>
      </w:pPr>
      <w:r>
        <w:rPr>
          <w:position w:val="9"/>
          <w:sz w:val="12"/>
        </w:rPr>
        <w:t>1 </w:t>
      </w:r>
      <w:r>
        <w:rPr>
          <w:sz w:val="18"/>
        </w:rPr>
        <w:t>See </w:t>
      </w:r>
      <w:hyperlink r:id="rId5">
        <w:r>
          <w:rPr>
            <w:color w:val="0000FF"/>
            <w:sz w:val="18"/>
            <w:u w:val="single" w:color="0000FF"/>
          </w:rPr>
          <w:t>www.fca.org.uk/publication/consultation/cp17-15.pdf</w:t>
        </w:r>
      </w:hyperlink>
    </w:p>
    <w:p>
      <w:pPr>
        <w:spacing w:after="0"/>
        <w:jc w:val="left"/>
        <w:rPr>
          <w:sz w:val="18"/>
        </w:rPr>
        <w:sectPr>
          <w:type w:val="continuous"/>
          <w:pgSz w:w="11910" w:h="16840"/>
          <w:pgMar w:top="1460" w:bottom="280" w:left="1240" w:right="1040"/>
        </w:sectPr>
      </w:pPr>
    </w:p>
    <w:p>
      <w:pPr>
        <w:pStyle w:val="BodyText"/>
        <w:spacing w:line="360" w:lineRule="auto" w:before="79"/>
        <w:ind w:left="200"/>
      </w:pPr>
      <w:r>
        <w:rPr/>
        <w:t>powers and the proposal to align them to the EU Benchmarks Regulation (BMR) in advance of the designation of LIBOR as a critical benchmark, which is expected by the end of 2017.</w:t>
      </w:r>
    </w:p>
    <w:p>
      <w:pPr>
        <w:pStyle w:val="ListParagraph"/>
        <w:numPr>
          <w:ilvl w:val="0"/>
          <w:numId w:val="1"/>
        </w:numPr>
        <w:tabs>
          <w:tab w:pos="627" w:val="left" w:leader="none"/>
          <w:tab w:pos="628" w:val="left" w:leader="none"/>
        </w:tabs>
        <w:spacing w:line="360" w:lineRule="auto" w:before="119" w:after="0"/>
        <w:ind w:left="200" w:right="214" w:firstLine="0"/>
        <w:jc w:val="left"/>
        <w:rPr>
          <w:sz w:val="20"/>
        </w:rPr>
      </w:pPr>
      <w:r>
        <w:rPr>
          <w:sz w:val="20"/>
        </w:rPr>
        <w:t>In parallel, the FCA is also gathering data from around 50 banks in order to understand the relevant markets better. This information will be used to design a methodology to select those which could be required to contribute to Libor should it be needed. It was noted that in order to use these powers under the BMR, the timing for data collection would be much tighter. This contingency exercise follows the publication by ESMA of their methodology framework, published on 2 June</w:t>
      </w:r>
      <w:r>
        <w:rPr>
          <w:spacing w:val="-11"/>
          <w:sz w:val="20"/>
        </w:rPr>
        <w:t> </w:t>
      </w:r>
      <w:r>
        <w:rPr>
          <w:sz w:val="20"/>
        </w:rPr>
        <w:t>2017.</w:t>
      </w:r>
      <w:r>
        <w:rPr>
          <w:sz w:val="20"/>
          <w:vertAlign w:val="superscript"/>
        </w:rPr>
        <w:t>2</w:t>
      </w:r>
    </w:p>
    <w:p>
      <w:pPr>
        <w:pStyle w:val="ListParagraph"/>
        <w:numPr>
          <w:ilvl w:val="0"/>
          <w:numId w:val="1"/>
        </w:numPr>
        <w:tabs>
          <w:tab w:pos="627" w:val="left" w:leader="none"/>
          <w:tab w:pos="628" w:val="left" w:leader="none"/>
        </w:tabs>
        <w:spacing w:line="240" w:lineRule="auto" w:before="121" w:after="0"/>
        <w:ind w:left="627" w:right="0" w:hanging="428"/>
        <w:jc w:val="left"/>
        <w:rPr>
          <w:sz w:val="20"/>
        </w:rPr>
      </w:pPr>
      <w:r>
        <w:rPr>
          <w:sz w:val="20"/>
        </w:rPr>
        <w:t>The FCA emphasised that it did not expect to use these powers but must be ready to do</w:t>
      </w:r>
      <w:r>
        <w:rPr>
          <w:spacing w:val="-17"/>
          <w:sz w:val="20"/>
        </w:rPr>
        <w:t> </w:t>
      </w:r>
      <w:r>
        <w:rPr>
          <w:sz w:val="20"/>
        </w:rPr>
        <w:t>so.</w:t>
      </w:r>
    </w:p>
    <w:p>
      <w:pPr>
        <w:pStyle w:val="BodyText"/>
        <w:spacing w:before="5"/>
      </w:pPr>
    </w:p>
    <w:p>
      <w:pPr>
        <w:pStyle w:val="ListParagraph"/>
        <w:numPr>
          <w:ilvl w:val="0"/>
          <w:numId w:val="1"/>
        </w:numPr>
        <w:tabs>
          <w:tab w:pos="627" w:val="left" w:leader="none"/>
          <w:tab w:pos="628" w:val="left" w:leader="none"/>
        </w:tabs>
        <w:spacing w:line="360" w:lineRule="auto" w:before="0" w:after="0"/>
        <w:ind w:left="200" w:right="375" w:firstLine="0"/>
        <w:jc w:val="left"/>
        <w:rPr>
          <w:sz w:val="20"/>
        </w:rPr>
      </w:pPr>
      <w:r>
        <w:rPr>
          <w:sz w:val="20"/>
        </w:rPr>
        <w:t>Finally, the FCA introduced a further consultation due to be published later in June which will describe the proposals for ensuring that FCA Handbook is consistent with the directly-applicable BMR, most of which will apply from 1 January</w:t>
      </w:r>
      <w:r>
        <w:rPr>
          <w:spacing w:val="-4"/>
          <w:sz w:val="20"/>
        </w:rPr>
        <w:t> </w:t>
      </w:r>
      <w:r>
        <w:rPr>
          <w:sz w:val="20"/>
        </w:rPr>
        <w:t>2018.</w:t>
      </w:r>
    </w:p>
    <w:p>
      <w:pPr>
        <w:pStyle w:val="Heading1"/>
        <w:spacing w:before="118"/>
      </w:pPr>
      <w:r>
        <w:rPr/>
        <w:t>Working Group structure</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61" w:firstLine="0"/>
        <w:jc w:val="left"/>
        <w:rPr>
          <w:sz w:val="20"/>
        </w:rPr>
      </w:pPr>
      <w:r>
        <w:rPr>
          <w:sz w:val="20"/>
        </w:rPr>
        <w:t>The Chair noted that the shift in the focus of the Group’s work towards SONIA adoption might require some organisational changes. The objective was to broaden engagement in the process. One possibility was for the Group to continue, but with the support of a number of new, thematic sub-groups comprised of Group member firms and other relevant stakeholders. The Group agreed with the proposal. Ideas for areas of focus for relevant sub-group and proposed membership would be developed following the RFR</w:t>
      </w:r>
      <w:r>
        <w:rPr>
          <w:spacing w:val="-3"/>
          <w:sz w:val="20"/>
        </w:rPr>
        <w:t> </w:t>
      </w:r>
      <w:r>
        <w:rPr>
          <w:sz w:val="20"/>
        </w:rPr>
        <w:t>conference.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8"/>
        </w:rPr>
      </w:pPr>
      <w:r>
        <w:rPr/>
        <w:pict>
          <v:shape style="position:absolute;margin-left:72.024002pt;margin-top:18.730703pt;width:144.050pt;height:.1pt;mso-position-horizontal-relative:page;mso-position-vertical-relative:paragraph;z-index:-251657216;mso-wrap-distance-left:0;mso-wrap-distance-right:0" coordorigin="1440,375" coordsize="2881,0" path="m1440,375l4321,375e" filled="false" stroked="true" strokeweight=".71997pt" strokecolor="#000000">
            <v:path arrowok="t"/>
            <v:stroke dashstyle="solid"/>
            <w10:wrap type="topAndBottom"/>
          </v:shape>
        </w:pict>
      </w:r>
    </w:p>
    <w:p>
      <w:pPr>
        <w:spacing w:before="36"/>
        <w:ind w:left="200" w:right="56" w:firstLine="0"/>
        <w:jc w:val="left"/>
        <w:rPr>
          <w:sz w:val="18"/>
        </w:rPr>
      </w:pPr>
      <w:r>
        <w:rPr>
          <w:position w:val="9"/>
          <w:sz w:val="12"/>
        </w:rPr>
        <w:t>2 </w:t>
      </w:r>
      <w:r>
        <w:rPr>
          <w:sz w:val="18"/>
        </w:rPr>
        <w:t>See </w:t>
      </w:r>
      <w:hyperlink r:id="rId6">
        <w:r>
          <w:rPr>
            <w:color w:val="0000FF"/>
            <w:sz w:val="18"/>
            <w:u w:val="single" w:color="0000FF"/>
          </w:rPr>
          <w:t>www.esma.europa.eu/press-news/esma-news/esma-publishes-framework-mandatory-benchmarks-</w:t>
        </w:r>
      </w:hyperlink>
      <w:r>
        <w:rPr>
          <w:color w:val="0000FF"/>
          <w:sz w:val="18"/>
        </w:rPr>
        <w:t> </w:t>
      </w:r>
      <w:hyperlink r:id="rId6">
        <w:r>
          <w:rPr>
            <w:color w:val="0000FF"/>
            <w:sz w:val="18"/>
            <w:u w:val="single" w:color="0000FF"/>
          </w:rPr>
          <w:t>contributions</w:t>
        </w:r>
      </w:hyperlink>
    </w:p>
    <w:p>
      <w:pPr>
        <w:spacing w:after="0"/>
        <w:jc w:val="left"/>
        <w:rPr>
          <w:sz w:val="18"/>
        </w:rPr>
        <w:sectPr>
          <w:pgSz w:w="11910" w:h="16840"/>
          <w:pgMar w:top="1460" w:bottom="280" w:left="1240" w:right="1040"/>
        </w:sectPr>
      </w:pPr>
    </w:p>
    <w:p>
      <w:pPr>
        <w:pStyle w:val="Heading1"/>
        <w:spacing w:before="79"/>
      </w:pPr>
      <w:r>
        <w:rPr/>
        <w:t>Private sector</w:t>
      </w:r>
      <w:r>
        <w:rPr>
          <w:spacing w:val="-11"/>
        </w:rPr>
        <w:t> </w:t>
      </w:r>
      <w:r>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3031"/>
      </w:tblGrid>
      <w:tr>
        <w:trPr>
          <w:trHeight w:val="262" w:hRule="atLeast"/>
        </w:trPr>
        <w:tc>
          <w:tcPr>
            <w:tcW w:w="2775" w:type="dxa"/>
          </w:tcPr>
          <w:p>
            <w:pPr>
              <w:pStyle w:val="TableParagraph"/>
              <w:spacing w:line="225" w:lineRule="exact" w:before="0"/>
              <w:rPr>
                <w:sz w:val="20"/>
              </w:rPr>
            </w:pPr>
            <w:r>
              <w:rPr>
                <w:sz w:val="20"/>
              </w:rPr>
              <w:t>Nick Saggers</w:t>
            </w:r>
          </w:p>
        </w:tc>
        <w:tc>
          <w:tcPr>
            <w:tcW w:w="3031" w:type="dxa"/>
          </w:tcPr>
          <w:p>
            <w:pPr>
              <w:pStyle w:val="TableParagraph"/>
              <w:spacing w:line="223" w:lineRule="exact" w:before="0"/>
              <w:ind w:left="545"/>
              <w:rPr>
                <w:b/>
                <w:sz w:val="20"/>
              </w:rPr>
            </w:pPr>
            <w:r>
              <w:rPr>
                <w:b/>
                <w:sz w:val="20"/>
              </w:rPr>
              <w:t>BAML</w:t>
            </w:r>
          </w:p>
        </w:tc>
      </w:tr>
      <w:tr>
        <w:trPr>
          <w:trHeight w:val="300" w:hRule="atLeast"/>
        </w:trPr>
        <w:tc>
          <w:tcPr>
            <w:tcW w:w="2775" w:type="dxa"/>
          </w:tcPr>
          <w:p>
            <w:pPr>
              <w:pStyle w:val="TableParagraph"/>
              <w:rPr>
                <w:sz w:val="20"/>
              </w:rPr>
            </w:pPr>
            <w:r>
              <w:rPr>
                <w:sz w:val="20"/>
              </w:rPr>
              <w:t>Francois Jourdain</w:t>
            </w:r>
          </w:p>
        </w:tc>
        <w:tc>
          <w:tcPr>
            <w:tcW w:w="3031" w:type="dxa"/>
          </w:tcPr>
          <w:p>
            <w:pPr>
              <w:pStyle w:val="TableParagraph"/>
              <w:spacing w:before="30"/>
              <w:ind w:left="545"/>
              <w:rPr>
                <w:b/>
                <w:sz w:val="20"/>
              </w:rPr>
            </w:pPr>
            <w:r>
              <w:rPr>
                <w:b/>
                <w:sz w:val="20"/>
              </w:rPr>
              <w:t>Barclays (Chair)</w:t>
            </w:r>
          </w:p>
        </w:tc>
      </w:tr>
      <w:tr>
        <w:trPr>
          <w:trHeight w:val="300" w:hRule="atLeast"/>
        </w:trPr>
        <w:tc>
          <w:tcPr>
            <w:tcW w:w="2775" w:type="dxa"/>
          </w:tcPr>
          <w:p>
            <w:pPr>
              <w:pStyle w:val="TableParagraph"/>
              <w:rPr>
                <w:sz w:val="20"/>
              </w:rPr>
            </w:pPr>
            <w:r>
              <w:rPr>
                <w:sz w:val="20"/>
              </w:rPr>
              <w:t>Tejonidhi Kashyap</w:t>
            </w:r>
          </w:p>
        </w:tc>
        <w:tc>
          <w:tcPr>
            <w:tcW w:w="3031" w:type="dxa"/>
          </w:tcPr>
          <w:p>
            <w:pPr>
              <w:pStyle w:val="TableParagraph"/>
              <w:spacing w:before="30"/>
              <w:ind w:left="545"/>
              <w:rPr>
                <w:b/>
                <w:sz w:val="20"/>
              </w:rPr>
            </w:pPr>
            <w:r>
              <w:rPr>
                <w:b/>
                <w:sz w:val="20"/>
              </w:rPr>
              <w:t>Barclays (Chair’s office)</w:t>
            </w:r>
          </w:p>
        </w:tc>
      </w:tr>
      <w:tr>
        <w:trPr>
          <w:trHeight w:val="300" w:hRule="atLeast"/>
        </w:trPr>
        <w:tc>
          <w:tcPr>
            <w:tcW w:w="2775" w:type="dxa"/>
          </w:tcPr>
          <w:p>
            <w:pPr>
              <w:pStyle w:val="TableParagraph"/>
              <w:rPr>
                <w:sz w:val="20"/>
              </w:rPr>
            </w:pPr>
            <w:r>
              <w:rPr>
                <w:sz w:val="20"/>
              </w:rPr>
              <w:t>Andreas Giannopoulos</w:t>
            </w:r>
          </w:p>
        </w:tc>
        <w:tc>
          <w:tcPr>
            <w:tcW w:w="3031" w:type="dxa"/>
          </w:tcPr>
          <w:p>
            <w:pPr>
              <w:pStyle w:val="TableParagraph"/>
              <w:spacing w:before="30"/>
              <w:ind w:left="545"/>
              <w:rPr>
                <w:b/>
                <w:sz w:val="20"/>
              </w:rPr>
            </w:pPr>
            <w:r>
              <w:rPr>
                <w:b/>
                <w:sz w:val="20"/>
              </w:rPr>
              <w:t>Barclays (Chair’s office)</w:t>
            </w:r>
          </w:p>
        </w:tc>
      </w:tr>
      <w:tr>
        <w:trPr>
          <w:trHeight w:val="300" w:hRule="atLeast"/>
        </w:trPr>
        <w:tc>
          <w:tcPr>
            <w:tcW w:w="2775" w:type="dxa"/>
          </w:tcPr>
          <w:p>
            <w:pPr>
              <w:pStyle w:val="TableParagraph"/>
              <w:rPr>
                <w:sz w:val="20"/>
              </w:rPr>
            </w:pPr>
            <w:r>
              <w:rPr>
                <w:sz w:val="20"/>
              </w:rPr>
              <w:t>Jon Desler</w:t>
            </w:r>
          </w:p>
        </w:tc>
        <w:tc>
          <w:tcPr>
            <w:tcW w:w="3031" w:type="dxa"/>
          </w:tcPr>
          <w:p>
            <w:pPr>
              <w:pStyle w:val="TableParagraph"/>
              <w:spacing w:before="30"/>
              <w:ind w:left="545"/>
              <w:rPr>
                <w:b/>
                <w:sz w:val="20"/>
              </w:rPr>
            </w:pPr>
            <w:r>
              <w:rPr>
                <w:b/>
                <w:sz w:val="20"/>
              </w:rPr>
              <w:t>Barclays</w:t>
            </w:r>
          </w:p>
        </w:tc>
      </w:tr>
      <w:tr>
        <w:trPr>
          <w:trHeight w:val="300" w:hRule="atLeast"/>
        </w:trPr>
        <w:tc>
          <w:tcPr>
            <w:tcW w:w="2775" w:type="dxa"/>
          </w:tcPr>
          <w:p>
            <w:pPr>
              <w:pStyle w:val="TableParagraph"/>
              <w:rPr>
                <w:sz w:val="20"/>
              </w:rPr>
            </w:pPr>
            <w:r>
              <w:rPr>
                <w:sz w:val="20"/>
              </w:rPr>
              <w:t>Frederic Maquet</w:t>
            </w:r>
          </w:p>
        </w:tc>
        <w:tc>
          <w:tcPr>
            <w:tcW w:w="3031" w:type="dxa"/>
          </w:tcPr>
          <w:p>
            <w:pPr>
              <w:pStyle w:val="TableParagraph"/>
              <w:spacing w:before="30"/>
              <w:ind w:left="545"/>
              <w:rPr>
                <w:b/>
                <w:sz w:val="20"/>
              </w:rPr>
            </w:pPr>
            <w:r>
              <w:rPr>
                <w:b/>
                <w:sz w:val="20"/>
              </w:rPr>
              <w:t>BNP Paribas</w:t>
            </w:r>
          </w:p>
        </w:tc>
      </w:tr>
      <w:tr>
        <w:trPr>
          <w:trHeight w:val="300" w:hRule="atLeast"/>
        </w:trPr>
        <w:tc>
          <w:tcPr>
            <w:tcW w:w="2775" w:type="dxa"/>
          </w:tcPr>
          <w:p>
            <w:pPr>
              <w:pStyle w:val="TableParagraph"/>
              <w:rPr>
                <w:sz w:val="20"/>
              </w:rPr>
            </w:pPr>
            <w:r>
              <w:rPr>
                <w:sz w:val="20"/>
              </w:rPr>
              <w:t>Stephen Randall</w:t>
            </w:r>
          </w:p>
        </w:tc>
        <w:tc>
          <w:tcPr>
            <w:tcW w:w="3031" w:type="dxa"/>
          </w:tcPr>
          <w:p>
            <w:pPr>
              <w:pStyle w:val="TableParagraph"/>
              <w:spacing w:before="30"/>
              <w:ind w:left="545"/>
              <w:rPr>
                <w:b/>
                <w:sz w:val="20"/>
              </w:rPr>
            </w:pPr>
            <w:r>
              <w:rPr>
                <w:b/>
                <w:sz w:val="20"/>
              </w:rPr>
              <w:t>Citigroup</w:t>
            </w:r>
          </w:p>
        </w:tc>
      </w:tr>
      <w:tr>
        <w:trPr>
          <w:trHeight w:val="300" w:hRule="atLeast"/>
        </w:trPr>
        <w:tc>
          <w:tcPr>
            <w:tcW w:w="2775" w:type="dxa"/>
          </w:tcPr>
          <w:p>
            <w:pPr>
              <w:pStyle w:val="TableParagraph"/>
              <w:rPr>
                <w:sz w:val="20"/>
              </w:rPr>
            </w:pPr>
            <w:r>
              <w:rPr>
                <w:sz w:val="20"/>
              </w:rPr>
              <w:t>Arif Merali</w:t>
            </w:r>
          </w:p>
        </w:tc>
        <w:tc>
          <w:tcPr>
            <w:tcW w:w="3031" w:type="dxa"/>
          </w:tcPr>
          <w:p>
            <w:pPr>
              <w:pStyle w:val="TableParagraph"/>
              <w:spacing w:before="30"/>
              <w:ind w:left="545"/>
              <w:rPr>
                <w:b/>
                <w:sz w:val="20"/>
              </w:rPr>
            </w:pPr>
            <w:r>
              <w:rPr>
                <w:b/>
                <w:sz w:val="20"/>
              </w:rPr>
              <w:t>Credit Suisse</w:t>
            </w:r>
          </w:p>
        </w:tc>
      </w:tr>
      <w:tr>
        <w:trPr>
          <w:trHeight w:val="300" w:hRule="atLeast"/>
        </w:trPr>
        <w:tc>
          <w:tcPr>
            <w:tcW w:w="2775" w:type="dxa"/>
          </w:tcPr>
          <w:p>
            <w:pPr>
              <w:pStyle w:val="TableParagraph"/>
              <w:rPr>
                <w:sz w:val="20"/>
              </w:rPr>
            </w:pPr>
            <w:r>
              <w:rPr>
                <w:sz w:val="20"/>
              </w:rPr>
              <w:t>Chris Cohen</w:t>
            </w:r>
          </w:p>
        </w:tc>
        <w:tc>
          <w:tcPr>
            <w:tcW w:w="3031" w:type="dxa"/>
          </w:tcPr>
          <w:p>
            <w:pPr>
              <w:pStyle w:val="TableParagraph"/>
              <w:spacing w:before="30"/>
              <w:ind w:left="545"/>
              <w:rPr>
                <w:b/>
                <w:sz w:val="20"/>
              </w:rPr>
            </w:pPr>
            <w:r>
              <w:rPr>
                <w:b/>
                <w:sz w:val="20"/>
              </w:rPr>
              <w:t>Deutsche Bank</w:t>
            </w:r>
          </w:p>
        </w:tc>
      </w:tr>
      <w:tr>
        <w:trPr>
          <w:trHeight w:val="300" w:hRule="atLeast"/>
        </w:trPr>
        <w:tc>
          <w:tcPr>
            <w:tcW w:w="2775" w:type="dxa"/>
          </w:tcPr>
          <w:p>
            <w:pPr>
              <w:pStyle w:val="TableParagraph"/>
              <w:rPr>
                <w:sz w:val="20"/>
              </w:rPr>
            </w:pPr>
            <w:r>
              <w:rPr>
                <w:sz w:val="20"/>
              </w:rPr>
              <w:t>Michael Graham</w:t>
            </w:r>
          </w:p>
        </w:tc>
        <w:tc>
          <w:tcPr>
            <w:tcW w:w="3031" w:type="dxa"/>
          </w:tcPr>
          <w:p>
            <w:pPr>
              <w:pStyle w:val="TableParagraph"/>
              <w:spacing w:before="30"/>
              <w:ind w:left="545"/>
              <w:rPr>
                <w:b/>
                <w:sz w:val="20"/>
              </w:rPr>
            </w:pPr>
            <w:r>
              <w:rPr>
                <w:b/>
                <w:sz w:val="20"/>
              </w:rPr>
              <w:t>Goldman Sachs</w:t>
            </w:r>
          </w:p>
        </w:tc>
      </w:tr>
      <w:tr>
        <w:trPr>
          <w:trHeight w:val="300" w:hRule="atLeast"/>
        </w:trPr>
        <w:tc>
          <w:tcPr>
            <w:tcW w:w="2775" w:type="dxa"/>
          </w:tcPr>
          <w:p>
            <w:pPr>
              <w:pStyle w:val="TableParagraph"/>
              <w:rPr>
                <w:sz w:val="20"/>
              </w:rPr>
            </w:pPr>
            <w:r>
              <w:rPr>
                <w:sz w:val="20"/>
              </w:rPr>
              <w:t>Christophe Rivoire</w:t>
            </w:r>
          </w:p>
        </w:tc>
        <w:tc>
          <w:tcPr>
            <w:tcW w:w="3031" w:type="dxa"/>
          </w:tcPr>
          <w:p>
            <w:pPr>
              <w:pStyle w:val="TableParagraph"/>
              <w:spacing w:before="30"/>
              <w:ind w:left="545"/>
              <w:rPr>
                <w:b/>
                <w:sz w:val="20"/>
              </w:rPr>
            </w:pPr>
            <w:r>
              <w:rPr>
                <w:b/>
                <w:sz w:val="20"/>
              </w:rPr>
              <w:t>HSBC</w:t>
            </w:r>
          </w:p>
        </w:tc>
      </w:tr>
      <w:tr>
        <w:trPr>
          <w:trHeight w:val="300" w:hRule="atLeast"/>
        </w:trPr>
        <w:tc>
          <w:tcPr>
            <w:tcW w:w="2775" w:type="dxa"/>
          </w:tcPr>
          <w:p>
            <w:pPr>
              <w:pStyle w:val="TableParagraph"/>
              <w:rPr>
                <w:sz w:val="20"/>
              </w:rPr>
            </w:pPr>
            <w:r>
              <w:rPr>
                <w:sz w:val="20"/>
              </w:rPr>
              <w:t>Kari Hallgrimsson</w:t>
            </w:r>
          </w:p>
        </w:tc>
        <w:tc>
          <w:tcPr>
            <w:tcW w:w="3031" w:type="dxa"/>
          </w:tcPr>
          <w:p>
            <w:pPr>
              <w:pStyle w:val="TableParagraph"/>
              <w:spacing w:before="30"/>
              <w:ind w:left="545"/>
              <w:rPr>
                <w:b/>
                <w:sz w:val="20"/>
              </w:rPr>
            </w:pPr>
            <w:r>
              <w:rPr>
                <w:b/>
                <w:sz w:val="20"/>
              </w:rPr>
              <w:t>JP Morgan</w:t>
            </w:r>
          </w:p>
        </w:tc>
      </w:tr>
      <w:tr>
        <w:trPr>
          <w:trHeight w:val="300" w:hRule="atLeast"/>
        </w:trPr>
        <w:tc>
          <w:tcPr>
            <w:tcW w:w="2775" w:type="dxa"/>
          </w:tcPr>
          <w:p>
            <w:pPr>
              <w:pStyle w:val="TableParagraph"/>
              <w:spacing w:before="33"/>
              <w:rPr>
                <w:sz w:val="20"/>
              </w:rPr>
            </w:pPr>
            <w:r>
              <w:rPr>
                <w:sz w:val="20"/>
              </w:rPr>
              <w:t>Steve Bullock</w:t>
            </w:r>
          </w:p>
        </w:tc>
        <w:tc>
          <w:tcPr>
            <w:tcW w:w="3031" w:type="dxa"/>
          </w:tcPr>
          <w:p>
            <w:pPr>
              <w:pStyle w:val="TableParagraph"/>
              <w:spacing w:before="30"/>
              <w:ind w:left="545"/>
              <w:rPr>
                <w:b/>
                <w:sz w:val="20"/>
              </w:rPr>
            </w:pPr>
            <w:r>
              <w:rPr>
                <w:b/>
                <w:sz w:val="20"/>
              </w:rPr>
              <w:t>Lloyds</w:t>
            </w:r>
          </w:p>
        </w:tc>
      </w:tr>
      <w:tr>
        <w:trPr>
          <w:trHeight w:val="300" w:hRule="atLeast"/>
        </w:trPr>
        <w:tc>
          <w:tcPr>
            <w:tcW w:w="2775" w:type="dxa"/>
          </w:tcPr>
          <w:p>
            <w:pPr>
              <w:pStyle w:val="TableParagraph"/>
              <w:rPr>
                <w:sz w:val="20"/>
              </w:rPr>
            </w:pPr>
            <w:r>
              <w:rPr>
                <w:sz w:val="20"/>
              </w:rPr>
              <w:t>Freddie Napier</w:t>
            </w:r>
          </w:p>
        </w:tc>
        <w:tc>
          <w:tcPr>
            <w:tcW w:w="3031" w:type="dxa"/>
          </w:tcPr>
          <w:p>
            <w:pPr>
              <w:pStyle w:val="TableParagraph"/>
              <w:spacing w:before="30"/>
              <w:ind w:left="545"/>
              <w:rPr>
                <w:b/>
                <w:sz w:val="20"/>
              </w:rPr>
            </w:pPr>
            <w:r>
              <w:rPr>
                <w:b/>
                <w:sz w:val="20"/>
              </w:rPr>
              <w:t>Morgan Stanley</w:t>
            </w:r>
          </w:p>
        </w:tc>
      </w:tr>
      <w:tr>
        <w:trPr>
          <w:trHeight w:val="300" w:hRule="atLeast"/>
        </w:trPr>
        <w:tc>
          <w:tcPr>
            <w:tcW w:w="2775" w:type="dxa"/>
          </w:tcPr>
          <w:p>
            <w:pPr>
              <w:pStyle w:val="TableParagraph"/>
              <w:rPr>
                <w:sz w:val="20"/>
              </w:rPr>
            </w:pPr>
            <w:r>
              <w:rPr>
                <w:sz w:val="20"/>
              </w:rPr>
              <w:t>Mike Curtis</w:t>
            </w:r>
          </w:p>
        </w:tc>
        <w:tc>
          <w:tcPr>
            <w:tcW w:w="3031" w:type="dxa"/>
          </w:tcPr>
          <w:p>
            <w:pPr>
              <w:pStyle w:val="TableParagraph"/>
              <w:spacing w:before="30"/>
              <w:ind w:left="545"/>
              <w:rPr>
                <w:b/>
                <w:sz w:val="20"/>
              </w:rPr>
            </w:pPr>
            <w:r>
              <w:rPr>
                <w:b/>
                <w:sz w:val="20"/>
              </w:rPr>
              <w:t>Nomura</w:t>
            </w:r>
          </w:p>
        </w:tc>
      </w:tr>
      <w:tr>
        <w:trPr>
          <w:trHeight w:val="300" w:hRule="atLeast"/>
        </w:trPr>
        <w:tc>
          <w:tcPr>
            <w:tcW w:w="2775" w:type="dxa"/>
          </w:tcPr>
          <w:p>
            <w:pPr>
              <w:pStyle w:val="TableParagraph"/>
              <w:rPr>
                <w:sz w:val="20"/>
              </w:rPr>
            </w:pPr>
            <w:r>
              <w:rPr>
                <w:sz w:val="20"/>
              </w:rPr>
              <w:t>Mark Thommason</w:t>
            </w:r>
          </w:p>
        </w:tc>
        <w:tc>
          <w:tcPr>
            <w:tcW w:w="3031" w:type="dxa"/>
          </w:tcPr>
          <w:p>
            <w:pPr>
              <w:pStyle w:val="TableParagraph"/>
              <w:spacing w:before="30"/>
              <w:ind w:left="545"/>
              <w:rPr>
                <w:b/>
                <w:sz w:val="20"/>
              </w:rPr>
            </w:pPr>
            <w:r>
              <w:rPr>
                <w:b/>
                <w:sz w:val="20"/>
              </w:rPr>
              <w:t>RBS</w:t>
            </w:r>
          </w:p>
        </w:tc>
      </w:tr>
      <w:tr>
        <w:trPr>
          <w:trHeight w:val="300" w:hRule="atLeast"/>
        </w:trPr>
        <w:tc>
          <w:tcPr>
            <w:tcW w:w="2775" w:type="dxa"/>
          </w:tcPr>
          <w:p>
            <w:pPr>
              <w:pStyle w:val="TableParagraph"/>
              <w:rPr>
                <w:sz w:val="20"/>
              </w:rPr>
            </w:pPr>
            <w:r>
              <w:rPr>
                <w:sz w:val="20"/>
              </w:rPr>
              <w:t>Paul Barnes</w:t>
            </w:r>
          </w:p>
        </w:tc>
        <w:tc>
          <w:tcPr>
            <w:tcW w:w="3031" w:type="dxa"/>
          </w:tcPr>
          <w:p>
            <w:pPr>
              <w:pStyle w:val="TableParagraph"/>
              <w:spacing w:before="30"/>
              <w:ind w:left="545"/>
              <w:rPr>
                <w:b/>
                <w:sz w:val="20"/>
              </w:rPr>
            </w:pPr>
            <w:r>
              <w:rPr>
                <w:b/>
                <w:sz w:val="20"/>
              </w:rPr>
              <w:t>Santander</w:t>
            </w:r>
          </w:p>
        </w:tc>
      </w:tr>
      <w:tr>
        <w:trPr>
          <w:trHeight w:val="300" w:hRule="atLeast"/>
        </w:trPr>
        <w:tc>
          <w:tcPr>
            <w:tcW w:w="2775" w:type="dxa"/>
          </w:tcPr>
          <w:p>
            <w:pPr>
              <w:pStyle w:val="TableParagraph"/>
              <w:rPr>
                <w:sz w:val="20"/>
              </w:rPr>
            </w:pPr>
            <w:r>
              <w:rPr>
                <w:sz w:val="20"/>
              </w:rPr>
              <w:t>Phil Whitehurst</w:t>
            </w:r>
          </w:p>
        </w:tc>
        <w:tc>
          <w:tcPr>
            <w:tcW w:w="3031" w:type="dxa"/>
          </w:tcPr>
          <w:p>
            <w:pPr>
              <w:pStyle w:val="TableParagraph"/>
              <w:spacing w:before="30"/>
              <w:ind w:left="545"/>
              <w:rPr>
                <w:b/>
                <w:sz w:val="20"/>
              </w:rPr>
            </w:pPr>
            <w:r>
              <w:rPr>
                <w:b/>
                <w:sz w:val="20"/>
              </w:rPr>
              <w:t>LCH ltd (Observer)</w:t>
            </w:r>
          </w:p>
        </w:tc>
      </w:tr>
      <w:tr>
        <w:trPr>
          <w:trHeight w:val="262" w:hRule="atLeast"/>
        </w:trPr>
        <w:tc>
          <w:tcPr>
            <w:tcW w:w="2775" w:type="dxa"/>
          </w:tcPr>
          <w:p>
            <w:pPr>
              <w:pStyle w:val="TableParagraph"/>
              <w:spacing w:line="210" w:lineRule="exact"/>
              <w:rPr>
                <w:sz w:val="20"/>
              </w:rPr>
            </w:pPr>
            <w:r>
              <w:rPr>
                <w:sz w:val="20"/>
              </w:rPr>
              <w:t>Rick Sandilands</w:t>
            </w:r>
          </w:p>
        </w:tc>
        <w:tc>
          <w:tcPr>
            <w:tcW w:w="3031" w:type="dxa"/>
          </w:tcPr>
          <w:p>
            <w:pPr>
              <w:pStyle w:val="TableParagraph"/>
              <w:spacing w:line="212" w:lineRule="exact" w:before="30"/>
              <w:ind w:left="545"/>
              <w:rPr>
                <w:b/>
                <w:sz w:val="20"/>
              </w:rPr>
            </w:pPr>
            <w:r>
              <w:rPr>
                <w:b/>
                <w:sz w:val="20"/>
              </w:rPr>
              <w:t>ISDA (Observer)</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after="1"/>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8"/>
      </w:tblGrid>
      <w:tr>
        <w:trPr>
          <w:trHeight w:val="263" w:hRule="atLeast"/>
        </w:trPr>
        <w:tc>
          <w:tcPr>
            <w:tcW w:w="2580" w:type="dxa"/>
          </w:tcPr>
          <w:p>
            <w:pPr>
              <w:pStyle w:val="TableParagraph"/>
              <w:spacing w:line="225" w:lineRule="exact" w:before="0"/>
              <w:rPr>
                <w:sz w:val="20"/>
              </w:rPr>
            </w:pPr>
            <w:r>
              <w:rPr>
                <w:sz w:val="20"/>
              </w:rPr>
              <w:t>Will Parry</w:t>
            </w:r>
          </w:p>
        </w:tc>
        <w:tc>
          <w:tcPr>
            <w:tcW w:w="3658" w:type="dxa"/>
          </w:tcPr>
          <w:p>
            <w:pPr>
              <w:pStyle w:val="TableParagraph"/>
              <w:spacing w:line="223" w:lineRule="exact" w:before="0"/>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Tim Taylor</w:t>
            </w:r>
          </w:p>
        </w:tc>
        <w:tc>
          <w:tcPr>
            <w:tcW w:w="3658"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Ed Ocampo</w:t>
            </w:r>
          </w:p>
        </w:tc>
        <w:tc>
          <w:tcPr>
            <w:tcW w:w="3658"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Rob Harris</w:t>
            </w:r>
          </w:p>
        </w:tc>
        <w:tc>
          <w:tcPr>
            <w:tcW w:w="3658"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Renée Horrell</w:t>
            </w:r>
          </w:p>
        </w:tc>
        <w:tc>
          <w:tcPr>
            <w:tcW w:w="3658"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Sakshi Gupta</w:t>
            </w:r>
          </w:p>
        </w:tc>
        <w:tc>
          <w:tcPr>
            <w:tcW w:w="3658"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David Geen</w:t>
            </w:r>
          </w:p>
        </w:tc>
        <w:tc>
          <w:tcPr>
            <w:tcW w:w="3658"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Harriet Hunnable</w:t>
            </w:r>
          </w:p>
        </w:tc>
        <w:tc>
          <w:tcPr>
            <w:tcW w:w="3658" w:type="dxa"/>
          </w:tcPr>
          <w:p>
            <w:pPr>
              <w:pStyle w:val="TableParagraph"/>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Devid Mazzonetto</w:t>
            </w:r>
          </w:p>
        </w:tc>
        <w:tc>
          <w:tcPr>
            <w:tcW w:w="3658" w:type="dxa"/>
          </w:tcPr>
          <w:p>
            <w:pPr>
              <w:pStyle w:val="TableParagraph"/>
              <w:spacing w:line="212" w:lineRule="exact" w:before="31"/>
              <w:ind w:left="781"/>
              <w:rPr>
                <w:b/>
                <w:sz w:val="20"/>
              </w:rPr>
            </w:pPr>
            <w:r>
              <w:rPr>
                <w:b/>
                <w:sz w:val="20"/>
              </w:rPr>
              <w:t>Financial Conduct Authority</w:t>
            </w:r>
          </w:p>
        </w:tc>
      </w:tr>
    </w:tbl>
    <w:sectPr>
      <w:pgSz w:w="11910" w:h="16840"/>
      <w:pgMar w:top="1460" w:bottom="280" w:left="12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1142" w:hanging="428"/>
      </w:pPr>
      <w:rPr>
        <w:rFonts w:hint="default"/>
        <w:lang w:val="en-gb" w:eastAsia="en-gb" w:bidi="en-gb"/>
      </w:rPr>
    </w:lvl>
    <w:lvl w:ilvl="2">
      <w:start w:val="0"/>
      <w:numFmt w:val="bullet"/>
      <w:lvlText w:val="•"/>
      <w:lvlJc w:val="left"/>
      <w:pPr>
        <w:ind w:left="2085" w:hanging="428"/>
      </w:pPr>
      <w:rPr>
        <w:rFonts w:hint="default"/>
        <w:lang w:val="en-gb" w:eastAsia="en-gb" w:bidi="en-gb"/>
      </w:rPr>
    </w:lvl>
    <w:lvl w:ilvl="3">
      <w:start w:val="0"/>
      <w:numFmt w:val="bullet"/>
      <w:lvlText w:val="•"/>
      <w:lvlJc w:val="left"/>
      <w:pPr>
        <w:ind w:left="3027" w:hanging="428"/>
      </w:pPr>
      <w:rPr>
        <w:rFonts w:hint="default"/>
        <w:lang w:val="en-gb" w:eastAsia="en-gb" w:bidi="en-gb"/>
      </w:rPr>
    </w:lvl>
    <w:lvl w:ilvl="4">
      <w:start w:val="0"/>
      <w:numFmt w:val="bullet"/>
      <w:lvlText w:val="•"/>
      <w:lvlJc w:val="left"/>
      <w:pPr>
        <w:ind w:left="3970" w:hanging="428"/>
      </w:pPr>
      <w:rPr>
        <w:rFonts w:hint="default"/>
        <w:lang w:val="en-gb" w:eastAsia="en-gb" w:bidi="en-gb"/>
      </w:rPr>
    </w:lvl>
    <w:lvl w:ilvl="5">
      <w:start w:val="0"/>
      <w:numFmt w:val="bullet"/>
      <w:lvlText w:val="•"/>
      <w:lvlJc w:val="left"/>
      <w:pPr>
        <w:ind w:left="4913" w:hanging="428"/>
      </w:pPr>
      <w:rPr>
        <w:rFonts w:hint="default"/>
        <w:lang w:val="en-gb" w:eastAsia="en-gb" w:bidi="en-gb"/>
      </w:rPr>
    </w:lvl>
    <w:lvl w:ilvl="6">
      <w:start w:val="0"/>
      <w:numFmt w:val="bullet"/>
      <w:lvlText w:val="•"/>
      <w:lvlJc w:val="left"/>
      <w:pPr>
        <w:ind w:left="5855" w:hanging="428"/>
      </w:pPr>
      <w:rPr>
        <w:rFonts w:hint="default"/>
        <w:lang w:val="en-gb" w:eastAsia="en-gb" w:bidi="en-gb"/>
      </w:rPr>
    </w:lvl>
    <w:lvl w:ilvl="7">
      <w:start w:val="0"/>
      <w:numFmt w:val="bullet"/>
      <w:lvlText w:val="•"/>
      <w:lvlJc w:val="left"/>
      <w:pPr>
        <w:ind w:left="6798" w:hanging="428"/>
      </w:pPr>
      <w:rPr>
        <w:rFonts w:hint="default"/>
        <w:lang w:val="en-gb" w:eastAsia="en-gb" w:bidi="en-gb"/>
      </w:rPr>
    </w:lvl>
    <w:lvl w:ilvl="8">
      <w:start w:val="0"/>
      <w:numFmt w:val="bullet"/>
      <w:lvlText w:val="•"/>
      <w:lvlJc w:val="left"/>
      <w:pPr>
        <w:ind w:left="7741" w:hanging="4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pPr>
    <w:rPr>
      <w:rFonts w:ascii="Arial" w:hAnsi="Arial" w:eastAsia="Arial" w:cs="Arial"/>
      <w:lang w:val="en-gb" w:eastAsia="en-gb" w:bidi="en-gb"/>
    </w:rPr>
  </w:style>
  <w:style w:styleId="TableParagraph" w:type="paragraph">
    <w:name w:val="Table Paragraph"/>
    <w:basedOn w:val="Normal"/>
    <w:uiPriority w:val="1"/>
    <w:qFormat/>
    <w:pPr>
      <w:spacing w:before="32"/>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fca.org.uk/publication/consultation/cp17-15.pdf" TargetMode="External"/><Relationship Id="rId6" Type="http://schemas.openxmlformats.org/officeDocument/2006/relationships/hyperlink" Target="http://www.esma.europa.eu/press-news/esma-news/esma-publishes-framework-mandatory-benchmarks-contribution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meeting of the Working Group on Sterling Risk-Free Reference Rates - Tuesday 22 June 2017</dc:title>
  <dcterms:created xsi:type="dcterms:W3CDTF">2020-06-01T02:24:09Z</dcterms:created>
  <dcterms:modified xsi:type="dcterms:W3CDTF">2020-06-01T02:24:09Z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LastSaved">
    <vt:filetime>2020-06-01T00:00:00Z</vt:filetime>
  </property>
</Properties>
</file>